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D6574">
        <w:rPr>
          <w:rFonts w:ascii="Arial" w:hAnsi="Arial" w:cs="Arial"/>
          <w:b/>
          <w:bCs/>
          <w:color w:val="0000CC"/>
          <w:spacing w:val="-1"/>
          <w:sz w:val="24"/>
        </w:rPr>
        <w:t>N° 249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4C10" w:rsidRDefault="00DF4C10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sz w:val="20"/>
          <w:szCs w:val="20"/>
        </w:rPr>
      </w:pP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Santa Tecla,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a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spacing w:val="1"/>
          <w:w w:val="102"/>
          <w:sz w:val="20"/>
          <w:szCs w:val="20"/>
        </w:rPr>
        <w:t>l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 xml:space="preserve">as </w:t>
      </w:r>
      <w:r w:rsidRPr="002E5851">
        <w:rPr>
          <w:rFonts w:ascii="Arial Narrow" w:eastAsia="Arial Unicode MS" w:hAnsi="Arial Narrow" w:cs="Utsaah"/>
          <w:color w:val="C00000"/>
          <w:w w:val="102"/>
          <w:sz w:val="20"/>
          <w:szCs w:val="20"/>
        </w:rPr>
        <w:t>quince</w:t>
      </w:r>
      <w:r>
        <w:rPr>
          <w:rFonts w:ascii="Arial Narrow" w:eastAsia="Arial Unicode MS" w:hAnsi="Arial Narrow" w:cs="Utsaah"/>
          <w:color w:val="C00000"/>
          <w:w w:val="102"/>
          <w:sz w:val="20"/>
          <w:szCs w:val="20"/>
        </w:rPr>
        <w:t xml:space="preserve"> h</w:t>
      </w:r>
      <w:r w:rsidRPr="002E5851">
        <w:rPr>
          <w:rFonts w:ascii="Arial Narrow" w:eastAsia="Arial Unicode MS" w:hAnsi="Arial Narrow" w:cs="Utsaah"/>
          <w:color w:val="C00000"/>
          <w:w w:val="102"/>
          <w:sz w:val="20"/>
          <w:szCs w:val="20"/>
        </w:rPr>
        <w:t>oras con veinte minutos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d</w:t>
      </w:r>
      <w:r w:rsidRPr="002E5851">
        <w:rPr>
          <w:rFonts w:ascii="Arial Narrow" w:eastAsia="Arial Unicode MS" w:hAnsi="Arial Narrow" w:cs="Utsaah"/>
          <w:spacing w:val="-4"/>
          <w:w w:val="102"/>
          <w:sz w:val="20"/>
          <w:szCs w:val="20"/>
        </w:rPr>
        <w:t>e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l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d</w:t>
      </w:r>
      <w:r w:rsidRPr="002E5851">
        <w:rPr>
          <w:rFonts w:ascii="Arial Narrow" w:eastAsia="Arial Unicode MS" w:hAnsi="Arial Narrow" w:cs="Utsaah"/>
          <w:spacing w:val="1"/>
          <w:w w:val="102"/>
          <w:sz w:val="20"/>
          <w:szCs w:val="20"/>
        </w:rPr>
        <w:t>í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a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>3</w:t>
      </w:r>
      <w:r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 xml:space="preserve">de </w:t>
      </w:r>
      <w:r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 xml:space="preserve">octubre </w:t>
      </w:r>
      <w:r w:rsidRPr="002E5851"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>de 2014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, el Ministerio de Agricultura y Ganadería luego de haber recibido y admitido la solicitud de información</w:t>
      </w:r>
      <w:r>
        <w:rPr>
          <w:rFonts w:ascii="Arial Narrow" w:eastAsia="Arial Unicode MS" w:hAnsi="Arial Narrow" w:cs="Utsaah"/>
          <w:w w:val="102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>No. 249</w:t>
      </w:r>
      <w:r>
        <w:rPr>
          <w:rFonts w:ascii="Arial Narrow" w:eastAsia="Arial Unicode MS" w:hAnsi="Arial Narrow" w:cs="Utsaah"/>
          <w:b/>
          <w:color w:val="0000CC"/>
          <w:w w:val="102"/>
          <w:sz w:val="20"/>
          <w:szCs w:val="20"/>
        </w:rPr>
        <w:t xml:space="preserve">-2014 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sobre: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 xml:space="preserve">Productos agrícolas que componen la Canasta Básica: </w:t>
      </w:r>
    </w:p>
    <w:p w:rsidR="002D6574" w:rsidRPr="002E5851" w:rsidRDefault="002D6574" w:rsidP="002D6574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Arial Narrow" w:eastAsia="Arial Unicode MS" w:hAnsi="Arial Narrow" w:cs="Utsaah"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>¿Qué productos contienen la Canasta Básica?</w:t>
      </w:r>
    </w:p>
    <w:p w:rsidR="002D6574" w:rsidRPr="002E5851" w:rsidRDefault="002D6574" w:rsidP="002D6574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Arial Narrow" w:eastAsia="Arial Unicode MS" w:hAnsi="Arial Narrow" w:cs="Utsaah"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>¿Con qué frecuencia se dan pérdidas en los cultivos que conforman parte de la Canasta Básica debido a desastres naturales?</w:t>
      </w:r>
    </w:p>
    <w:p w:rsidR="002D6574" w:rsidRPr="002E5851" w:rsidRDefault="002D6574" w:rsidP="002D6574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Arial Narrow" w:eastAsia="Arial Unicode MS" w:hAnsi="Arial Narrow" w:cs="Utsaah"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>¿Cuál es el precio que deberían tener los productos de la Canasta Básica actualmente?</w:t>
      </w:r>
    </w:p>
    <w:p w:rsidR="002D6574" w:rsidRPr="002E5851" w:rsidRDefault="002D6574" w:rsidP="002D6574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="Arial Narrow" w:eastAsia="Arial Unicode MS" w:hAnsi="Arial Narrow" w:cs="Utsaah"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>Cuadro comparativo del alza de los productos de la Canasta Básica en los años 2012-2013 y 2014.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b/>
          <w:color w:val="0000CC"/>
          <w:w w:val="102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w w:val="102"/>
          <w:sz w:val="20"/>
          <w:szCs w:val="20"/>
        </w:rPr>
      </w:pP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>Presentada ante la Oficina de Información y Respuesta de esta dependencia por parte de</w:t>
      </w:r>
      <w:r w:rsidRPr="002E5851">
        <w:rPr>
          <w:rFonts w:ascii="Arial Narrow" w:eastAsia="Arial Unicode MS" w:hAnsi="Arial Narrow" w:cs="Utsaah"/>
          <w:sz w:val="20"/>
          <w:szCs w:val="20"/>
        </w:rPr>
        <w:t>:</w:t>
      </w:r>
      <w:r>
        <w:rPr>
          <w:rFonts w:ascii="Arial Narrow" w:eastAsia="Arial Unicode MS" w:hAnsi="Arial Narrow" w:cs="Utsaah"/>
          <w:sz w:val="20"/>
          <w:szCs w:val="20"/>
        </w:rPr>
        <w:t xml:space="preserve"> </w:t>
      </w:r>
      <w:r w:rsidRPr="002D6574">
        <w:rPr>
          <w:rFonts w:ascii="Arial Narrow" w:eastAsia="Arial Unicode MS" w:hAnsi="Arial Narrow" w:cs="Utsaah"/>
          <w:b/>
          <w:sz w:val="20"/>
          <w:szCs w:val="20"/>
          <w:highlight w:val="black"/>
        </w:rPr>
        <w:t>****************************</w:t>
      </w:r>
      <w:r w:rsidRPr="002E5851">
        <w:rPr>
          <w:rFonts w:ascii="Arial Narrow" w:eastAsia="Arial Unicode MS" w:hAnsi="Arial Narrow" w:cs="Utsaah"/>
          <w:b/>
          <w:color w:val="002060"/>
          <w:sz w:val="20"/>
          <w:szCs w:val="20"/>
        </w:rPr>
        <w:t xml:space="preserve">, 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 xml:space="preserve">y considerando que </w:t>
      </w:r>
      <w:r w:rsidRPr="002E5851">
        <w:rPr>
          <w:rFonts w:ascii="Arial Narrow" w:eastAsia="Arial Unicode MS" w:hAnsi="Arial Narrow" w:cs="Utsaah"/>
          <w:color w:val="C00000"/>
          <w:w w:val="102"/>
          <w:sz w:val="20"/>
          <w:szCs w:val="20"/>
        </w:rPr>
        <w:t xml:space="preserve">parte de </w:t>
      </w:r>
      <w:r w:rsidRPr="002E5851">
        <w:rPr>
          <w:rFonts w:ascii="Arial Narrow" w:eastAsia="Arial Unicode MS" w:hAnsi="Arial Narrow" w:cs="Utsaah"/>
          <w:w w:val="102"/>
          <w:sz w:val="20"/>
          <w:szCs w:val="20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b/>
          <w:color w:val="002060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i/>
          <w:color w:val="000099"/>
          <w:sz w:val="20"/>
          <w:szCs w:val="20"/>
        </w:rPr>
      </w:pP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 xml:space="preserve">PROPORCIONAR LA INFORMACIÓN PÚBLICA SOLICITADA: </w:t>
      </w:r>
      <w:r w:rsidRPr="002E5851">
        <w:rPr>
          <w:rFonts w:ascii="Arial Narrow" w:eastAsia="Arial Unicode MS" w:hAnsi="Arial Narrow" w:cs="Utsaah"/>
          <w:i/>
          <w:color w:val="000099"/>
          <w:sz w:val="20"/>
          <w:szCs w:val="20"/>
        </w:rPr>
        <w:t>se adjuntan a la presente resolución c</w:t>
      </w:r>
      <w:r>
        <w:rPr>
          <w:rFonts w:ascii="Arial Narrow" w:eastAsia="Arial Unicode MS" w:hAnsi="Arial Narrow" w:cs="Utsaah"/>
          <w:i/>
          <w:color w:val="000099"/>
          <w:sz w:val="20"/>
          <w:szCs w:val="20"/>
        </w:rPr>
        <w:t>inco</w:t>
      </w:r>
      <w:r w:rsidRPr="002E5851">
        <w:rPr>
          <w:rFonts w:ascii="Arial Narrow" w:eastAsia="Arial Unicode MS" w:hAnsi="Arial Narrow" w:cs="Utsaah"/>
          <w:i/>
          <w:color w:val="000099"/>
          <w:sz w:val="20"/>
          <w:szCs w:val="20"/>
        </w:rPr>
        <w:t xml:space="preserve"> documentos relacionados al tema de pérdidas en los cultivos a raíz de los desastres naturales de 2011 a 2014.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Utsaah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20"/>
          <w:szCs w:val="20"/>
        </w:rPr>
      </w:pPr>
      <w:r w:rsidRPr="002E5851">
        <w:rPr>
          <w:rFonts w:ascii="Arial Narrow" w:eastAsia="Arial Unicode MS" w:hAnsi="Arial Narrow" w:cs="Utsaah"/>
          <w:sz w:val="20"/>
          <w:szCs w:val="20"/>
        </w:rPr>
        <w:t xml:space="preserve">Acerca de la información sobre </w:t>
      </w:r>
      <w:r w:rsidRPr="002E5851">
        <w:rPr>
          <w:rFonts w:ascii="Arial Narrow" w:eastAsia="Arial Unicode MS" w:hAnsi="Arial Narrow" w:cs="Utsaah"/>
          <w:i/>
          <w:color w:val="0000CC"/>
          <w:sz w:val="20"/>
          <w:szCs w:val="20"/>
        </w:rPr>
        <w:t>¿Cuál es el precio que deberían tener los productos de la Canasta Básica actualmente?</w:t>
      </w:r>
      <w:r>
        <w:rPr>
          <w:rFonts w:ascii="Arial Narrow" w:eastAsia="Arial Unicode MS" w:hAnsi="Arial Narrow" w:cs="Utsaah"/>
          <w:i/>
          <w:color w:val="0000CC"/>
          <w:sz w:val="20"/>
          <w:szCs w:val="20"/>
        </w:rPr>
        <w:t xml:space="preserve"> </w:t>
      </w:r>
      <w:r w:rsidRPr="002E5851">
        <w:rPr>
          <w:rFonts w:ascii="Arial Narrow" w:eastAsia="Arial Unicode MS" w:hAnsi="Arial Narrow" w:cs="Utsaah"/>
          <w:sz w:val="20"/>
          <w:szCs w:val="20"/>
        </w:rPr>
        <w:t xml:space="preserve">se investigó la base de lo solicitado determinando con base al art. 62 inciso 2º que parte de la misma ya está disponible al público. Por lo tanto resuelve: 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Utsaah"/>
          <w:b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>ORIENTAR LA UBICACIÓN DE LA INFORMACIÓN SOLICITADA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20"/>
          <w:szCs w:val="20"/>
        </w:rPr>
      </w:pPr>
      <w:r w:rsidRPr="002E5851">
        <w:rPr>
          <w:rFonts w:ascii="Arial Narrow" w:eastAsia="Arial Unicode MS" w:hAnsi="Arial Narrow" w:cs="Utsaah"/>
          <w:sz w:val="20"/>
          <w:szCs w:val="20"/>
        </w:rPr>
        <w:t xml:space="preserve">La cual podrá consultarse, adquirirse o reproducirse en la página </w:t>
      </w:r>
      <w:r w:rsidRPr="002E5851">
        <w:rPr>
          <w:rFonts w:ascii="Arial Narrow" w:eastAsia="Arial Unicode MS" w:hAnsi="Arial Narrow" w:cs="Utsaah"/>
          <w:color w:val="0000CC"/>
          <w:sz w:val="20"/>
          <w:szCs w:val="20"/>
        </w:rPr>
        <w:t>Web del MAG, www.mag.gob.sv</w:t>
      </w:r>
      <w:r w:rsidRPr="002E5851">
        <w:rPr>
          <w:rFonts w:ascii="Arial Narrow" w:eastAsia="Arial Unicode MS" w:hAnsi="Arial Narrow" w:cs="Utsaah"/>
          <w:sz w:val="20"/>
          <w:szCs w:val="20"/>
        </w:rPr>
        <w:t xml:space="preserve">, en la </w:t>
      </w: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>Sección Temas/Estadísticas Agropecuarias/Estadísticas de Precios.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color w:val="0000CC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20"/>
          <w:szCs w:val="20"/>
        </w:rPr>
      </w:pPr>
      <w:r w:rsidRPr="002E5851">
        <w:rPr>
          <w:rFonts w:ascii="Arial Narrow" w:eastAsia="Arial Unicode MS" w:hAnsi="Arial Narrow" w:cs="Utsaah"/>
          <w:sz w:val="20"/>
          <w:szCs w:val="20"/>
        </w:rPr>
        <w:t xml:space="preserve">Con relación al requerimiento sobre: </w:t>
      </w:r>
      <w:r w:rsidRPr="002E5851">
        <w:rPr>
          <w:rFonts w:ascii="Arial Narrow" w:eastAsia="Arial Unicode MS" w:hAnsi="Arial Narrow" w:cs="Utsaah"/>
          <w:i/>
          <w:color w:val="0000CC"/>
          <w:sz w:val="20"/>
          <w:szCs w:val="20"/>
        </w:rPr>
        <w:t>¿Qué productos contienen la Canasta Básica? y Cuadro comparativo del alza de los productos de la Canasta Básica en los años 2012-2013 y 2014;</w:t>
      </w:r>
      <w:r w:rsidRPr="002E5851">
        <w:rPr>
          <w:rFonts w:ascii="Arial Narrow" w:eastAsia="Arial Unicode MS" w:hAnsi="Arial Narrow" w:cs="Utsaah"/>
          <w:sz w:val="20"/>
          <w:szCs w:val="20"/>
        </w:rPr>
        <w:t xml:space="preserve">se ha analizado el fondo de lo solicitado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color w:val="0000CC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Utsaah"/>
          <w:b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>DENEGAR LA INFORMACION POR NO SER ESTA INSTITUCIÓN COMPETENTE PARA CONOCER DE LA MISMA</w:t>
      </w: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sz w:val="12"/>
          <w:szCs w:val="20"/>
        </w:rPr>
      </w:pPr>
    </w:p>
    <w:p w:rsidR="002D6574" w:rsidRPr="002E5851" w:rsidRDefault="002D6574" w:rsidP="002D65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Utsaah"/>
          <w:b/>
          <w:color w:val="0000CC"/>
          <w:sz w:val="20"/>
          <w:szCs w:val="20"/>
        </w:rPr>
      </w:pPr>
      <w:r w:rsidRPr="002E5851">
        <w:rPr>
          <w:rFonts w:ascii="Arial Narrow" w:eastAsia="Arial Unicode MS" w:hAnsi="Arial Narrow" w:cs="Utsaah"/>
          <w:sz w:val="20"/>
          <w:szCs w:val="20"/>
        </w:rPr>
        <w:t xml:space="preserve">Su solicitud deberá ser dirigida al </w:t>
      </w:r>
      <w:r w:rsidRPr="002E5851">
        <w:rPr>
          <w:rFonts w:ascii="Arial Narrow" w:eastAsia="Arial Unicode MS" w:hAnsi="Arial Narrow" w:cs="Utsaah"/>
          <w:b/>
          <w:color w:val="000099"/>
          <w:sz w:val="20"/>
          <w:szCs w:val="20"/>
        </w:rPr>
        <w:t>Ministerio de Economía</w:t>
      </w:r>
      <w:r w:rsidRPr="002E5851">
        <w:rPr>
          <w:rFonts w:ascii="Arial Narrow" w:eastAsia="Arial Unicode MS" w:hAnsi="Arial Narrow" w:cs="Utsaah"/>
          <w:sz w:val="20"/>
          <w:szCs w:val="20"/>
        </w:rPr>
        <w:t xml:space="preserve">, contactar con la Oficial de Información </w:t>
      </w: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>Laura Quintanilla de Arias</w:t>
      </w:r>
      <w:r w:rsidRPr="002E5851">
        <w:rPr>
          <w:rFonts w:ascii="Arial Narrow" w:eastAsia="Arial Unicode MS" w:hAnsi="Arial Narrow" w:cs="Utsaah"/>
          <w:sz w:val="20"/>
          <w:szCs w:val="20"/>
        </w:rPr>
        <w:t xml:space="preserve">, Calle Guadalupe y Alameda Juan Pablo II, Edificio C2, Primera Planta, Plan Maestro Centro de Gobierno, San Salvador, El Salvador, </w:t>
      </w:r>
      <w:r w:rsidRPr="002E5851">
        <w:rPr>
          <w:rFonts w:ascii="Arial Narrow" w:eastAsia="Arial Unicode MS" w:hAnsi="Arial Narrow" w:cs="Utsaah"/>
          <w:b/>
          <w:color w:val="0000CC"/>
          <w:sz w:val="20"/>
          <w:szCs w:val="20"/>
        </w:rPr>
        <w:t>oir@minec.gob.sv, 2590-5532.</w:t>
      </w:r>
    </w:p>
    <w:p w:rsidR="00B95D8D" w:rsidRPr="004A157D" w:rsidRDefault="00B95D8D" w:rsidP="00B95D8D">
      <w:pPr>
        <w:spacing w:after="0" w:line="240" w:lineRule="auto"/>
        <w:jc w:val="both"/>
        <w:rPr>
          <w:rFonts w:ascii="Utsaah" w:hAnsi="Utsaah" w:cs="Utsaah"/>
          <w:sz w:val="28"/>
          <w:szCs w:val="28"/>
        </w:rPr>
      </w:pPr>
    </w:p>
    <w:p w:rsidR="0008389B" w:rsidRPr="00527430" w:rsidRDefault="0008389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F55" w:rsidRDefault="00F32F55" w:rsidP="00823710">
      <w:pPr>
        <w:spacing w:after="0" w:line="240" w:lineRule="auto"/>
      </w:pPr>
      <w:r>
        <w:separator/>
      </w:r>
    </w:p>
  </w:endnote>
  <w:endnote w:type="continuationSeparator" w:id="1">
    <w:p w:rsidR="00F32F55" w:rsidRDefault="00F32F5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F55" w:rsidRDefault="00F32F55" w:rsidP="00823710">
      <w:pPr>
        <w:spacing w:after="0" w:line="240" w:lineRule="auto"/>
      </w:pPr>
      <w:r>
        <w:separator/>
      </w:r>
    </w:p>
  </w:footnote>
  <w:footnote w:type="continuationSeparator" w:id="1">
    <w:p w:rsidR="00F32F55" w:rsidRDefault="00F32F5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307E5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307E5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7E5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43B60"/>
    <w:rsid w:val="00C55C9F"/>
    <w:rsid w:val="00C70AEB"/>
    <w:rsid w:val="00C73267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01A3D"/>
    <w:rsid w:val="00F11670"/>
    <w:rsid w:val="00F30B9B"/>
    <w:rsid w:val="00F30BC3"/>
    <w:rsid w:val="00F318D5"/>
    <w:rsid w:val="00F32F5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2017-04-24T15:09:00Z</dcterms:created>
  <dcterms:modified xsi:type="dcterms:W3CDTF">2017-04-24T15:09:00Z</dcterms:modified>
</cp:coreProperties>
</file>