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D8056B" w:rsidRPr="002B2AAF" w:rsidRDefault="007C4821" w:rsidP="002B2AAF">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161FCD" w:rsidRDefault="00161FCD" w:rsidP="00662B74">
      <w:pPr>
        <w:spacing w:after="0" w:line="240" w:lineRule="auto"/>
        <w:rPr>
          <w:rFonts w:ascii="Arial" w:hAnsi="Arial" w:cs="Arial"/>
          <w:b/>
          <w:bCs/>
          <w:color w:val="0000CC"/>
          <w:spacing w:val="-1"/>
          <w:sz w:val="24"/>
        </w:rPr>
      </w:pPr>
    </w:p>
    <w:p w:rsidR="00DF7F67" w:rsidRPr="00DF7F67" w:rsidRDefault="00B10977" w:rsidP="00DF7F67">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2B2AAF">
        <w:rPr>
          <w:rFonts w:ascii="Arial" w:hAnsi="Arial" w:cs="Arial"/>
          <w:b/>
          <w:bCs/>
          <w:color w:val="0000CC"/>
          <w:spacing w:val="-1"/>
          <w:sz w:val="24"/>
        </w:rPr>
        <w:t>N° 214</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F7F67" w:rsidRPr="00BB7268" w:rsidRDefault="00DF7F67" w:rsidP="00DF7F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24"/>
          <w:szCs w:val="24"/>
        </w:rPr>
      </w:pP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r w:rsidRPr="002B2AAF">
        <w:rPr>
          <w:rFonts w:cstheme="minorHAnsi"/>
          <w:w w:val="102"/>
          <w:sz w:val="24"/>
          <w:szCs w:val="24"/>
        </w:rPr>
        <w:t xml:space="preserve">Santa Tecla, a </w:t>
      </w:r>
      <w:r w:rsidRPr="002B2AAF">
        <w:rPr>
          <w:rFonts w:cstheme="minorHAnsi"/>
          <w:spacing w:val="1"/>
          <w:w w:val="102"/>
          <w:sz w:val="24"/>
          <w:szCs w:val="24"/>
        </w:rPr>
        <w:t>l</w:t>
      </w:r>
      <w:r w:rsidRPr="002B2AAF">
        <w:rPr>
          <w:rFonts w:cstheme="minorHAnsi"/>
          <w:w w:val="102"/>
          <w:sz w:val="24"/>
          <w:szCs w:val="24"/>
        </w:rPr>
        <w:t xml:space="preserve">as </w:t>
      </w:r>
      <w:r w:rsidRPr="002B2AAF">
        <w:rPr>
          <w:rFonts w:cstheme="minorHAnsi"/>
          <w:color w:val="C00000"/>
          <w:w w:val="102"/>
          <w:sz w:val="24"/>
          <w:szCs w:val="24"/>
        </w:rPr>
        <w:t xml:space="preserve">diez horas con treinta minutos </w:t>
      </w:r>
      <w:r w:rsidRPr="002B2AAF">
        <w:rPr>
          <w:rFonts w:cstheme="minorHAnsi"/>
          <w:w w:val="102"/>
          <w:sz w:val="24"/>
          <w:szCs w:val="24"/>
        </w:rPr>
        <w:t>d</w:t>
      </w:r>
      <w:r w:rsidRPr="002B2AAF">
        <w:rPr>
          <w:rFonts w:cstheme="minorHAnsi"/>
          <w:spacing w:val="-4"/>
          <w:w w:val="102"/>
          <w:sz w:val="24"/>
          <w:szCs w:val="24"/>
        </w:rPr>
        <w:t>e</w:t>
      </w:r>
      <w:r w:rsidRPr="002B2AAF">
        <w:rPr>
          <w:rFonts w:cstheme="minorHAnsi"/>
          <w:w w:val="102"/>
          <w:sz w:val="24"/>
          <w:szCs w:val="24"/>
        </w:rPr>
        <w:t>l d</w:t>
      </w:r>
      <w:r w:rsidRPr="002B2AAF">
        <w:rPr>
          <w:rFonts w:cstheme="minorHAnsi"/>
          <w:spacing w:val="1"/>
          <w:w w:val="102"/>
          <w:sz w:val="24"/>
          <w:szCs w:val="24"/>
        </w:rPr>
        <w:t>í</w:t>
      </w:r>
      <w:r w:rsidRPr="002B2AAF">
        <w:rPr>
          <w:rFonts w:cstheme="minorHAnsi"/>
          <w:w w:val="102"/>
          <w:sz w:val="24"/>
          <w:szCs w:val="24"/>
        </w:rPr>
        <w:t xml:space="preserve">a </w:t>
      </w:r>
      <w:r w:rsidRPr="002B2AAF">
        <w:rPr>
          <w:rFonts w:cstheme="minorHAnsi"/>
          <w:b/>
          <w:color w:val="0000CC"/>
          <w:w w:val="102"/>
          <w:sz w:val="24"/>
          <w:szCs w:val="24"/>
        </w:rPr>
        <w:t>10 de septiembre de 2014</w:t>
      </w:r>
      <w:r w:rsidRPr="002B2AAF">
        <w:rPr>
          <w:rFonts w:cstheme="minorHAnsi"/>
          <w:w w:val="102"/>
          <w:sz w:val="24"/>
          <w:szCs w:val="24"/>
        </w:rPr>
        <w:t xml:space="preserve">, el Ministerio de Agricultura y Ganadería luego de haber recibido y admitido la solicitud de información </w:t>
      </w:r>
      <w:r w:rsidRPr="002B2AAF">
        <w:rPr>
          <w:rFonts w:cstheme="minorHAnsi"/>
          <w:b/>
          <w:color w:val="0000CC"/>
          <w:w w:val="102"/>
          <w:sz w:val="24"/>
          <w:szCs w:val="24"/>
        </w:rPr>
        <w:t>Nº 214-2014</w:t>
      </w:r>
      <w:r w:rsidRPr="002B2AAF">
        <w:rPr>
          <w:rFonts w:cstheme="minorHAnsi"/>
          <w:w w:val="102"/>
          <w:sz w:val="24"/>
          <w:szCs w:val="24"/>
        </w:rPr>
        <w:t xml:space="preserve"> sobre:</w:t>
      </w: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p>
    <w:p w:rsidR="002B2AAF" w:rsidRPr="002B2AAF" w:rsidRDefault="002B2AAF" w:rsidP="002B2AAF">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sz w:val="24"/>
          <w:szCs w:val="24"/>
        </w:rPr>
      </w:pPr>
      <w:r w:rsidRPr="002B2AAF">
        <w:rPr>
          <w:rFonts w:asciiTheme="minorHAnsi" w:hAnsiTheme="minorHAnsi" w:cstheme="minorHAnsi"/>
          <w:color w:val="000099"/>
          <w:w w:val="102"/>
          <w:sz w:val="24"/>
          <w:szCs w:val="24"/>
        </w:rPr>
        <w:t>Listado de licencias especiales de pesca otorgadas entre el 1º de enero de 2000 al 31 de julio de 2014.</w:t>
      </w:r>
    </w:p>
    <w:p w:rsidR="002B2AAF" w:rsidRPr="002B2AAF" w:rsidRDefault="002B2AAF" w:rsidP="002B2AAF">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sz w:val="24"/>
          <w:szCs w:val="24"/>
        </w:rPr>
      </w:pPr>
      <w:r w:rsidRPr="002B2AAF">
        <w:rPr>
          <w:rFonts w:asciiTheme="minorHAnsi" w:hAnsiTheme="minorHAnsi" w:cstheme="minorHAnsi"/>
          <w:color w:val="000099"/>
          <w:w w:val="102"/>
          <w:sz w:val="24"/>
          <w:szCs w:val="24"/>
        </w:rPr>
        <w:t>Datos sobre los cálculos y cánones requeridos por el Artículo 64 para cada una de las licencias especiales otorgadas por CENDEPESCA entre el 1º de enero 2000 al 31 de  julio de 2014.</w:t>
      </w:r>
    </w:p>
    <w:p w:rsidR="002B2AAF" w:rsidRPr="002B2AAF" w:rsidRDefault="002B2AAF" w:rsidP="002B2AAF">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sz w:val="24"/>
          <w:szCs w:val="24"/>
        </w:rPr>
      </w:pPr>
      <w:r w:rsidRPr="002B2AAF">
        <w:rPr>
          <w:rFonts w:asciiTheme="minorHAnsi" w:hAnsiTheme="minorHAnsi" w:cstheme="minorHAnsi"/>
          <w:color w:val="000099"/>
          <w:w w:val="102"/>
          <w:sz w:val="24"/>
          <w:szCs w:val="24"/>
        </w:rPr>
        <w:t>Un copia de todos los Convenios Internacionales firmados y ratificados por El Salvador según el Art.61 entre el 1º de enero de 2000 al 31 de julio de 2014.</w:t>
      </w: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lang w:val="es-ES"/>
        </w:rPr>
      </w:pP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r w:rsidRPr="002B2AAF">
        <w:rPr>
          <w:rFonts w:cstheme="minorHAnsi"/>
          <w:w w:val="102"/>
          <w:sz w:val="24"/>
          <w:szCs w:val="24"/>
        </w:rPr>
        <w:t>Presentada ante la Oficina de Información y Respuesta de esta dependencia por parte de</w:t>
      </w:r>
      <w:r w:rsidRPr="002B2AAF">
        <w:rPr>
          <w:rFonts w:cstheme="minorHAnsi"/>
          <w:sz w:val="24"/>
          <w:szCs w:val="24"/>
        </w:rPr>
        <w:t xml:space="preserve">: </w:t>
      </w:r>
      <w:r w:rsidRPr="002B2AAF">
        <w:rPr>
          <w:rFonts w:cstheme="minorHAnsi"/>
          <w:b/>
          <w:w w:val="102"/>
          <w:sz w:val="24"/>
          <w:szCs w:val="24"/>
          <w:highlight w:val="black"/>
        </w:rPr>
        <w:t>******************</w:t>
      </w:r>
      <w:r w:rsidRPr="002B2AAF">
        <w:rPr>
          <w:rFonts w:cstheme="minorHAnsi"/>
          <w:b/>
          <w:color w:val="000099"/>
          <w:w w:val="102"/>
          <w:sz w:val="24"/>
          <w:szCs w:val="24"/>
        </w:rPr>
        <w:t xml:space="preserve">, </w:t>
      </w:r>
      <w:r w:rsidRPr="002B2AAF">
        <w:rPr>
          <w:rFonts w:cstheme="minorHAnsi"/>
          <w:w w:val="102"/>
          <w:sz w:val="24"/>
          <w:szCs w:val="24"/>
        </w:rPr>
        <w:t xml:space="preserve">y considerando que la información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resuelve: </w:t>
      </w: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w w:val="102"/>
          <w:sz w:val="24"/>
          <w:szCs w:val="24"/>
        </w:rPr>
      </w:pP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theme="minorHAnsi"/>
          <w:b/>
          <w:color w:val="000099"/>
          <w:w w:val="102"/>
          <w:sz w:val="24"/>
          <w:szCs w:val="24"/>
        </w:rPr>
      </w:pPr>
      <w:r w:rsidRPr="002B2AAF">
        <w:rPr>
          <w:rFonts w:cstheme="minorHAnsi"/>
          <w:b/>
          <w:color w:val="000099"/>
          <w:w w:val="102"/>
          <w:sz w:val="24"/>
          <w:szCs w:val="24"/>
        </w:rPr>
        <w:t>PROPORCIONAR LA INFORMACIÓN PÚBLICA SOLICITADA</w:t>
      </w: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w w:val="102"/>
          <w:sz w:val="24"/>
          <w:szCs w:val="24"/>
        </w:rPr>
      </w:pPr>
    </w:p>
    <w:p w:rsidR="002B2AAF" w:rsidRPr="002B2AAF" w:rsidRDefault="002B2AAF" w:rsidP="002B2AAF">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360"/>
        <w:rPr>
          <w:rFonts w:asciiTheme="minorHAnsi" w:hAnsiTheme="minorHAnsi" w:cstheme="minorHAnsi"/>
          <w:w w:val="102"/>
          <w:sz w:val="24"/>
          <w:szCs w:val="24"/>
        </w:rPr>
      </w:pPr>
      <w:r w:rsidRPr="002B2AAF">
        <w:rPr>
          <w:rFonts w:asciiTheme="minorHAnsi" w:hAnsiTheme="minorHAnsi" w:cstheme="minorHAnsi"/>
          <w:w w:val="102"/>
          <w:sz w:val="24"/>
          <w:szCs w:val="24"/>
        </w:rPr>
        <w:t>La primera licencia Especial de Pesca, se otorgó en junio de 2001, en cuadro anexo se detalla el nombre de las embarcaciones, el tipo de licencia autorizada para cada una de ellas, el tonelaje de registro neto (TRN) de cada embarcación y los salarios mínimos utilizados para los cálculos  de los cánones a que se refiere el artículo 64 de la Ley General de Ordenación y Promoción de Pesca y Acuicultura, para cada una de las licencias especiales otorgadas por CENDEPESCA en dichos años.</w:t>
      </w:r>
    </w:p>
    <w:p w:rsidR="002B2AAF" w:rsidRPr="002B2AAF" w:rsidRDefault="002B2AAF" w:rsidP="002B2AAF">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360"/>
        <w:rPr>
          <w:rFonts w:asciiTheme="minorHAnsi" w:hAnsiTheme="minorHAnsi" w:cstheme="minorHAnsi"/>
          <w:w w:val="102"/>
          <w:sz w:val="24"/>
          <w:szCs w:val="24"/>
        </w:rPr>
      </w:pPr>
      <w:r w:rsidRPr="002B2AAF">
        <w:rPr>
          <w:rFonts w:asciiTheme="minorHAnsi" w:hAnsiTheme="minorHAnsi" w:cstheme="minorHAnsi"/>
          <w:w w:val="102"/>
          <w:sz w:val="24"/>
          <w:szCs w:val="24"/>
        </w:rPr>
        <w:t xml:space="preserve">La embarcación </w:t>
      </w:r>
      <w:r w:rsidRPr="002B2AAF">
        <w:rPr>
          <w:rFonts w:asciiTheme="minorHAnsi" w:hAnsiTheme="minorHAnsi" w:cstheme="minorHAnsi"/>
          <w:i/>
          <w:w w:val="102"/>
          <w:sz w:val="24"/>
          <w:szCs w:val="24"/>
        </w:rPr>
        <w:t>“Monteneme”</w:t>
      </w:r>
      <w:r w:rsidRPr="002B2AAF">
        <w:rPr>
          <w:rFonts w:asciiTheme="minorHAnsi" w:hAnsiTheme="minorHAnsi" w:cstheme="minorHAnsi"/>
          <w:w w:val="102"/>
          <w:sz w:val="24"/>
          <w:szCs w:val="24"/>
        </w:rPr>
        <w:t xml:space="preserve"> realizó un viaje de pesca en el año 2002, cinco viajes en el año 2003 y dos en el año 2004; la embarcación </w:t>
      </w:r>
      <w:r w:rsidRPr="002B2AAF">
        <w:rPr>
          <w:rFonts w:asciiTheme="minorHAnsi" w:hAnsiTheme="minorHAnsi" w:cstheme="minorHAnsi"/>
          <w:i/>
          <w:w w:val="102"/>
          <w:sz w:val="24"/>
          <w:szCs w:val="24"/>
        </w:rPr>
        <w:t>“Tunapuy”</w:t>
      </w:r>
      <w:r w:rsidRPr="002B2AAF">
        <w:rPr>
          <w:rFonts w:asciiTheme="minorHAnsi" w:hAnsiTheme="minorHAnsi" w:cstheme="minorHAnsi"/>
          <w:w w:val="102"/>
          <w:sz w:val="24"/>
          <w:szCs w:val="24"/>
        </w:rPr>
        <w:t xml:space="preserve"> realizó un viaje entre </w:t>
      </w:r>
      <w:r w:rsidRPr="002B2AAF">
        <w:rPr>
          <w:rFonts w:asciiTheme="minorHAnsi" w:hAnsiTheme="minorHAnsi" w:cstheme="minorHAnsi"/>
          <w:w w:val="102"/>
          <w:sz w:val="24"/>
          <w:szCs w:val="24"/>
        </w:rPr>
        <w:lastRenderedPageBreak/>
        <w:t>octubre y noviembre en el año 2005 y un viaje de pesca entre noviembre y diciembre del mismo año. Cánones aplicados: Desembarques fuera del territorio nacional 1/6 SMM/TRN.</w:t>
      </w:r>
    </w:p>
    <w:p w:rsidR="002B2AAF" w:rsidRPr="002B2AAF"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p>
    <w:p w:rsidR="009968AE" w:rsidRPr="009968AE" w:rsidRDefault="002B2AAF" w:rsidP="002B2AA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b/>
          <w:color w:val="0000CC"/>
          <w:w w:val="102"/>
        </w:rPr>
      </w:pPr>
      <w:r w:rsidRPr="002B2AAF">
        <w:rPr>
          <w:rFonts w:cstheme="minorHAnsi"/>
          <w:w w:val="102"/>
          <w:sz w:val="24"/>
          <w:szCs w:val="24"/>
        </w:rPr>
        <w:t xml:space="preserve">Sobre los convenios suscritos por El Salvador y relacionados al tema de pesca de Especies Altamente migratorios únicamente se ha suscrito la </w:t>
      </w:r>
      <w:r w:rsidRPr="002B2AAF">
        <w:rPr>
          <w:rFonts w:cstheme="minorHAnsi"/>
          <w:i/>
          <w:w w:val="102"/>
          <w:sz w:val="24"/>
          <w:szCs w:val="24"/>
        </w:rPr>
        <w:t>Convención de Antigua</w:t>
      </w:r>
      <w:r w:rsidRPr="002B2AAF">
        <w:rPr>
          <w:rFonts w:cstheme="minorHAnsi"/>
          <w:w w:val="102"/>
          <w:sz w:val="24"/>
          <w:szCs w:val="24"/>
        </w:rPr>
        <w:t>, se adjunta hoja que contiene la información de la convención.</w:t>
      </w:r>
    </w:p>
    <w:p w:rsidR="009C264A" w:rsidRDefault="009C264A" w:rsidP="009C264A">
      <w:pPr>
        <w:widowControl w:val="0"/>
        <w:autoSpaceDE w:val="0"/>
        <w:autoSpaceDN w:val="0"/>
        <w:adjustRightInd w:val="0"/>
        <w:spacing w:after="0" w:line="360" w:lineRule="auto"/>
        <w:jc w:val="center"/>
        <w:rPr>
          <w:rFonts w:cstheme="minorHAnsi"/>
          <w:w w:val="102"/>
          <w:sz w:val="24"/>
          <w:szCs w:val="24"/>
        </w:rPr>
      </w:pPr>
    </w:p>
    <w:p w:rsidR="009968AE" w:rsidRDefault="009968AE" w:rsidP="009C264A">
      <w:pPr>
        <w:widowControl w:val="0"/>
        <w:autoSpaceDE w:val="0"/>
        <w:autoSpaceDN w:val="0"/>
        <w:adjustRightInd w:val="0"/>
        <w:spacing w:after="0" w:line="360" w:lineRule="auto"/>
        <w:jc w:val="center"/>
        <w:rPr>
          <w:rFonts w:cstheme="minorHAnsi"/>
          <w:w w:val="102"/>
          <w:sz w:val="24"/>
          <w:szCs w:val="24"/>
        </w:rPr>
      </w:pPr>
    </w:p>
    <w:p w:rsidR="009968AE" w:rsidRPr="009C264A" w:rsidRDefault="009968AE" w:rsidP="009C264A">
      <w:pPr>
        <w:widowControl w:val="0"/>
        <w:autoSpaceDE w:val="0"/>
        <w:autoSpaceDN w:val="0"/>
        <w:adjustRightInd w:val="0"/>
        <w:spacing w:after="0" w:line="360" w:lineRule="auto"/>
        <w:jc w:val="center"/>
        <w:rPr>
          <w:rFonts w:cstheme="minorHAnsi"/>
          <w:w w:val="102"/>
          <w:sz w:val="24"/>
          <w:szCs w:val="24"/>
        </w:rPr>
      </w:pPr>
    </w:p>
    <w:p w:rsidR="00527430" w:rsidRPr="00527430" w:rsidRDefault="00527430"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E22" w:rsidRDefault="009E7E22" w:rsidP="00823710">
      <w:pPr>
        <w:spacing w:after="0" w:line="240" w:lineRule="auto"/>
      </w:pPr>
      <w:r>
        <w:separator/>
      </w:r>
    </w:p>
  </w:endnote>
  <w:endnote w:type="continuationSeparator" w:id="1">
    <w:p w:rsidR="009E7E22" w:rsidRDefault="009E7E22"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tsaah">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E22" w:rsidRDefault="009E7E22" w:rsidP="00823710">
      <w:pPr>
        <w:spacing w:after="0" w:line="240" w:lineRule="auto"/>
      </w:pPr>
      <w:r>
        <w:separator/>
      </w:r>
    </w:p>
  </w:footnote>
  <w:footnote w:type="continuationSeparator" w:id="1">
    <w:p w:rsidR="009E7E22" w:rsidRDefault="009E7E22"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rsidP="00823710">
    <w:pPr>
      <w:pStyle w:val="Encabezado"/>
      <w:tabs>
        <w:tab w:val="clear" w:pos="4252"/>
        <w:tab w:val="clear" w:pos="8504"/>
        <w:tab w:val="left" w:pos="3884"/>
      </w:tabs>
      <w:jc w:val="center"/>
    </w:pPr>
    <w:r w:rsidRPr="00C70AE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C70AEB">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9CA"/>
    <w:multiLevelType w:val="hybridMultilevel"/>
    <w:tmpl w:val="BD3EA7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131748"/>
    <w:multiLevelType w:val="hybridMultilevel"/>
    <w:tmpl w:val="C7FEDE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C87E87"/>
    <w:multiLevelType w:val="hybridMultilevel"/>
    <w:tmpl w:val="D06077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310E53"/>
    <w:multiLevelType w:val="hybridMultilevel"/>
    <w:tmpl w:val="8766C5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47527B"/>
    <w:multiLevelType w:val="hybridMultilevel"/>
    <w:tmpl w:val="C9BCDE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D20636"/>
    <w:multiLevelType w:val="hybridMultilevel"/>
    <w:tmpl w:val="E286B69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8B21890"/>
    <w:multiLevelType w:val="hybridMultilevel"/>
    <w:tmpl w:val="2624B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9D66763"/>
    <w:multiLevelType w:val="hybridMultilevel"/>
    <w:tmpl w:val="04385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B997C72"/>
    <w:multiLevelType w:val="hybridMultilevel"/>
    <w:tmpl w:val="D6343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21D6381"/>
    <w:multiLevelType w:val="hybridMultilevel"/>
    <w:tmpl w:val="490CB9C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F96D38"/>
    <w:multiLevelType w:val="hybridMultilevel"/>
    <w:tmpl w:val="9B1AD4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595085"/>
    <w:multiLevelType w:val="hybridMultilevel"/>
    <w:tmpl w:val="11ECDA38"/>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B43845"/>
    <w:multiLevelType w:val="hybridMultilevel"/>
    <w:tmpl w:val="2520929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B84BDF"/>
    <w:multiLevelType w:val="hybridMultilevel"/>
    <w:tmpl w:val="FC54E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91E1501"/>
    <w:multiLevelType w:val="hybridMultilevel"/>
    <w:tmpl w:val="F4227E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2BE76EB6"/>
    <w:multiLevelType w:val="hybridMultilevel"/>
    <w:tmpl w:val="C16C07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2C7677E7"/>
    <w:multiLevelType w:val="hybridMultilevel"/>
    <w:tmpl w:val="345E64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E0D58A5"/>
    <w:multiLevelType w:val="hybridMultilevel"/>
    <w:tmpl w:val="0B9801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9E5578"/>
    <w:multiLevelType w:val="hybridMultilevel"/>
    <w:tmpl w:val="83AE08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73460C"/>
    <w:multiLevelType w:val="hybridMultilevel"/>
    <w:tmpl w:val="EF8A4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8F2DE2"/>
    <w:multiLevelType w:val="hybridMultilevel"/>
    <w:tmpl w:val="05D29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0F48F0"/>
    <w:multiLevelType w:val="hybridMultilevel"/>
    <w:tmpl w:val="A5F8B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7A7E4A"/>
    <w:multiLevelType w:val="hybridMultilevel"/>
    <w:tmpl w:val="5D563C4A"/>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B617C59"/>
    <w:multiLevelType w:val="hybridMultilevel"/>
    <w:tmpl w:val="C7FA74E6"/>
    <w:lvl w:ilvl="0" w:tplc="D13EC644">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F309B6"/>
    <w:multiLevelType w:val="hybridMultilevel"/>
    <w:tmpl w:val="8FC4FB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44C4245"/>
    <w:multiLevelType w:val="hybridMultilevel"/>
    <w:tmpl w:val="8D683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EB0CAA"/>
    <w:multiLevelType w:val="hybridMultilevel"/>
    <w:tmpl w:val="FDC052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495010"/>
    <w:multiLevelType w:val="hybridMultilevel"/>
    <w:tmpl w:val="82E2B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182EBE"/>
    <w:multiLevelType w:val="hybridMultilevel"/>
    <w:tmpl w:val="7C261B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C032CCF"/>
    <w:multiLevelType w:val="hybridMultilevel"/>
    <w:tmpl w:val="6822825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0EC0A31"/>
    <w:multiLevelType w:val="hybridMultilevel"/>
    <w:tmpl w:val="79008668"/>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1F12484"/>
    <w:multiLevelType w:val="hybridMultilevel"/>
    <w:tmpl w:val="06845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AF764B2"/>
    <w:multiLevelType w:val="hybridMultilevel"/>
    <w:tmpl w:val="AAA051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E895111"/>
    <w:multiLevelType w:val="hybridMultilevel"/>
    <w:tmpl w:val="93803C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081456F"/>
    <w:multiLevelType w:val="hybridMultilevel"/>
    <w:tmpl w:val="FC5E4D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1910891"/>
    <w:multiLevelType w:val="hybridMultilevel"/>
    <w:tmpl w:val="83D2B5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520AD9"/>
    <w:multiLevelType w:val="hybridMultilevel"/>
    <w:tmpl w:val="AE28D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5A1205"/>
    <w:multiLevelType w:val="hybridMultilevel"/>
    <w:tmpl w:val="0186D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4570D3D"/>
    <w:multiLevelType w:val="hybridMultilevel"/>
    <w:tmpl w:val="D45443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7A00349"/>
    <w:multiLevelType w:val="hybridMultilevel"/>
    <w:tmpl w:val="5B46E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9CF51EE"/>
    <w:multiLevelType w:val="hybridMultilevel"/>
    <w:tmpl w:val="F99A3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A514FB2"/>
    <w:multiLevelType w:val="hybridMultilevel"/>
    <w:tmpl w:val="4552B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92186C"/>
    <w:multiLevelType w:val="hybridMultilevel"/>
    <w:tmpl w:val="1A06BA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EF7F1F"/>
    <w:multiLevelType w:val="hybridMultilevel"/>
    <w:tmpl w:val="FEAA5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FE519B"/>
    <w:multiLevelType w:val="hybridMultilevel"/>
    <w:tmpl w:val="D05E2C9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33"/>
  </w:num>
  <w:num w:numId="3">
    <w:abstractNumId w:val="25"/>
  </w:num>
  <w:num w:numId="4">
    <w:abstractNumId w:val="41"/>
  </w:num>
  <w:num w:numId="5">
    <w:abstractNumId w:val="46"/>
  </w:num>
  <w:num w:numId="6">
    <w:abstractNumId w:val="13"/>
  </w:num>
  <w:num w:numId="7">
    <w:abstractNumId w:val="20"/>
  </w:num>
  <w:num w:numId="8">
    <w:abstractNumId w:val="3"/>
  </w:num>
  <w:num w:numId="9">
    <w:abstractNumId w:val="16"/>
  </w:num>
  <w:num w:numId="10">
    <w:abstractNumId w:val="26"/>
  </w:num>
  <w:num w:numId="11">
    <w:abstractNumId w:val="34"/>
  </w:num>
  <w:num w:numId="12">
    <w:abstractNumId w:val="7"/>
  </w:num>
  <w:num w:numId="13">
    <w:abstractNumId w:val="38"/>
  </w:num>
  <w:num w:numId="14">
    <w:abstractNumId w:val="45"/>
  </w:num>
  <w:num w:numId="15">
    <w:abstractNumId w:val="22"/>
  </w:num>
  <w:num w:numId="16">
    <w:abstractNumId w:val="5"/>
  </w:num>
  <w:num w:numId="17">
    <w:abstractNumId w:val="2"/>
  </w:num>
  <w:num w:numId="18">
    <w:abstractNumId w:val="31"/>
  </w:num>
  <w:num w:numId="19">
    <w:abstractNumId w:val="15"/>
  </w:num>
  <w:num w:numId="20">
    <w:abstractNumId w:val="4"/>
  </w:num>
  <w:num w:numId="21">
    <w:abstractNumId w:val="9"/>
  </w:num>
  <w:num w:numId="22">
    <w:abstractNumId w:val="27"/>
  </w:num>
  <w:num w:numId="23">
    <w:abstractNumId w:val="43"/>
  </w:num>
  <w:num w:numId="24">
    <w:abstractNumId w:val="19"/>
  </w:num>
  <w:num w:numId="25">
    <w:abstractNumId w:val="12"/>
  </w:num>
  <w:num w:numId="26">
    <w:abstractNumId w:val="29"/>
  </w:num>
  <w:num w:numId="27">
    <w:abstractNumId w:val="35"/>
  </w:num>
  <w:num w:numId="28">
    <w:abstractNumId w:val="23"/>
  </w:num>
  <w:num w:numId="29">
    <w:abstractNumId w:val="44"/>
  </w:num>
  <w:num w:numId="30">
    <w:abstractNumId w:val="18"/>
  </w:num>
  <w:num w:numId="31">
    <w:abstractNumId w:val="14"/>
  </w:num>
  <w:num w:numId="32">
    <w:abstractNumId w:val="39"/>
  </w:num>
  <w:num w:numId="33">
    <w:abstractNumId w:val="17"/>
  </w:num>
  <w:num w:numId="34">
    <w:abstractNumId w:val="37"/>
  </w:num>
  <w:num w:numId="35">
    <w:abstractNumId w:val="32"/>
  </w:num>
  <w:num w:numId="36">
    <w:abstractNumId w:val="21"/>
  </w:num>
  <w:num w:numId="37">
    <w:abstractNumId w:val="6"/>
  </w:num>
  <w:num w:numId="38">
    <w:abstractNumId w:val="42"/>
  </w:num>
  <w:num w:numId="39">
    <w:abstractNumId w:val="1"/>
  </w:num>
  <w:num w:numId="40">
    <w:abstractNumId w:val="47"/>
  </w:num>
  <w:num w:numId="41">
    <w:abstractNumId w:val="36"/>
  </w:num>
  <w:num w:numId="42">
    <w:abstractNumId w:val="24"/>
  </w:num>
  <w:num w:numId="43">
    <w:abstractNumId w:val="8"/>
  </w:num>
  <w:num w:numId="44">
    <w:abstractNumId w:val="10"/>
  </w:num>
  <w:num w:numId="45">
    <w:abstractNumId w:val="30"/>
  </w:num>
  <w:num w:numId="46">
    <w:abstractNumId w:val="40"/>
  </w:num>
  <w:num w:numId="47">
    <w:abstractNumId w:val="11"/>
  </w:num>
  <w:num w:numId="4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B1008"/>
    <w:rsid w:val="000B222A"/>
    <w:rsid w:val="000C26BD"/>
    <w:rsid w:val="000E64AB"/>
    <w:rsid w:val="001100A1"/>
    <w:rsid w:val="0011189E"/>
    <w:rsid w:val="00111E6F"/>
    <w:rsid w:val="00113187"/>
    <w:rsid w:val="001232E7"/>
    <w:rsid w:val="00132329"/>
    <w:rsid w:val="00132AFA"/>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E7"/>
    <w:rsid w:val="00232906"/>
    <w:rsid w:val="002455AC"/>
    <w:rsid w:val="00245EFE"/>
    <w:rsid w:val="0025146C"/>
    <w:rsid w:val="00260AC5"/>
    <w:rsid w:val="00263E36"/>
    <w:rsid w:val="00274F6D"/>
    <w:rsid w:val="00280247"/>
    <w:rsid w:val="002828DC"/>
    <w:rsid w:val="002907CB"/>
    <w:rsid w:val="002A6663"/>
    <w:rsid w:val="002B2AAF"/>
    <w:rsid w:val="002C0092"/>
    <w:rsid w:val="002E1BB3"/>
    <w:rsid w:val="002E5E36"/>
    <w:rsid w:val="002F1B55"/>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53DC"/>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71ACF"/>
    <w:rsid w:val="00871C20"/>
    <w:rsid w:val="008746F7"/>
    <w:rsid w:val="00876EE7"/>
    <w:rsid w:val="00891F5C"/>
    <w:rsid w:val="008B6586"/>
    <w:rsid w:val="008D040E"/>
    <w:rsid w:val="008E0FD9"/>
    <w:rsid w:val="008E123E"/>
    <w:rsid w:val="008E6431"/>
    <w:rsid w:val="0090733D"/>
    <w:rsid w:val="0095699E"/>
    <w:rsid w:val="00964C75"/>
    <w:rsid w:val="00965E08"/>
    <w:rsid w:val="0097218C"/>
    <w:rsid w:val="00973D7D"/>
    <w:rsid w:val="009968AE"/>
    <w:rsid w:val="009C264A"/>
    <w:rsid w:val="009E7E22"/>
    <w:rsid w:val="009F0D84"/>
    <w:rsid w:val="009F694E"/>
    <w:rsid w:val="009F69F4"/>
    <w:rsid w:val="00A02CEF"/>
    <w:rsid w:val="00A307D4"/>
    <w:rsid w:val="00A30DD6"/>
    <w:rsid w:val="00A31009"/>
    <w:rsid w:val="00A354FF"/>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140B"/>
    <w:rsid w:val="00B53310"/>
    <w:rsid w:val="00B56C68"/>
    <w:rsid w:val="00B56F0B"/>
    <w:rsid w:val="00B60E5D"/>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55C9F"/>
    <w:rsid w:val="00C70AEB"/>
    <w:rsid w:val="00C73267"/>
    <w:rsid w:val="00C776EA"/>
    <w:rsid w:val="00C817D9"/>
    <w:rsid w:val="00C928AD"/>
    <w:rsid w:val="00C95C75"/>
    <w:rsid w:val="00CB39BA"/>
    <w:rsid w:val="00D05779"/>
    <w:rsid w:val="00D152B7"/>
    <w:rsid w:val="00D3758D"/>
    <w:rsid w:val="00D43507"/>
    <w:rsid w:val="00D54926"/>
    <w:rsid w:val="00D8056B"/>
    <w:rsid w:val="00D85F1C"/>
    <w:rsid w:val="00D97917"/>
    <w:rsid w:val="00DB1905"/>
    <w:rsid w:val="00DC14E7"/>
    <w:rsid w:val="00DD51C2"/>
    <w:rsid w:val="00DD5223"/>
    <w:rsid w:val="00DF7F67"/>
    <w:rsid w:val="00E03488"/>
    <w:rsid w:val="00E2243A"/>
    <w:rsid w:val="00E22F23"/>
    <w:rsid w:val="00E33284"/>
    <w:rsid w:val="00E33E0A"/>
    <w:rsid w:val="00E616DD"/>
    <w:rsid w:val="00E64E2E"/>
    <w:rsid w:val="00E753B5"/>
    <w:rsid w:val="00E810D0"/>
    <w:rsid w:val="00EA11E9"/>
    <w:rsid w:val="00EB3251"/>
    <w:rsid w:val="00EB4177"/>
    <w:rsid w:val="00EE381E"/>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2017-04-20T19:40:00Z</dcterms:created>
  <dcterms:modified xsi:type="dcterms:W3CDTF">2017-04-20T19:40:00Z</dcterms:modified>
</cp:coreProperties>
</file>