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AC3B7A">
        <w:rPr>
          <w:rFonts w:ascii="Arial" w:hAnsi="Arial" w:cs="Arial"/>
          <w:b/>
          <w:bCs/>
          <w:color w:val="0000CC"/>
          <w:spacing w:val="-1"/>
          <w:sz w:val="24"/>
        </w:rPr>
        <w:t>87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B3479E" w:rsidRDefault="00B3479E" w:rsidP="00B3479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AC3B7A" w:rsidRPr="00BF0034" w:rsidRDefault="00AC3B7A" w:rsidP="00AC3B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BF0034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BF0034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BF0034">
        <w:rPr>
          <w:rFonts w:cstheme="minorHAnsi"/>
          <w:spacing w:val="1"/>
          <w:w w:val="102"/>
        </w:rPr>
        <w:t>l</w:t>
      </w:r>
      <w:r w:rsidRPr="00BF0034">
        <w:rPr>
          <w:rFonts w:cstheme="minorHAnsi"/>
          <w:w w:val="102"/>
        </w:rPr>
        <w:t xml:space="preserve">as </w:t>
      </w:r>
      <w:r w:rsidRPr="00BF0034">
        <w:rPr>
          <w:rFonts w:cstheme="minorHAnsi"/>
          <w:color w:val="C00000"/>
          <w:w w:val="102"/>
        </w:rPr>
        <w:t>catorce horas con veinte minutos</w:t>
      </w:r>
      <w:r>
        <w:rPr>
          <w:rFonts w:cstheme="minorHAnsi"/>
          <w:color w:val="C00000"/>
          <w:w w:val="102"/>
        </w:rPr>
        <w:t xml:space="preserve"> </w:t>
      </w:r>
      <w:r w:rsidRPr="00BF0034">
        <w:rPr>
          <w:rFonts w:cstheme="minorHAnsi"/>
          <w:w w:val="102"/>
        </w:rPr>
        <w:t>d</w:t>
      </w:r>
      <w:r w:rsidRPr="00BF0034">
        <w:rPr>
          <w:rFonts w:cstheme="minorHAnsi"/>
          <w:spacing w:val="-4"/>
          <w:w w:val="102"/>
        </w:rPr>
        <w:t>e</w:t>
      </w:r>
      <w:r w:rsidRPr="00BF0034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BF0034">
        <w:rPr>
          <w:rFonts w:cstheme="minorHAnsi"/>
          <w:w w:val="102"/>
        </w:rPr>
        <w:t>d</w:t>
      </w:r>
      <w:r w:rsidRPr="00BF0034">
        <w:rPr>
          <w:rFonts w:cstheme="minorHAnsi"/>
          <w:spacing w:val="1"/>
          <w:w w:val="102"/>
        </w:rPr>
        <w:t>í</w:t>
      </w:r>
      <w:r w:rsidRPr="00BF0034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BF0034">
        <w:rPr>
          <w:rFonts w:cstheme="minorHAnsi"/>
          <w:b/>
          <w:color w:val="002060"/>
          <w:w w:val="102"/>
        </w:rPr>
        <w:t>28de julio</w:t>
      </w:r>
      <w:r>
        <w:rPr>
          <w:rFonts w:cstheme="minorHAnsi"/>
          <w:b/>
          <w:color w:val="002060"/>
          <w:w w:val="102"/>
        </w:rPr>
        <w:t xml:space="preserve"> </w:t>
      </w:r>
      <w:r w:rsidRPr="00BF0034">
        <w:rPr>
          <w:rFonts w:cstheme="minorHAnsi"/>
          <w:b/>
          <w:color w:val="002060"/>
          <w:w w:val="102"/>
        </w:rPr>
        <w:t>de 2014</w:t>
      </w:r>
      <w:r w:rsidRPr="00BF0034">
        <w:rPr>
          <w:rFonts w:cstheme="minorHAnsi"/>
          <w:w w:val="102"/>
        </w:rPr>
        <w:t>, el Ministerio de Agricultura y Ganadería luego de haber recibido y admitido la solicitud de información</w:t>
      </w:r>
      <w:r>
        <w:rPr>
          <w:rFonts w:cstheme="minorHAnsi"/>
          <w:w w:val="102"/>
        </w:rPr>
        <w:t xml:space="preserve"> </w:t>
      </w:r>
      <w:r w:rsidRPr="00BF0034">
        <w:rPr>
          <w:rFonts w:cstheme="minorHAnsi"/>
          <w:b/>
          <w:color w:val="002060"/>
          <w:w w:val="102"/>
        </w:rPr>
        <w:t>No. 187</w:t>
      </w:r>
      <w:r>
        <w:rPr>
          <w:rFonts w:cstheme="minorHAnsi"/>
          <w:b/>
          <w:color w:val="002060"/>
          <w:w w:val="102"/>
        </w:rPr>
        <w:t xml:space="preserve">-2014 </w:t>
      </w:r>
      <w:r w:rsidRPr="00BF0034">
        <w:rPr>
          <w:rFonts w:cstheme="minorHAnsi"/>
          <w:w w:val="102"/>
        </w:rPr>
        <w:t>sobre:</w:t>
      </w:r>
    </w:p>
    <w:p w:rsidR="00AC3B7A" w:rsidRPr="00BF0034" w:rsidRDefault="00AC3B7A" w:rsidP="00AC3B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0"/>
        </w:rPr>
      </w:pPr>
    </w:p>
    <w:p w:rsidR="00AC3B7A" w:rsidRPr="00BF0034" w:rsidRDefault="00AC3B7A" w:rsidP="00AC3B7A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BF0034">
        <w:rPr>
          <w:rFonts w:asciiTheme="minorHAnsi" w:hAnsiTheme="minorHAnsi" w:cstheme="minorHAnsi"/>
          <w:color w:val="0000CC"/>
          <w:w w:val="102"/>
        </w:rPr>
        <w:t>Número de familias beneficiadas con insumos agrícolas</w:t>
      </w:r>
    </w:p>
    <w:p w:rsidR="00AC3B7A" w:rsidRPr="00BF0034" w:rsidRDefault="00AC3B7A" w:rsidP="00AC3B7A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BF0034">
        <w:rPr>
          <w:rFonts w:asciiTheme="minorHAnsi" w:hAnsiTheme="minorHAnsi" w:cstheme="minorHAnsi"/>
          <w:color w:val="0000CC"/>
          <w:w w:val="102"/>
        </w:rPr>
        <w:t>A quién le compra el MAG la semilla, quienes son los proveedores</w:t>
      </w:r>
    </w:p>
    <w:p w:rsidR="00AC3B7A" w:rsidRPr="00BF0034" w:rsidRDefault="00AC3B7A" w:rsidP="00AC3B7A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BF0034">
        <w:rPr>
          <w:rFonts w:asciiTheme="minorHAnsi" w:hAnsiTheme="minorHAnsi" w:cstheme="minorHAnsi"/>
          <w:color w:val="0000CC"/>
          <w:w w:val="102"/>
        </w:rPr>
        <w:t>Cuál es el mecanismo que tiene el gobierno actual y la anterior administración para adquirir insumos agrícolas (semillas, fertilizantes etc. etc.) de 2009 a la fecha.</w:t>
      </w:r>
    </w:p>
    <w:p w:rsidR="00AC3B7A" w:rsidRPr="00BF0034" w:rsidRDefault="00AC3B7A" w:rsidP="00AC3B7A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BF0034">
        <w:rPr>
          <w:rFonts w:asciiTheme="minorHAnsi" w:hAnsiTheme="minorHAnsi" w:cstheme="minorHAnsi"/>
          <w:color w:val="0000CC"/>
          <w:w w:val="102"/>
        </w:rPr>
        <w:t>Quienes o que países importan frijol, arroz, maíz y café a El Salvador</w:t>
      </w:r>
    </w:p>
    <w:p w:rsidR="00AC3B7A" w:rsidRPr="00BF0034" w:rsidRDefault="00AC3B7A" w:rsidP="00AC3B7A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BF0034">
        <w:rPr>
          <w:rFonts w:asciiTheme="minorHAnsi" w:hAnsiTheme="minorHAnsi" w:cstheme="minorHAnsi"/>
          <w:color w:val="0000CC"/>
          <w:w w:val="102"/>
        </w:rPr>
        <w:t>Cuanto invierte el gobierno para adquirir insumos agrícolas</w:t>
      </w:r>
    </w:p>
    <w:p w:rsidR="00AC3B7A" w:rsidRPr="00BF0034" w:rsidRDefault="00AC3B7A" w:rsidP="00AC3B7A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BF0034">
        <w:rPr>
          <w:rFonts w:asciiTheme="minorHAnsi" w:hAnsiTheme="minorHAnsi" w:cstheme="minorHAnsi"/>
          <w:color w:val="0000CC"/>
          <w:w w:val="102"/>
        </w:rPr>
        <w:t>Lista de pesticidas registrados y/o autorizados en el MAG</w:t>
      </w:r>
    </w:p>
    <w:p w:rsidR="00AC3B7A" w:rsidRPr="00BF0034" w:rsidRDefault="00AC3B7A" w:rsidP="00AC3B7A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BF0034">
        <w:rPr>
          <w:rFonts w:asciiTheme="minorHAnsi" w:hAnsiTheme="minorHAnsi" w:cstheme="minorHAnsi"/>
          <w:color w:val="0000CC"/>
          <w:w w:val="102"/>
        </w:rPr>
        <w:t>Daños producidos por pesticidas (marcas), en los alimentos y en el suelo</w:t>
      </w:r>
    </w:p>
    <w:p w:rsidR="00AC3B7A" w:rsidRPr="00BF0034" w:rsidRDefault="00AC3B7A" w:rsidP="00AC3B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0"/>
        </w:rPr>
      </w:pPr>
    </w:p>
    <w:p w:rsidR="00AC3B7A" w:rsidRDefault="00AC3B7A" w:rsidP="00AC3B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CC"/>
        </w:rPr>
      </w:pPr>
      <w:r w:rsidRPr="00BF0034">
        <w:rPr>
          <w:rFonts w:cstheme="minorHAnsi"/>
          <w:w w:val="102"/>
        </w:rPr>
        <w:t>Presentada ante la Oficina de Información y Respuesta de esta dependencia por parte de</w:t>
      </w:r>
      <w:r w:rsidRPr="00BF0034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AC3B7A">
        <w:rPr>
          <w:rFonts w:cstheme="minorHAnsi"/>
          <w:b/>
          <w:highlight w:val="black"/>
        </w:rPr>
        <w:t>**************************</w:t>
      </w:r>
      <w:r w:rsidRPr="00BF0034">
        <w:rPr>
          <w:rFonts w:cstheme="minorHAnsi"/>
          <w:b/>
          <w:color w:val="002060"/>
        </w:rPr>
        <w:t xml:space="preserve">, </w:t>
      </w:r>
      <w:r w:rsidRPr="00BF0034">
        <w:rPr>
          <w:rFonts w:cstheme="minorHAnsi"/>
        </w:rPr>
        <w:t xml:space="preserve">y considerando </w:t>
      </w:r>
      <w:r w:rsidRPr="00BF0034">
        <w:rPr>
          <w:rFonts w:cstheme="minorHAnsi"/>
          <w:color w:val="C00000"/>
        </w:rPr>
        <w:t xml:space="preserve">que parte </w:t>
      </w:r>
      <w:r w:rsidRPr="00BF0034">
        <w:rPr>
          <w:rFonts w:cstheme="minorHAnsi"/>
        </w:rPr>
        <w:t xml:space="preserve">de la información cumple con los requisitos establecidos en el art. 66 de La ley de Acceso a la Información Pública y los arts. 50, 54 del Reglamento de la Ley de Acceso a la Información Pública, y que la información solicitada no se encuentra entre las excepciones  enumeradas en los arts. 19 y 24 de la Ley, y 19 del Reglamento, resuelve: </w:t>
      </w:r>
      <w:r w:rsidRPr="00BF0034">
        <w:rPr>
          <w:rFonts w:cstheme="minorHAnsi"/>
          <w:b/>
          <w:color w:val="0000CC"/>
        </w:rPr>
        <w:t>PROPORCIONAR LA INFORMACIÓN PÚBLICA SOLICITADA</w:t>
      </w:r>
      <w:r>
        <w:rPr>
          <w:rFonts w:cstheme="minorHAnsi"/>
          <w:b/>
          <w:color w:val="0000CC"/>
        </w:rPr>
        <w:t xml:space="preserve">: </w:t>
      </w:r>
      <w:r>
        <w:rPr>
          <w:rFonts w:cstheme="minorHAnsi"/>
          <w:b/>
          <w:i/>
          <w:color w:val="0000CC"/>
        </w:rPr>
        <w:t xml:space="preserve">Información del año 2014 sobre </w:t>
      </w:r>
      <w:r w:rsidRPr="00BF0034">
        <w:rPr>
          <w:rFonts w:cstheme="minorHAnsi"/>
          <w:b/>
          <w:i/>
          <w:color w:val="0000CC"/>
        </w:rPr>
        <w:t>N° de Familias beneficiadas con insumos agrícolas, a quien compra el MAG la semilla, quienes son los proveedores, cual es el mecanismo que tiene el gobierno actual y la anterior administración para adquirir insumos agrícolas y</w:t>
      </w:r>
      <w:r>
        <w:rPr>
          <w:rFonts w:cstheme="minorHAnsi"/>
          <w:b/>
          <w:i/>
          <w:color w:val="0000CC"/>
        </w:rPr>
        <w:t xml:space="preserve"> </w:t>
      </w:r>
      <w:r w:rsidRPr="00BF0034">
        <w:rPr>
          <w:rFonts w:cstheme="minorHAnsi"/>
          <w:b/>
          <w:i/>
          <w:color w:val="0000CC"/>
        </w:rPr>
        <w:t xml:space="preserve">cuanto invierte el gobierno para adquirir insumos agrícolas. </w:t>
      </w:r>
    </w:p>
    <w:p w:rsidR="00AC3B7A" w:rsidRPr="00BF0034" w:rsidRDefault="00AC3B7A" w:rsidP="00AC3B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CC"/>
          <w:sz w:val="10"/>
        </w:rPr>
      </w:pPr>
    </w:p>
    <w:p w:rsidR="00AC3B7A" w:rsidRPr="00BF0034" w:rsidRDefault="00AC3B7A" w:rsidP="00AC3B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0"/>
        </w:rPr>
      </w:pPr>
      <w:r w:rsidRPr="00BF0034">
        <w:rPr>
          <w:rFonts w:cstheme="minorHAnsi"/>
        </w:rPr>
        <w:t xml:space="preserve">También sugerimos visitar la página web del MAG para ver información de años anteriores, en los siguientes link: </w:t>
      </w:r>
      <w:r w:rsidRPr="00BF0034">
        <w:rPr>
          <w:rFonts w:cstheme="minorHAnsi"/>
          <w:b/>
          <w:i/>
          <w:color w:val="0000CC"/>
        </w:rPr>
        <w:t>Gobierno Abierto:</w:t>
      </w:r>
      <w:r>
        <w:rPr>
          <w:rFonts w:cstheme="minorHAnsi"/>
          <w:b/>
          <w:i/>
          <w:color w:val="0000CC"/>
        </w:rPr>
        <w:t xml:space="preserve"> </w:t>
      </w:r>
      <w:r w:rsidRPr="00BF0034">
        <w:rPr>
          <w:rFonts w:cstheme="minorHAnsi"/>
          <w:b/>
          <w:color w:val="0000CC"/>
        </w:rPr>
        <w:t>Marco Estratégico</w:t>
      </w:r>
      <w:r w:rsidRPr="00BF0034">
        <w:rPr>
          <w:rFonts w:cstheme="minorHAnsi"/>
        </w:rPr>
        <w:t xml:space="preserve">: Memoria de Laborese Informes por Disposición Legal; </w:t>
      </w:r>
      <w:r w:rsidRPr="00BF0034">
        <w:rPr>
          <w:rFonts w:cstheme="minorHAnsi"/>
          <w:b/>
          <w:color w:val="0000CC"/>
        </w:rPr>
        <w:t>Marco Presupuestario:</w:t>
      </w:r>
      <w:r>
        <w:rPr>
          <w:rFonts w:cstheme="minorHAnsi"/>
          <w:b/>
          <w:color w:val="0000CC"/>
        </w:rPr>
        <w:t xml:space="preserve"> </w:t>
      </w:r>
      <w:r w:rsidRPr="00BF0034">
        <w:rPr>
          <w:rFonts w:cstheme="minorHAnsi"/>
        </w:rPr>
        <w:t xml:space="preserve">Subsidios e Incentivos Fiscales; y en la página web del Ministerio de Hacienda: </w:t>
      </w:r>
      <w:hyperlink r:id="rId8" w:history="1">
        <w:r w:rsidRPr="00BF0034">
          <w:rPr>
            <w:rStyle w:val="Hipervnculo"/>
            <w:rFonts w:cstheme="minorHAnsi"/>
          </w:rPr>
          <w:t>www.mh.gob.sv</w:t>
        </w:r>
      </w:hyperlink>
      <w:r w:rsidRPr="00BF0034">
        <w:rPr>
          <w:rFonts w:cstheme="minorHAnsi"/>
        </w:rPr>
        <w:t xml:space="preserve">, la sección de COMPRASAL para ver las licitaciones de años anteriores o </w:t>
      </w:r>
      <w:r>
        <w:rPr>
          <w:rFonts w:cstheme="minorHAnsi"/>
        </w:rPr>
        <w:t xml:space="preserve">dirigirse </w:t>
      </w:r>
      <w:r w:rsidRPr="00DF3FC8">
        <w:rPr>
          <w:rFonts w:cstheme="minorHAnsi"/>
        </w:rPr>
        <w:t xml:space="preserve">al Centro Nacional de Tecnología Agropecuaria y Forestal “Enrique Álvarez Córdova”- </w:t>
      </w:r>
      <w:r w:rsidRPr="00DF3FC8">
        <w:rPr>
          <w:rFonts w:cstheme="minorHAnsi"/>
          <w:b/>
          <w:color w:val="0000CC"/>
        </w:rPr>
        <w:t>CENTA</w:t>
      </w:r>
      <w:r w:rsidRPr="00DF3FC8">
        <w:rPr>
          <w:rFonts w:cstheme="minorHAnsi"/>
        </w:rPr>
        <w:t xml:space="preserve">, a la </w:t>
      </w:r>
      <w:r w:rsidRPr="00DF3FC8">
        <w:rPr>
          <w:rFonts w:cstheme="minorHAnsi"/>
          <w:b/>
          <w:color w:val="0000CC"/>
        </w:rPr>
        <w:t>Oficina de Información y Respuesta</w:t>
      </w:r>
      <w:r w:rsidRPr="00DF3FC8">
        <w:rPr>
          <w:rFonts w:cstheme="minorHAnsi"/>
        </w:rPr>
        <w:t xml:space="preserve">, Km 33 y medio carretera a Santa Ana, Ciudad Arce, La Libertad; con la </w:t>
      </w:r>
      <w:r w:rsidRPr="00DF3FC8">
        <w:rPr>
          <w:rFonts w:cstheme="minorHAnsi"/>
          <w:b/>
          <w:color w:val="0000CC"/>
        </w:rPr>
        <w:t>Oficial de Información</w:t>
      </w:r>
      <w:r>
        <w:rPr>
          <w:rFonts w:cstheme="minorHAnsi"/>
          <w:b/>
          <w:color w:val="0000CC"/>
        </w:rPr>
        <w:t xml:space="preserve"> </w:t>
      </w:r>
      <w:r w:rsidRPr="00DF3FC8">
        <w:rPr>
          <w:rFonts w:cstheme="minorHAnsi"/>
        </w:rPr>
        <w:t xml:space="preserve">Ing. Silvia Margoth Mejía al teléfono 2316-4603 y 2302-0291 o al correo electrónico </w:t>
      </w:r>
      <w:r w:rsidRPr="00DF3FC8">
        <w:rPr>
          <w:rFonts w:cstheme="minorHAnsi"/>
          <w:b/>
          <w:color w:val="0000CC"/>
        </w:rPr>
        <w:t>oir@centa.gob.sv.</w:t>
      </w:r>
    </w:p>
    <w:p w:rsidR="00AC3B7A" w:rsidRDefault="00AC3B7A" w:rsidP="00AC3B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C3B7A" w:rsidRPr="00BF0034" w:rsidRDefault="00AC3B7A" w:rsidP="00AC3B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F0034">
        <w:rPr>
          <w:rFonts w:cstheme="minorHAnsi"/>
        </w:rPr>
        <w:t xml:space="preserve">Con relación a la información </w:t>
      </w:r>
      <w:r w:rsidRPr="00BF0034">
        <w:rPr>
          <w:rFonts w:cstheme="minorHAnsi"/>
          <w:b/>
          <w:i/>
          <w:color w:val="0000CC"/>
        </w:rPr>
        <w:t>sobre</w:t>
      </w:r>
      <w:r>
        <w:rPr>
          <w:rFonts w:cstheme="minorHAnsi"/>
          <w:b/>
          <w:i/>
          <w:color w:val="0000CC"/>
        </w:rPr>
        <w:t xml:space="preserve"> </w:t>
      </w:r>
      <w:r w:rsidRPr="00BF0034">
        <w:rPr>
          <w:rFonts w:cstheme="minorHAnsi"/>
          <w:b/>
          <w:i/>
          <w:color w:val="0000CC"/>
        </w:rPr>
        <w:t>quienes o que países importan frijol, arroz, maíz y café a El Salvador</w:t>
      </w:r>
      <w:r w:rsidRPr="00BF0034">
        <w:rPr>
          <w:rFonts w:cstheme="minorHAnsi"/>
          <w:b/>
          <w:i/>
          <w:color w:val="002060"/>
        </w:rPr>
        <w:t>;</w:t>
      </w:r>
      <w:r>
        <w:rPr>
          <w:rFonts w:cstheme="minorHAnsi"/>
          <w:b/>
          <w:i/>
          <w:color w:val="002060"/>
        </w:rPr>
        <w:t xml:space="preserve"> </w:t>
      </w:r>
      <w:r w:rsidRPr="00BF0034">
        <w:rPr>
          <w:rFonts w:cstheme="minorHAnsi"/>
        </w:rPr>
        <w:t>se</w:t>
      </w:r>
      <w:r>
        <w:rPr>
          <w:rFonts w:cstheme="minorHAnsi"/>
        </w:rPr>
        <w:t xml:space="preserve"> </w:t>
      </w:r>
      <w:r w:rsidRPr="00BF0034">
        <w:rPr>
          <w:rFonts w:cstheme="minorHAnsi"/>
        </w:rPr>
        <w:t xml:space="preserve">analizó el fondo de lo solicitado determinando con base al art. 62 inciso 2º que la misma ya está disponible al público. Por lo tanto resuelve: </w:t>
      </w:r>
      <w:r w:rsidRPr="00BF0034">
        <w:rPr>
          <w:rFonts w:cstheme="minorHAnsi"/>
          <w:b/>
          <w:color w:val="0000CC"/>
        </w:rPr>
        <w:t xml:space="preserve">ORIENTAR LA UBICACIÓN DE LA INFORMACIÓN SOLICITADA, </w:t>
      </w:r>
      <w:r w:rsidRPr="00BF0034">
        <w:rPr>
          <w:rFonts w:cstheme="minorHAnsi"/>
          <w:color w:val="0000CC"/>
        </w:rPr>
        <w:t>l</w:t>
      </w:r>
      <w:r w:rsidRPr="00BF0034">
        <w:rPr>
          <w:rFonts w:cstheme="minorHAnsi"/>
        </w:rPr>
        <w:t xml:space="preserve">a que puede consultarse, reproducirse o adquirirse en la página Web del MAG, www.mag.gob.sv, en la </w:t>
      </w:r>
      <w:r w:rsidRPr="00BF0034">
        <w:rPr>
          <w:rFonts w:cstheme="minorHAnsi"/>
          <w:b/>
        </w:rPr>
        <w:t>Sección Servicios</w:t>
      </w:r>
      <w:r w:rsidRPr="00BF0034">
        <w:rPr>
          <w:rFonts w:cstheme="minorHAnsi"/>
        </w:rPr>
        <w:t xml:space="preserve"> Estadísticas Fitozoosanitarias (estadísticas de importación, se anexa un ejemplo de consulta) y en la </w:t>
      </w:r>
      <w:r w:rsidRPr="00BF0034">
        <w:rPr>
          <w:rFonts w:cstheme="minorHAnsi"/>
          <w:b/>
        </w:rPr>
        <w:t xml:space="preserve">Sección Temas </w:t>
      </w:r>
      <w:r w:rsidRPr="00BF0034">
        <w:rPr>
          <w:rFonts w:cstheme="minorHAnsi"/>
        </w:rPr>
        <w:t xml:space="preserve">el IV Censo Agropecuario, </w:t>
      </w:r>
      <w:r w:rsidRPr="00BF0034">
        <w:rPr>
          <w:rFonts w:cstheme="minorHAnsi"/>
        </w:rPr>
        <w:lastRenderedPageBreak/>
        <w:t>Atlas del IV Censo Agropecuario y los Anuarios Estadísticos.</w:t>
      </w:r>
    </w:p>
    <w:p w:rsidR="00AC3B7A" w:rsidRPr="00BF0034" w:rsidRDefault="00AC3B7A" w:rsidP="00AC3B7A">
      <w:pPr>
        <w:spacing w:after="0" w:line="240" w:lineRule="auto"/>
        <w:rPr>
          <w:rFonts w:cstheme="minorHAnsi"/>
          <w:b/>
          <w:color w:val="C00000"/>
        </w:rPr>
      </w:pPr>
    </w:p>
    <w:p w:rsidR="00AC3B7A" w:rsidRPr="00BF0034" w:rsidRDefault="00AC3B7A" w:rsidP="00AC3B7A">
      <w:pPr>
        <w:spacing w:after="0" w:line="240" w:lineRule="auto"/>
        <w:jc w:val="both"/>
        <w:rPr>
          <w:rFonts w:cstheme="minorHAnsi"/>
        </w:rPr>
      </w:pPr>
      <w:r w:rsidRPr="00BF0034">
        <w:rPr>
          <w:rFonts w:cstheme="minorHAnsi"/>
        </w:rPr>
        <w:t xml:space="preserve">Referente a la </w:t>
      </w:r>
      <w:r w:rsidRPr="00BF0034">
        <w:rPr>
          <w:rFonts w:cstheme="minorHAnsi"/>
          <w:b/>
          <w:i/>
          <w:color w:val="0000CC"/>
        </w:rPr>
        <w:t>lista de pesticidas registrados y/o autorizados en el MAG</w:t>
      </w:r>
      <w:r w:rsidRPr="00BF0034">
        <w:rPr>
          <w:rFonts w:cstheme="minorHAnsi"/>
        </w:rPr>
        <w:t xml:space="preserve">, se adjunta </w:t>
      </w:r>
      <w:r w:rsidRPr="00BF0034">
        <w:rPr>
          <w:rFonts w:cstheme="minorHAnsi"/>
          <w:b/>
        </w:rPr>
        <w:t>Resolución N° 124</w:t>
      </w:r>
      <w:r w:rsidRPr="00BF0034">
        <w:rPr>
          <w:rFonts w:cstheme="minorHAnsi"/>
        </w:rPr>
        <w:t xml:space="preserve"> en respuesta a solicitud de información hecha por otra usuaria y unos </w:t>
      </w:r>
      <w:r w:rsidRPr="00BF0034">
        <w:rPr>
          <w:rFonts w:cstheme="minorHAnsi"/>
          <w:b/>
        </w:rPr>
        <w:t>Acuerdos relacionados al tema</w:t>
      </w:r>
      <w:r w:rsidRPr="00BF0034">
        <w:rPr>
          <w:rFonts w:cstheme="minorHAnsi"/>
        </w:rPr>
        <w:t>, asimismo</w:t>
      </w:r>
      <w:r>
        <w:rPr>
          <w:rFonts w:cstheme="minorHAnsi"/>
        </w:rPr>
        <w:t xml:space="preserve"> </w:t>
      </w:r>
      <w:r w:rsidRPr="00BF0034">
        <w:rPr>
          <w:rFonts w:cstheme="minorHAnsi"/>
        </w:rPr>
        <w:t xml:space="preserve">analizado el fondo de lo solicitado se determina que la información puede adquirirse en la División de Registro y Fiscalización de la Dirección General de Ganadería, previo pago de la tarifa correspondiente ya que es un servicio actualmente regulado según el </w:t>
      </w:r>
      <w:r w:rsidRPr="00BF0034">
        <w:rPr>
          <w:rFonts w:cstheme="minorHAnsi"/>
          <w:b/>
        </w:rPr>
        <w:t>Acuerdo N° 77</w:t>
      </w:r>
      <w:r w:rsidRPr="00BF0034">
        <w:rPr>
          <w:rFonts w:cstheme="minorHAnsi"/>
        </w:rPr>
        <w:t xml:space="preserve"> del Ministerio de Agricultura y Ganadería y del Ministerio de Hacienda del 8 febrero de 2013, en el cual se autorizan precios para la venta de bienes y servicios por medio del Fondo de Actividades Especiales de la Dirección General de Sanidad Vegetal y Animal de este Ministerio -se remite copia de dicho Acuerdo- en tal sentido es competencia de la División de Registro y Fiscalización proporcionar lo solicitado porque es un servicio de esa entidad.</w:t>
      </w:r>
    </w:p>
    <w:p w:rsidR="00AC3B7A" w:rsidRPr="00BF0034" w:rsidRDefault="00AC3B7A" w:rsidP="00AC3B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C3B7A" w:rsidRPr="00BF0034" w:rsidRDefault="00AC3B7A" w:rsidP="00AC3B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</w:rPr>
      </w:pPr>
      <w:r w:rsidRPr="00BF0034">
        <w:rPr>
          <w:rFonts w:cstheme="minorHAnsi"/>
        </w:rPr>
        <w:t xml:space="preserve">Acerca dela información sobre </w:t>
      </w:r>
      <w:r w:rsidRPr="00BF0034">
        <w:rPr>
          <w:rFonts w:cstheme="minorHAnsi"/>
          <w:b/>
          <w:i/>
          <w:color w:val="0000CC"/>
        </w:rPr>
        <w:t>daños producidos por pesticidas (marcas), en los alimentos y en el suelo</w:t>
      </w:r>
      <w:r w:rsidRPr="00BF0034">
        <w:rPr>
          <w:rFonts w:cstheme="minorHAnsi"/>
        </w:rPr>
        <w:t>, se estudió lo solicitado y con base a lo establecido en los arts. 65, 68 inc. 2o. y 72 de la Ley de Acceso a la Información Pública y el art. 49 del Reglamento de dicha Ley que la información solicitada sobre exportaciones no es de la competencia de esta dependencia. Por la tanto se determina y resuelve:</w:t>
      </w:r>
      <w:r>
        <w:rPr>
          <w:rFonts w:cstheme="minorHAnsi"/>
        </w:rPr>
        <w:t xml:space="preserve"> </w:t>
      </w:r>
      <w:r w:rsidRPr="00BF0034">
        <w:rPr>
          <w:rFonts w:cstheme="minorHAnsi"/>
          <w:b/>
          <w:color w:val="0000CC"/>
        </w:rPr>
        <w:t>DENEGAR LA INFORMACION POR NO SER ESTA INSTITUCIÓN COMPETENTE PARA CONOCER DE LA MISMA</w:t>
      </w:r>
    </w:p>
    <w:p w:rsidR="00AC3B7A" w:rsidRPr="00BF0034" w:rsidRDefault="00AC3B7A" w:rsidP="00AC3B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C3B7A" w:rsidRPr="00BF0034" w:rsidRDefault="00AC3B7A" w:rsidP="00AC3B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BF0034">
        <w:rPr>
          <w:rFonts w:cstheme="minorHAnsi"/>
          <w:w w:val="102"/>
        </w:rPr>
        <w:t>Su petición deberá ser dirigida a la siguiente institución por ser la facultada para conocer solicitudes de dicha índole:</w:t>
      </w:r>
    </w:p>
    <w:p w:rsidR="00AC3B7A" w:rsidRPr="00BF0034" w:rsidRDefault="00AC3B7A" w:rsidP="00AC3B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AC3B7A" w:rsidRPr="00BF0034" w:rsidRDefault="00AC3B7A" w:rsidP="00AC3B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CC"/>
        </w:rPr>
      </w:pPr>
      <w:r w:rsidRPr="00BF0034">
        <w:rPr>
          <w:rFonts w:cstheme="minorHAnsi"/>
          <w:b/>
          <w:color w:val="0000CC"/>
        </w:rPr>
        <w:t>Ministerio de Medio Ambiente y Recursos Naturales,</w:t>
      </w:r>
      <w:r>
        <w:rPr>
          <w:rFonts w:cstheme="minorHAnsi"/>
          <w:b/>
          <w:color w:val="0000CC"/>
        </w:rPr>
        <w:t xml:space="preserve"> </w:t>
      </w:r>
      <w:r w:rsidRPr="00BF0034">
        <w:rPr>
          <w:rFonts w:cstheme="minorHAnsi"/>
        </w:rPr>
        <w:t>la dirección de la Oficina de Información y Respuesta a la que debe dirigirse es Km. 5 ½ carretera a Santa Tecla, Calle y Colonia Las Mercedes, Edificio, MARN, Instalaciones del ISTA S.S.</w:t>
      </w:r>
      <w:r>
        <w:rPr>
          <w:rFonts w:cstheme="minorHAnsi"/>
        </w:rPr>
        <w:t>, p</w:t>
      </w:r>
      <w:r w:rsidRPr="00BF0034">
        <w:rPr>
          <w:rFonts w:cstheme="minorHAnsi"/>
        </w:rPr>
        <w:t xml:space="preserve">uede contactar a la </w:t>
      </w:r>
      <w:r w:rsidRPr="00BF0034">
        <w:rPr>
          <w:rFonts w:cstheme="minorHAnsi"/>
          <w:b/>
          <w:color w:val="0000CC"/>
        </w:rPr>
        <w:t>Oficial de Información</w:t>
      </w:r>
      <w:r>
        <w:rPr>
          <w:rFonts w:cstheme="minorHAnsi"/>
          <w:b/>
          <w:color w:val="0000CC"/>
        </w:rPr>
        <w:t xml:space="preserve"> </w:t>
      </w:r>
      <w:r w:rsidRPr="00BF0034">
        <w:rPr>
          <w:rFonts w:cstheme="minorHAnsi"/>
        </w:rPr>
        <w:t xml:space="preserve">Marina Sandoval al teléfono 2132-9522 o al correo electrónico </w:t>
      </w:r>
      <w:hyperlink r:id="rId9" w:history="1">
        <w:r w:rsidRPr="00BF0034">
          <w:rPr>
            <w:b/>
            <w:i/>
            <w:color w:val="0000CC"/>
          </w:rPr>
          <w:t>medioambiente@marn.gob.sv</w:t>
        </w:r>
      </w:hyperlink>
      <w:r w:rsidRPr="00BF0034">
        <w:rPr>
          <w:rFonts w:cstheme="minorHAnsi"/>
          <w:b/>
          <w:i/>
          <w:color w:val="0000CC"/>
        </w:rPr>
        <w:t>.</w:t>
      </w: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7D4D94" w:rsidRPr="007D4D94" w:rsidRDefault="007D4D94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10"/>
      <w:footerReference w:type="default" r:id="rId11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4D4" w:rsidRDefault="00AB74D4" w:rsidP="00823710">
      <w:pPr>
        <w:spacing w:after="0" w:line="240" w:lineRule="auto"/>
      </w:pPr>
      <w:r>
        <w:separator/>
      </w:r>
    </w:p>
  </w:endnote>
  <w:endnote w:type="continuationSeparator" w:id="1">
    <w:p w:rsidR="00AB74D4" w:rsidRDefault="00AB74D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4D4" w:rsidRDefault="00AB74D4" w:rsidP="00823710">
      <w:pPr>
        <w:spacing w:after="0" w:line="240" w:lineRule="auto"/>
      </w:pPr>
      <w:r>
        <w:separator/>
      </w:r>
    </w:p>
  </w:footnote>
  <w:footnote w:type="continuationSeparator" w:id="1">
    <w:p w:rsidR="00AB74D4" w:rsidRDefault="00AB74D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27A5F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27A5F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B21890"/>
    <w:multiLevelType w:val="hybridMultilevel"/>
    <w:tmpl w:val="2624B3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A00349"/>
    <w:multiLevelType w:val="hybridMultilevel"/>
    <w:tmpl w:val="5B46E4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19"/>
  </w:num>
  <w:num w:numId="4">
    <w:abstractNumId w:val="32"/>
  </w:num>
  <w:num w:numId="5">
    <w:abstractNumId w:val="37"/>
  </w:num>
  <w:num w:numId="6">
    <w:abstractNumId w:val="8"/>
  </w:num>
  <w:num w:numId="7">
    <w:abstractNumId w:val="15"/>
  </w:num>
  <w:num w:numId="8">
    <w:abstractNumId w:val="1"/>
  </w:num>
  <w:num w:numId="9">
    <w:abstractNumId w:val="11"/>
  </w:num>
  <w:num w:numId="10">
    <w:abstractNumId w:val="20"/>
  </w:num>
  <w:num w:numId="11">
    <w:abstractNumId w:val="27"/>
  </w:num>
  <w:num w:numId="12">
    <w:abstractNumId w:val="5"/>
  </w:num>
  <w:num w:numId="13">
    <w:abstractNumId w:val="30"/>
  </w:num>
  <w:num w:numId="14">
    <w:abstractNumId w:val="36"/>
  </w:num>
  <w:num w:numId="15">
    <w:abstractNumId w:val="17"/>
  </w:num>
  <w:num w:numId="16">
    <w:abstractNumId w:val="3"/>
  </w:num>
  <w:num w:numId="17">
    <w:abstractNumId w:val="0"/>
  </w:num>
  <w:num w:numId="18">
    <w:abstractNumId w:val="24"/>
  </w:num>
  <w:num w:numId="19">
    <w:abstractNumId w:val="10"/>
  </w:num>
  <w:num w:numId="20">
    <w:abstractNumId w:val="2"/>
  </w:num>
  <w:num w:numId="21">
    <w:abstractNumId w:val="6"/>
  </w:num>
  <w:num w:numId="22">
    <w:abstractNumId w:val="21"/>
  </w:num>
  <w:num w:numId="23">
    <w:abstractNumId w:val="34"/>
  </w:num>
  <w:num w:numId="24">
    <w:abstractNumId w:val="14"/>
  </w:num>
  <w:num w:numId="25">
    <w:abstractNumId w:val="7"/>
  </w:num>
  <w:num w:numId="26">
    <w:abstractNumId w:val="23"/>
  </w:num>
  <w:num w:numId="27">
    <w:abstractNumId w:val="28"/>
  </w:num>
  <w:num w:numId="28">
    <w:abstractNumId w:val="18"/>
  </w:num>
  <w:num w:numId="29">
    <w:abstractNumId w:val="35"/>
  </w:num>
  <w:num w:numId="30">
    <w:abstractNumId w:val="13"/>
  </w:num>
  <w:num w:numId="31">
    <w:abstractNumId w:val="9"/>
  </w:num>
  <w:num w:numId="32">
    <w:abstractNumId w:val="31"/>
  </w:num>
  <w:num w:numId="33">
    <w:abstractNumId w:val="12"/>
  </w:num>
  <w:num w:numId="34">
    <w:abstractNumId w:val="29"/>
  </w:num>
  <w:num w:numId="35">
    <w:abstractNumId w:val="25"/>
  </w:num>
  <w:num w:numId="36">
    <w:abstractNumId w:val="16"/>
  </w:num>
  <w:num w:numId="37">
    <w:abstractNumId w:val="4"/>
  </w:num>
  <w:num w:numId="38">
    <w:abstractNumId w:val="3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1721"/>
    <w:rsid w:val="00676735"/>
    <w:rsid w:val="00686F08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73D7D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B74D4"/>
    <w:rsid w:val="00AC3B7A"/>
    <w:rsid w:val="00AD1041"/>
    <w:rsid w:val="00AD7896"/>
    <w:rsid w:val="00B04871"/>
    <w:rsid w:val="00B10977"/>
    <w:rsid w:val="00B14345"/>
    <w:rsid w:val="00B2005B"/>
    <w:rsid w:val="00B22A5A"/>
    <w:rsid w:val="00B256C3"/>
    <w:rsid w:val="00B3479E"/>
    <w:rsid w:val="00B3664E"/>
    <w:rsid w:val="00B5140B"/>
    <w:rsid w:val="00B53310"/>
    <w:rsid w:val="00B56C68"/>
    <w:rsid w:val="00B56F0B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97917"/>
    <w:rsid w:val="00DB1905"/>
    <w:rsid w:val="00DC14E7"/>
    <w:rsid w:val="00DD51C2"/>
    <w:rsid w:val="00DD5223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4177"/>
    <w:rsid w:val="00EE381E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oambiente@marn.gob.s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2017-04-20T15:40:00Z</dcterms:created>
  <dcterms:modified xsi:type="dcterms:W3CDTF">2017-04-20T15:40:00Z</dcterms:modified>
</cp:coreProperties>
</file>