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B53310">
        <w:rPr>
          <w:rFonts w:ascii="Arial" w:hAnsi="Arial" w:cs="Arial"/>
          <w:b/>
          <w:bCs/>
          <w:color w:val="0000CC"/>
          <w:spacing w:val="-1"/>
          <w:sz w:val="24"/>
        </w:rPr>
        <w:t>75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7D4D94" w:rsidRPr="007D4D94" w:rsidRDefault="007D4D94" w:rsidP="007D4D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53310" w:rsidRPr="00F44400" w:rsidRDefault="00B53310" w:rsidP="00B533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4400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F44400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F44400">
        <w:rPr>
          <w:rFonts w:cstheme="minorHAnsi"/>
          <w:color w:val="C00000"/>
          <w:spacing w:val="1"/>
          <w:w w:val="102"/>
        </w:rPr>
        <w:t>l</w:t>
      </w:r>
      <w:r w:rsidRPr="00F44400">
        <w:rPr>
          <w:rFonts w:cstheme="minorHAnsi"/>
          <w:color w:val="C00000"/>
          <w:w w:val="102"/>
        </w:rPr>
        <w:t>a</w:t>
      </w:r>
      <w:r>
        <w:rPr>
          <w:rFonts w:cstheme="minorHAnsi"/>
          <w:color w:val="C00000"/>
          <w:w w:val="102"/>
        </w:rPr>
        <w:t xml:space="preserve">s </w:t>
      </w:r>
      <w:r w:rsidRPr="00F44400">
        <w:rPr>
          <w:rFonts w:cstheme="minorHAnsi"/>
          <w:color w:val="C00000"/>
          <w:w w:val="102"/>
        </w:rPr>
        <w:t>catorce horas</w:t>
      </w:r>
      <w:r>
        <w:rPr>
          <w:rFonts w:cstheme="minorHAnsi"/>
          <w:color w:val="C00000"/>
          <w:w w:val="102"/>
        </w:rPr>
        <w:t xml:space="preserve"> </w:t>
      </w:r>
      <w:r w:rsidRPr="00F44400">
        <w:rPr>
          <w:rFonts w:cstheme="minorHAnsi"/>
          <w:w w:val="102"/>
        </w:rPr>
        <w:t>d</w:t>
      </w:r>
      <w:r w:rsidRPr="00F44400">
        <w:rPr>
          <w:rFonts w:cstheme="minorHAnsi"/>
          <w:spacing w:val="-4"/>
          <w:w w:val="102"/>
        </w:rPr>
        <w:t>e</w:t>
      </w:r>
      <w:r w:rsidRPr="00F44400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F44400">
        <w:rPr>
          <w:rFonts w:cstheme="minorHAnsi"/>
          <w:w w:val="102"/>
        </w:rPr>
        <w:t>d</w:t>
      </w:r>
      <w:r w:rsidRPr="00F44400">
        <w:rPr>
          <w:rFonts w:cstheme="minorHAnsi"/>
          <w:spacing w:val="1"/>
          <w:w w:val="102"/>
        </w:rPr>
        <w:t>í</w:t>
      </w:r>
      <w:r w:rsidRPr="00F44400">
        <w:rPr>
          <w:rFonts w:cstheme="minorHAnsi"/>
          <w:w w:val="102"/>
        </w:rPr>
        <w:t>a</w:t>
      </w:r>
      <w:r w:rsidRPr="00F44400">
        <w:rPr>
          <w:rFonts w:cstheme="minorHAnsi"/>
          <w:b/>
          <w:color w:val="0000CC"/>
          <w:w w:val="102"/>
        </w:rPr>
        <w:t>7</w:t>
      </w:r>
      <w:r>
        <w:rPr>
          <w:rFonts w:cstheme="minorHAnsi"/>
          <w:b/>
          <w:color w:val="0000CC"/>
          <w:w w:val="102"/>
        </w:rPr>
        <w:t xml:space="preserve"> </w:t>
      </w:r>
      <w:r w:rsidRPr="00F44400">
        <w:rPr>
          <w:rFonts w:cstheme="minorHAnsi"/>
          <w:b/>
          <w:color w:val="0000CC"/>
          <w:w w:val="102"/>
        </w:rPr>
        <w:t>de julio</w:t>
      </w:r>
      <w:r>
        <w:rPr>
          <w:rFonts w:cstheme="minorHAnsi"/>
          <w:b/>
          <w:color w:val="0000CC"/>
          <w:w w:val="102"/>
        </w:rPr>
        <w:t xml:space="preserve"> </w:t>
      </w:r>
      <w:r w:rsidRPr="00F44400">
        <w:rPr>
          <w:rFonts w:cstheme="minorHAnsi"/>
          <w:b/>
          <w:color w:val="0000CC"/>
          <w:w w:val="102"/>
        </w:rPr>
        <w:t>de 2014</w:t>
      </w:r>
      <w:r w:rsidRPr="00F44400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 w:rsidRPr="00F44400">
        <w:rPr>
          <w:rFonts w:cstheme="minorHAnsi"/>
          <w:b/>
          <w:color w:val="0000CC"/>
        </w:rPr>
        <w:t>N</w:t>
      </w:r>
      <w:r>
        <w:rPr>
          <w:rFonts w:cstheme="minorHAnsi"/>
          <w:b/>
          <w:color w:val="0000CC"/>
        </w:rPr>
        <w:t xml:space="preserve">º </w:t>
      </w:r>
      <w:r w:rsidRPr="00F44400">
        <w:rPr>
          <w:rFonts w:cstheme="minorHAnsi"/>
          <w:b/>
          <w:color w:val="0000CC"/>
          <w:w w:val="102"/>
        </w:rPr>
        <w:t>175</w:t>
      </w:r>
      <w:r>
        <w:rPr>
          <w:rFonts w:cstheme="minorHAnsi"/>
          <w:b/>
          <w:color w:val="0000CC"/>
          <w:w w:val="102"/>
        </w:rPr>
        <w:t xml:space="preserve">-2017 </w:t>
      </w:r>
      <w:r w:rsidRPr="00F44400">
        <w:rPr>
          <w:rFonts w:cstheme="minorHAnsi"/>
        </w:rPr>
        <w:t>sobre:</w:t>
      </w:r>
    </w:p>
    <w:p w:rsidR="00B53310" w:rsidRPr="00F44400" w:rsidRDefault="00B53310" w:rsidP="00B533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F44400">
        <w:rPr>
          <w:rFonts w:cstheme="minorHAnsi"/>
          <w:w w:val="102"/>
        </w:rPr>
        <w:t>Información del Municipio de Comasagua:</w:t>
      </w:r>
    </w:p>
    <w:p w:rsidR="00B53310" w:rsidRPr="00F44400" w:rsidRDefault="00B53310" w:rsidP="00B533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B53310" w:rsidRPr="00F44400" w:rsidRDefault="00B53310" w:rsidP="00B53310">
      <w:pPr>
        <w:pStyle w:val="Prrafodelista"/>
        <w:widowControl w:val="0"/>
        <w:numPr>
          <w:ilvl w:val="0"/>
          <w:numId w:val="3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F44400">
        <w:rPr>
          <w:rFonts w:asciiTheme="minorHAnsi" w:hAnsiTheme="minorHAnsi" w:cstheme="minorHAnsi"/>
          <w:color w:val="0000CC"/>
          <w:w w:val="102"/>
        </w:rPr>
        <w:t>Mapa de uso del suelo</w:t>
      </w:r>
    </w:p>
    <w:p w:rsidR="00B53310" w:rsidRPr="00F44400" w:rsidRDefault="00B53310" w:rsidP="00B53310">
      <w:pPr>
        <w:pStyle w:val="Prrafodelista"/>
        <w:widowControl w:val="0"/>
        <w:numPr>
          <w:ilvl w:val="0"/>
          <w:numId w:val="3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F44400">
        <w:rPr>
          <w:rFonts w:asciiTheme="minorHAnsi" w:hAnsiTheme="minorHAnsi" w:cstheme="minorHAnsi"/>
          <w:color w:val="0000CC"/>
          <w:w w:val="102"/>
        </w:rPr>
        <w:t>Mapa de capacidad agrológica de los suelos</w:t>
      </w:r>
    </w:p>
    <w:p w:rsidR="00B53310" w:rsidRPr="00F44400" w:rsidRDefault="00B53310" w:rsidP="00B53310">
      <w:pPr>
        <w:pStyle w:val="Prrafodelista"/>
        <w:widowControl w:val="0"/>
        <w:numPr>
          <w:ilvl w:val="0"/>
          <w:numId w:val="3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F44400">
        <w:rPr>
          <w:rFonts w:asciiTheme="minorHAnsi" w:hAnsiTheme="minorHAnsi" w:cstheme="minorHAnsi"/>
          <w:color w:val="0000CC"/>
          <w:w w:val="102"/>
        </w:rPr>
        <w:t>Recomendaciones técnicas de conservación de suelos</w:t>
      </w:r>
    </w:p>
    <w:p w:rsidR="00B53310" w:rsidRPr="00F44400" w:rsidRDefault="00B53310" w:rsidP="00B53310">
      <w:pPr>
        <w:pStyle w:val="Prrafodelista"/>
        <w:widowControl w:val="0"/>
        <w:numPr>
          <w:ilvl w:val="0"/>
          <w:numId w:val="3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F44400">
        <w:rPr>
          <w:rFonts w:asciiTheme="minorHAnsi" w:hAnsiTheme="minorHAnsi" w:cstheme="minorHAnsi"/>
          <w:color w:val="0000CC"/>
          <w:w w:val="102"/>
        </w:rPr>
        <w:t>Investigaciones recientes sobre uso de pesticidas vrs</w:t>
      </w:r>
      <w:r>
        <w:rPr>
          <w:rFonts w:asciiTheme="minorHAnsi" w:hAnsiTheme="minorHAnsi" w:cstheme="minorHAnsi"/>
          <w:color w:val="0000CC"/>
          <w:w w:val="102"/>
        </w:rPr>
        <w:t>.</w:t>
      </w:r>
      <w:r w:rsidRPr="00F44400">
        <w:rPr>
          <w:rFonts w:asciiTheme="minorHAnsi" w:hAnsiTheme="minorHAnsi" w:cstheme="minorHAnsi"/>
          <w:color w:val="0000CC"/>
          <w:w w:val="102"/>
        </w:rPr>
        <w:t xml:space="preserve"> vulnerabilidad de los suelos.</w:t>
      </w:r>
    </w:p>
    <w:p w:rsidR="00B53310" w:rsidRPr="00F44400" w:rsidRDefault="00B53310" w:rsidP="00B533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B53310" w:rsidRPr="00F44400" w:rsidRDefault="00B53310" w:rsidP="00B533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F44400">
        <w:rPr>
          <w:rFonts w:cstheme="minorHAnsi"/>
          <w:w w:val="102"/>
        </w:rPr>
        <w:t>Presentada ante la Oficina de Información y Respuesta de esta dependencia por parte de</w:t>
      </w:r>
      <w:r w:rsidRPr="00F44400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F44400">
        <w:rPr>
          <w:rFonts w:cstheme="minorHAnsi"/>
          <w:b/>
          <w:color w:val="0000CC"/>
        </w:rPr>
        <w:t>VÍCTOR MANUEL HENRIQUEZ</w:t>
      </w:r>
      <w:r w:rsidRPr="00F44400">
        <w:rPr>
          <w:rFonts w:cstheme="minorHAnsi"/>
          <w:b/>
          <w:w w:val="102"/>
        </w:rPr>
        <w:t xml:space="preserve">, </w:t>
      </w:r>
      <w:r w:rsidRPr="00F44400">
        <w:rPr>
          <w:rFonts w:cstheme="minorHAnsi"/>
          <w:w w:val="102"/>
        </w:rPr>
        <w:t>analizado el fondo de lo solicitado determinando con base al art. 62 inciso 2º que</w:t>
      </w:r>
      <w:r>
        <w:rPr>
          <w:rFonts w:cstheme="minorHAnsi"/>
          <w:w w:val="102"/>
        </w:rPr>
        <w:t xml:space="preserve"> </w:t>
      </w:r>
      <w:r w:rsidRPr="00F44400">
        <w:rPr>
          <w:rFonts w:cstheme="minorHAnsi"/>
          <w:color w:val="FF0000"/>
          <w:w w:val="102"/>
        </w:rPr>
        <w:t>parte</w:t>
      </w:r>
      <w:r>
        <w:rPr>
          <w:rFonts w:cstheme="minorHAnsi"/>
          <w:color w:val="FF0000"/>
          <w:w w:val="102"/>
        </w:rPr>
        <w:t xml:space="preserve"> </w:t>
      </w:r>
      <w:r w:rsidRPr="00F44400">
        <w:rPr>
          <w:rFonts w:cstheme="minorHAnsi"/>
          <w:color w:val="FF0000"/>
          <w:w w:val="102"/>
        </w:rPr>
        <w:t>de</w:t>
      </w:r>
      <w:r w:rsidRPr="00F44400">
        <w:rPr>
          <w:rFonts w:cstheme="minorHAnsi"/>
          <w:w w:val="102"/>
        </w:rPr>
        <w:t xml:space="preserve"> la misma ya está disponible al público. Por lo tanto resuelve:</w:t>
      </w:r>
      <w:r>
        <w:rPr>
          <w:rFonts w:cstheme="minorHAnsi"/>
          <w:w w:val="102"/>
        </w:rPr>
        <w:t xml:space="preserve"> </w:t>
      </w:r>
      <w:r w:rsidRPr="00F44400">
        <w:rPr>
          <w:rFonts w:cstheme="minorHAnsi"/>
          <w:b/>
          <w:color w:val="0000CC"/>
        </w:rPr>
        <w:t xml:space="preserve">ORIENTAR LA UBICACIÓN DE LA INFORMACIÓN SOLICITADASOBRE LOS NUMERALES UNO, DOS Y TRES, </w:t>
      </w:r>
      <w:r w:rsidRPr="00F44400">
        <w:rPr>
          <w:rFonts w:cstheme="minorHAnsi"/>
        </w:rPr>
        <w:t>l</w:t>
      </w:r>
      <w:r w:rsidRPr="00F44400">
        <w:rPr>
          <w:rFonts w:cstheme="minorHAnsi"/>
          <w:w w:val="102"/>
        </w:rPr>
        <w:t xml:space="preserve">a información puede consultarse, reproducirse o adquirirse en </w:t>
      </w:r>
      <w:r w:rsidRPr="00F44400">
        <w:rPr>
          <w:rFonts w:cstheme="minorHAnsi"/>
        </w:rPr>
        <w:t xml:space="preserve">la </w:t>
      </w:r>
      <w:r w:rsidRPr="00F44400">
        <w:rPr>
          <w:rFonts w:cstheme="minorHAnsi"/>
          <w:b/>
          <w:color w:val="0000CC"/>
          <w:w w:val="102"/>
        </w:rPr>
        <w:t>página Web del MAG, www.mag.gob.sv</w:t>
      </w:r>
      <w:r w:rsidRPr="00F44400">
        <w:rPr>
          <w:rFonts w:cstheme="minorHAnsi"/>
          <w:b/>
          <w:color w:val="0036A2"/>
        </w:rPr>
        <w:t xml:space="preserve">, </w:t>
      </w:r>
      <w:r w:rsidRPr="00F44400">
        <w:rPr>
          <w:rFonts w:cstheme="minorHAnsi"/>
          <w:w w:val="102"/>
        </w:rPr>
        <w:t>en</w:t>
      </w:r>
      <w:r w:rsidRPr="00F44400">
        <w:rPr>
          <w:rFonts w:eastAsia="Arial Unicode MS" w:cstheme="minorHAnsi"/>
          <w:iCs/>
        </w:rPr>
        <w:t xml:space="preserve"> el sitio de Cartografía de Cuencas Hidrográficas (</w:t>
      </w:r>
      <w:hyperlink r:id="rId8" w:history="1">
        <w:r w:rsidRPr="00F44400">
          <w:rPr>
            <w:rStyle w:val="Hipervnculo"/>
            <w:rFonts w:eastAsia="Arial Unicode MS" w:cstheme="minorHAnsi"/>
            <w:iCs/>
          </w:rPr>
          <w:t>http://cartografía.mag.gob.suelos.sv</w:t>
        </w:r>
      </w:hyperlink>
      <w:r w:rsidRPr="00F44400">
        <w:rPr>
          <w:rFonts w:eastAsia="Arial Unicode MS" w:cstheme="minorHAnsi"/>
          <w:iCs/>
        </w:rPr>
        <w:t>) específicamente en la sección de documentación descargable/Manejo de suelos/ Guías Técnicas. También puede visitar la biblioteca de la Dirección General de Ordenamiento Forestal Cuencas y Riego – DGFCR, ubicada en Cantón El Matazano Soyapango.</w:t>
      </w:r>
    </w:p>
    <w:p w:rsidR="00B53310" w:rsidRPr="00F44400" w:rsidRDefault="00B53310" w:rsidP="00B533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4400">
        <w:rPr>
          <w:rFonts w:cstheme="minorHAnsi"/>
          <w:w w:val="102"/>
        </w:rPr>
        <w:t>Con relación a</w:t>
      </w:r>
      <w:r w:rsidRPr="00F44400">
        <w:rPr>
          <w:rFonts w:cstheme="minorHAnsi"/>
        </w:rPr>
        <w:t xml:space="preserve">l requerimiento sobre: </w:t>
      </w:r>
      <w:r w:rsidRPr="00F44400">
        <w:rPr>
          <w:rFonts w:cstheme="minorHAnsi"/>
          <w:i/>
          <w:color w:val="0000CC"/>
          <w:w w:val="102"/>
        </w:rPr>
        <w:t>Investigaciones recientes sobre uso de pesticidas vrs vulnerabilidad de los suelos</w:t>
      </w:r>
      <w:r w:rsidRPr="00F44400">
        <w:rPr>
          <w:rFonts w:cstheme="minorHAnsi"/>
          <w:w w:val="102"/>
        </w:rPr>
        <w:t>, se ha 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</w:t>
      </w:r>
      <w:r>
        <w:rPr>
          <w:rFonts w:cstheme="minorHAnsi"/>
          <w:w w:val="102"/>
        </w:rPr>
        <w:t xml:space="preserve"> </w:t>
      </w:r>
      <w:r w:rsidRPr="00F44400">
        <w:rPr>
          <w:rFonts w:cstheme="minorHAnsi"/>
          <w:b/>
          <w:color w:val="0000CC"/>
          <w:w w:val="102"/>
        </w:rPr>
        <w:t xml:space="preserve">DENEGAR LA INFORMACION POR NO SER ESTA INSTITUCIÓN COMPETENTE PARA CONOCER DE LA MISMA, </w:t>
      </w:r>
      <w:r w:rsidRPr="00F44400">
        <w:rPr>
          <w:rFonts w:cstheme="minorHAnsi"/>
          <w:color w:val="0000CC"/>
          <w:w w:val="102"/>
        </w:rPr>
        <w:t>s</w:t>
      </w:r>
      <w:r w:rsidRPr="00F44400">
        <w:rPr>
          <w:rFonts w:cstheme="minorHAnsi"/>
        </w:rPr>
        <w:t>u solicitud deberá ser dirigida a la siguiente institución por ser la facultada para conocer solicitudes de dicha índole:</w:t>
      </w:r>
    </w:p>
    <w:p w:rsidR="00B53310" w:rsidRPr="00F44400" w:rsidRDefault="00B53310" w:rsidP="00B53310">
      <w:pPr>
        <w:spacing w:after="0" w:line="240" w:lineRule="auto"/>
        <w:jc w:val="both"/>
        <w:rPr>
          <w:rFonts w:cstheme="minorHAnsi"/>
          <w:w w:val="102"/>
        </w:rPr>
      </w:pPr>
    </w:p>
    <w:p w:rsidR="00B63306" w:rsidRPr="00B53310" w:rsidRDefault="00B53310" w:rsidP="00B53310">
      <w:pPr>
        <w:spacing w:after="0" w:line="240" w:lineRule="auto"/>
        <w:jc w:val="both"/>
        <w:rPr>
          <w:rFonts w:eastAsia="Arial Unicode MS" w:cstheme="minorHAnsi"/>
          <w:iCs/>
        </w:rPr>
      </w:pPr>
      <w:r w:rsidRPr="00F44400">
        <w:rPr>
          <w:rFonts w:cstheme="minorHAnsi"/>
          <w:w w:val="102"/>
        </w:rPr>
        <w:t xml:space="preserve">Su petición deberá dirigirse al </w:t>
      </w:r>
      <w:r w:rsidRPr="00F44400">
        <w:rPr>
          <w:rFonts w:cstheme="minorHAnsi"/>
          <w:b/>
          <w:color w:val="000099"/>
          <w:w w:val="102"/>
        </w:rPr>
        <w:t>Centro Nacional de Tecnología Agropecuaria y Forestal “Enrique Álvarez Córdova”- CENTA,</w:t>
      </w:r>
      <w:r w:rsidRPr="00F44400">
        <w:rPr>
          <w:rFonts w:cstheme="minorHAnsi"/>
          <w:w w:val="102"/>
        </w:rPr>
        <w:t xml:space="preserve"> a la </w:t>
      </w:r>
      <w:r w:rsidRPr="00F44400">
        <w:rPr>
          <w:rFonts w:cstheme="minorHAnsi"/>
          <w:b/>
          <w:color w:val="000099"/>
          <w:w w:val="102"/>
        </w:rPr>
        <w:t>Oficina de Información y Respuesta,</w:t>
      </w:r>
      <w:r>
        <w:rPr>
          <w:rFonts w:cstheme="minorHAnsi"/>
          <w:b/>
          <w:color w:val="000099"/>
          <w:w w:val="102"/>
        </w:rPr>
        <w:t xml:space="preserve"> </w:t>
      </w:r>
      <w:r w:rsidRPr="00F44400">
        <w:rPr>
          <w:rFonts w:cstheme="minorHAnsi"/>
          <w:i/>
          <w:color w:val="000000"/>
        </w:rPr>
        <w:t>Km 33 y medio carretera a Santa Ana, Ciudad Arce, La Libertad</w:t>
      </w:r>
      <w:r w:rsidRPr="00F44400">
        <w:rPr>
          <w:rFonts w:cstheme="minorHAnsi"/>
          <w:w w:val="102"/>
        </w:rPr>
        <w:t xml:space="preserve">; con la Oficial de Información </w:t>
      </w:r>
      <w:r w:rsidRPr="00F44400">
        <w:rPr>
          <w:rFonts w:cstheme="minorHAnsi"/>
          <w:b/>
          <w:color w:val="000099"/>
          <w:w w:val="102"/>
        </w:rPr>
        <w:t>Ing. Silvia Margoth Mejía</w:t>
      </w:r>
      <w:r w:rsidRPr="00F44400">
        <w:rPr>
          <w:rFonts w:cstheme="minorHAnsi"/>
          <w:w w:val="102"/>
        </w:rPr>
        <w:t xml:space="preserve"> al teléfono </w:t>
      </w:r>
      <w:r w:rsidRPr="00F44400">
        <w:rPr>
          <w:rFonts w:cstheme="minorHAnsi"/>
          <w:b/>
          <w:color w:val="000099"/>
          <w:w w:val="102"/>
        </w:rPr>
        <w:t xml:space="preserve">2316-4603 y 2302-0291 </w:t>
      </w:r>
      <w:r w:rsidRPr="00F44400">
        <w:rPr>
          <w:rFonts w:cstheme="minorHAnsi"/>
          <w:w w:val="102"/>
        </w:rPr>
        <w:t>o al correo electrónico</w:t>
      </w:r>
      <w:r>
        <w:rPr>
          <w:rFonts w:cstheme="minorHAnsi"/>
          <w:w w:val="102"/>
        </w:rPr>
        <w:t xml:space="preserve"> </w:t>
      </w:r>
      <w:hyperlink r:id="rId9" w:history="1">
        <w:r w:rsidRPr="00F44400">
          <w:rPr>
            <w:rStyle w:val="Hipervnculo"/>
            <w:rFonts w:cstheme="minorHAnsi"/>
            <w:b/>
            <w:w w:val="102"/>
          </w:rPr>
          <w:t>oir@centa.gob.sv</w:t>
        </w:r>
      </w:hyperlink>
    </w:p>
    <w:p w:rsidR="007D4D94" w:rsidRDefault="007D4D94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1100A1" w:rsidRDefault="001100A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1100A1" w:rsidRDefault="001100A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7D4D94" w:rsidRPr="007D4D94" w:rsidRDefault="007D4D94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10"/>
      <w:footerReference w:type="default" r:id="rId11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4B5" w:rsidRDefault="008324B5" w:rsidP="00823710">
      <w:pPr>
        <w:spacing w:after="0" w:line="240" w:lineRule="auto"/>
      </w:pPr>
      <w:r>
        <w:separator/>
      </w:r>
    </w:p>
  </w:endnote>
  <w:endnote w:type="continuationSeparator" w:id="1">
    <w:p w:rsidR="008324B5" w:rsidRDefault="008324B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4B5" w:rsidRDefault="008324B5" w:rsidP="00823710">
      <w:pPr>
        <w:spacing w:after="0" w:line="240" w:lineRule="auto"/>
      </w:pPr>
      <w:r>
        <w:separator/>
      </w:r>
    </w:p>
  </w:footnote>
  <w:footnote w:type="continuationSeparator" w:id="1">
    <w:p w:rsidR="008324B5" w:rsidRDefault="008324B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27A5F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27A5F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7"/>
  </w:num>
  <w:num w:numId="4">
    <w:abstractNumId w:val="30"/>
  </w:num>
  <w:num w:numId="5">
    <w:abstractNumId w:val="34"/>
  </w:num>
  <w:num w:numId="6">
    <w:abstractNumId w:val="7"/>
  </w:num>
  <w:num w:numId="7">
    <w:abstractNumId w:val="14"/>
  </w:num>
  <w:num w:numId="8">
    <w:abstractNumId w:val="1"/>
  </w:num>
  <w:num w:numId="9">
    <w:abstractNumId w:val="10"/>
  </w:num>
  <w:num w:numId="10">
    <w:abstractNumId w:val="18"/>
  </w:num>
  <w:num w:numId="11">
    <w:abstractNumId w:val="25"/>
  </w:num>
  <w:num w:numId="12">
    <w:abstractNumId w:val="4"/>
  </w:num>
  <w:num w:numId="13">
    <w:abstractNumId w:val="28"/>
  </w:num>
  <w:num w:numId="14">
    <w:abstractNumId w:val="33"/>
  </w:num>
  <w:num w:numId="15">
    <w:abstractNumId w:val="15"/>
  </w:num>
  <w:num w:numId="16">
    <w:abstractNumId w:val="3"/>
  </w:num>
  <w:num w:numId="17">
    <w:abstractNumId w:val="0"/>
  </w:num>
  <w:num w:numId="18">
    <w:abstractNumId w:val="22"/>
  </w:num>
  <w:num w:numId="19">
    <w:abstractNumId w:val="9"/>
  </w:num>
  <w:num w:numId="20">
    <w:abstractNumId w:val="2"/>
  </w:num>
  <w:num w:numId="21">
    <w:abstractNumId w:val="5"/>
  </w:num>
  <w:num w:numId="22">
    <w:abstractNumId w:val="19"/>
  </w:num>
  <w:num w:numId="23">
    <w:abstractNumId w:val="31"/>
  </w:num>
  <w:num w:numId="24">
    <w:abstractNumId w:val="13"/>
  </w:num>
  <w:num w:numId="25">
    <w:abstractNumId w:val="6"/>
  </w:num>
  <w:num w:numId="26">
    <w:abstractNumId w:val="21"/>
  </w:num>
  <w:num w:numId="27">
    <w:abstractNumId w:val="26"/>
  </w:num>
  <w:num w:numId="28">
    <w:abstractNumId w:val="16"/>
  </w:num>
  <w:num w:numId="29">
    <w:abstractNumId w:val="32"/>
  </w:num>
  <w:num w:numId="30">
    <w:abstractNumId w:val="12"/>
  </w:num>
  <w:num w:numId="31">
    <w:abstractNumId w:val="8"/>
  </w:num>
  <w:num w:numId="32">
    <w:abstractNumId w:val="29"/>
  </w:num>
  <w:num w:numId="33">
    <w:abstractNumId w:val="11"/>
  </w:num>
  <w:num w:numId="34">
    <w:abstractNumId w:val="27"/>
  </w:num>
  <w:num w:numId="35">
    <w:abstractNumId w:val="2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324B5"/>
    <w:rsid w:val="00871ACF"/>
    <w:rsid w:val="00871C20"/>
    <w:rsid w:val="008746F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73D7D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90EF8"/>
    <w:rsid w:val="00BA26DF"/>
    <w:rsid w:val="00BC0699"/>
    <w:rsid w:val="00BC37BC"/>
    <w:rsid w:val="00BF40B1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97917"/>
    <w:rsid w:val="00DB1905"/>
    <w:rsid w:val="00DC14E7"/>
    <w:rsid w:val="00DD51C2"/>
    <w:rsid w:val="00DD5223"/>
    <w:rsid w:val="00E03488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tograf&#237;a.mag.gob.suelos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ir@centa.gob.s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2017-04-20T15:08:00Z</dcterms:created>
  <dcterms:modified xsi:type="dcterms:W3CDTF">2017-04-20T15:08:00Z</dcterms:modified>
</cp:coreProperties>
</file>