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7D4D94">
        <w:rPr>
          <w:rFonts w:ascii="Arial" w:hAnsi="Arial" w:cs="Arial"/>
          <w:b/>
          <w:bCs/>
          <w:color w:val="0000CC"/>
          <w:spacing w:val="-1"/>
          <w:sz w:val="24"/>
        </w:rPr>
        <w:t>70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7D4D94" w:rsidRPr="007D4D94" w:rsidRDefault="007D4D94" w:rsidP="007D4D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/>
          <w:sz w:val="20"/>
          <w:szCs w:val="20"/>
        </w:rPr>
        <w:t xml:space="preserve">Santa Tecla, a las quince horas del día 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26 de junio de 2014, </w:t>
      </w:r>
      <w:r w:rsidRPr="007D4D94">
        <w:rPr>
          <w:rFonts w:ascii="Calibri" w:hAnsi="Calibri" w:cs="Calibri"/>
          <w:sz w:val="20"/>
          <w:szCs w:val="20"/>
        </w:rPr>
        <w:t xml:space="preserve">el Ministerio de Agricultura y Ganadería luego de haber recibido y admitido la solicitud de información 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No. 170 </w:t>
      </w:r>
      <w:r w:rsidRPr="007D4D94">
        <w:rPr>
          <w:rFonts w:ascii="Calibri" w:hAnsi="Calibri" w:cs="Calibri"/>
          <w:sz w:val="20"/>
          <w:szCs w:val="20"/>
        </w:rPr>
        <w:t xml:space="preserve">sobre: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</w:rPr>
      </w:pP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CC"/>
          <w:sz w:val="20"/>
          <w:szCs w:val="20"/>
        </w:rPr>
      </w:pPr>
      <w:r w:rsidRPr="007D4D94">
        <w:rPr>
          <w:rFonts w:ascii="Calibri" w:hAnsi="Calibri" w:cs="Calibri"/>
          <w:b/>
          <w:color w:val="0000CC"/>
          <w:sz w:val="20"/>
          <w:szCs w:val="20"/>
        </w:rPr>
        <w:t xml:space="preserve">1) Importación de arroz y frijol en El Salvador y países donde importa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CC"/>
          <w:sz w:val="20"/>
          <w:szCs w:val="20"/>
        </w:rPr>
      </w:pPr>
      <w:r w:rsidRPr="007D4D94">
        <w:rPr>
          <w:rFonts w:ascii="Calibri" w:hAnsi="Calibri" w:cs="Calibri"/>
          <w:b/>
          <w:color w:val="0000CC"/>
          <w:sz w:val="20"/>
          <w:szCs w:val="20"/>
        </w:rPr>
        <w:t xml:space="preserve">2) Consumo de arroz y frijol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CC"/>
          <w:sz w:val="20"/>
          <w:szCs w:val="20"/>
        </w:rPr>
      </w:pP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sz w:val="20"/>
          <w:szCs w:val="20"/>
        </w:rPr>
        <w:t xml:space="preserve">Presentada ante la Oficina de Información y Respuesta de esta dependencia por parte de: </w:t>
      </w:r>
      <w:r w:rsidRPr="007D4D94">
        <w:rPr>
          <w:rFonts w:ascii="Calibri" w:hAnsi="Calibri" w:cs="Calibri"/>
          <w:b/>
          <w:bCs/>
          <w:sz w:val="20"/>
          <w:szCs w:val="20"/>
          <w:highlight w:val="black"/>
        </w:rPr>
        <w:t>************************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7D4D94">
        <w:rPr>
          <w:rFonts w:ascii="Calibri" w:hAnsi="Calibri" w:cs="Calibri"/>
          <w:sz w:val="20"/>
          <w:szCs w:val="20"/>
        </w:rPr>
        <w:t xml:space="preserve">analizado el fondo de lo solicitado y considerando que la petición de información sobre el numeral 1 ya está disponible al público y determinando con base al art. 62 inciso 2? resuelve: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sz w:val="20"/>
          <w:szCs w:val="20"/>
        </w:rPr>
        <w:t xml:space="preserve">La cual puede consultarse, reproducirse o adquirirse en la 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página la web del MAG: www.mag.gob.sv, </w:t>
      </w:r>
      <w:r w:rsidRPr="007D4D94">
        <w:rPr>
          <w:rFonts w:ascii="Calibri" w:hAnsi="Calibri" w:cs="Calibri"/>
          <w:sz w:val="20"/>
          <w:szCs w:val="20"/>
        </w:rPr>
        <w:t xml:space="preserve">en las siguientes secciones: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b/>
          <w:bCs/>
          <w:sz w:val="20"/>
          <w:szCs w:val="20"/>
        </w:rPr>
        <w:t xml:space="preserve">• Servicios/en línea/ Autorizaciones Fitozoosanitarias /Estadísticas </w:t>
      </w:r>
      <w:r w:rsidRPr="007D4D94">
        <w:rPr>
          <w:rFonts w:ascii="Calibri" w:hAnsi="Calibri" w:cs="Calibri"/>
          <w:sz w:val="20"/>
          <w:szCs w:val="20"/>
        </w:rPr>
        <w:t xml:space="preserve">en los que encontrará información de estadísticas de importación por producto, país y cantidades.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sz w:val="20"/>
          <w:szCs w:val="20"/>
        </w:rPr>
        <w:t xml:space="preserve">• </w:t>
      </w:r>
      <w:r w:rsidRPr="007D4D94">
        <w:rPr>
          <w:rFonts w:ascii="Calibri" w:hAnsi="Calibri" w:cs="Calibri"/>
          <w:i/>
          <w:iCs/>
          <w:sz w:val="20"/>
          <w:szCs w:val="20"/>
        </w:rPr>
        <w:t xml:space="preserve">Estadísticas Agropecuarias-Estadísticas de Producción Agropecuaria, </w:t>
      </w:r>
      <w:r w:rsidRPr="007D4D94">
        <w:rPr>
          <w:rFonts w:ascii="Calibri" w:hAnsi="Calibri" w:cs="Calibri"/>
          <w:sz w:val="20"/>
          <w:szCs w:val="20"/>
        </w:rPr>
        <w:t xml:space="preserve">en la cual podrá encontrar una serie de documentos </w:t>
      </w:r>
      <w:r w:rsidR="00973D7D" w:rsidRPr="007D4D94">
        <w:rPr>
          <w:rFonts w:ascii="Calibri" w:hAnsi="Calibri" w:cs="Calibri"/>
          <w:sz w:val="20"/>
          <w:szCs w:val="20"/>
        </w:rPr>
        <w:t>relacionados</w:t>
      </w:r>
      <w:r w:rsidRPr="007D4D94">
        <w:rPr>
          <w:rFonts w:ascii="Calibri" w:hAnsi="Calibri" w:cs="Calibri"/>
          <w:sz w:val="20"/>
          <w:szCs w:val="20"/>
        </w:rPr>
        <w:t xml:space="preserve"> con precios y producción de arroz y frijol</w:t>
      </w:r>
      <w:r w:rsidR="00973D7D">
        <w:rPr>
          <w:rFonts w:ascii="Calibri" w:hAnsi="Calibri" w:cs="Calibri"/>
          <w:sz w:val="20"/>
          <w:szCs w:val="20"/>
        </w:rPr>
        <w:t>.</w:t>
      </w:r>
      <w:r w:rsidRPr="007D4D94">
        <w:rPr>
          <w:rFonts w:ascii="Calibri" w:hAnsi="Calibri" w:cs="Calibri"/>
          <w:sz w:val="20"/>
          <w:szCs w:val="20"/>
        </w:rPr>
        <w:t xml:space="preserve"> </w:t>
      </w:r>
    </w:p>
    <w:p w:rsid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sz w:val="20"/>
          <w:szCs w:val="20"/>
        </w:rPr>
        <w:t xml:space="preserve">Sí necesita información más actualizada y más específica sobre </w:t>
      </w:r>
      <w:r w:rsidRPr="007D4D94">
        <w:rPr>
          <w:rFonts w:ascii="Calibri" w:hAnsi="Calibri" w:cs="Calibri"/>
          <w:i/>
          <w:iCs/>
          <w:sz w:val="20"/>
          <w:szCs w:val="20"/>
        </w:rPr>
        <w:t xml:space="preserve">Consumo de arroz y frijol, </w:t>
      </w:r>
      <w:r w:rsidRPr="007D4D94">
        <w:rPr>
          <w:rFonts w:ascii="Calibri" w:hAnsi="Calibri" w:cs="Calibri"/>
          <w:sz w:val="20"/>
          <w:szCs w:val="20"/>
        </w:rPr>
        <w:t xml:space="preserve">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CC"/>
          <w:sz w:val="20"/>
          <w:szCs w:val="20"/>
        </w:rPr>
      </w:pPr>
      <w:r w:rsidRPr="007D4D94">
        <w:rPr>
          <w:rFonts w:ascii="Calibri" w:hAnsi="Calibri" w:cs="Calibri"/>
          <w:b/>
          <w:bCs/>
          <w:color w:val="0000CC"/>
          <w:sz w:val="20"/>
          <w:szCs w:val="20"/>
        </w:rPr>
        <w:t>DENEGAR LA INFORMACION POR NO SER ESTA INSTITUCIÓN COMPETENTE PARA CONOCER DE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CC"/>
          <w:sz w:val="20"/>
          <w:szCs w:val="20"/>
        </w:rPr>
      </w:pPr>
      <w:r w:rsidRPr="007D4D94">
        <w:rPr>
          <w:rFonts w:ascii="Calibri" w:hAnsi="Calibri" w:cs="Calibri"/>
          <w:b/>
          <w:bCs/>
          <w:color w:val="0000CC"/>
          <w:sz w:val="20"/>
          <w:szCs w:val="20"/>
        </w:rPr>
        <w:t>LA MISMA</w:t>
      </w:r>
    </w:p>
    <w:p w:rsid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D4D94">
        <w:rPr>
          <w:rFonts w:ascii="Calibri" w:hAnsi="Calibri" w:cs="Calibri"/>
          <w:sz w:val="20"/>
          <w:szCs w:val="20"/>
        </w:rPr>
        <w:t xml:space="preserve">Su solicitud deberá ser dirigida a la siguiente institución por ser la facultada para conocer solicitudes de dicha índole: </w:t>
      </w:r>
    </w:p>
    <w:p w:rsidR="007D4D94" w:rsidRPr="007D4D94" w:rsidRDefault="007D4D94" w:rsidP="007D4D9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8E6431" w:rsidRPr="007D4D94" w:rsidRDefault="007D4D94" w:rsidP="007D4D94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7D4D94">
        <w:rPr>
          <w:rFonts w:ascii="Calibri" w:hAnsi="Calibri" w:cs="Calibri"/>
          <w:b/>
          <w:bCs/>
          <w:sz w:val="20"/>
          <w:szCs w:val="20"/>
        </w:rPr>
        <w:t xml:space="preserve">Ministerio de Economía, </w:t>
      </w:r>
      <w:r w:rsidRPr="007D4D94">
        <w:rPr>
          <w:rFonts w:ascii="Calibri" w:hAnsi="Calibri" w:cs="Calibri"/>
          <w:sz w:val="20"/>
          <w:szCs w:val="20"/>
        </w:rPr>
        <w:t xml:space="preserve">la dirección de la 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Oficina de Información y Respuesta </w:t>
      </w:r>
      <w:r w:rsidRPr="007D4D94">
        <w:rPr>
          <w:rFonts w:ascii="Calibri" w:hAnsi="Calibri" w:cs="Calibri"/>
          <w:sz w:val="20"/>
          <w:szCs w:val="20"/>
        </w:rPr>
        <w:t xml:space="preserve">a la que debe dirigirse es </w:t>
      </w:r>
      <w:r w:rsidRPr="007D4D94">
        <w:rPr>
          <w:rFonts w:ascii="Calibri" w:hAnsi="Calibri" w:cs="Calibri"/>
          <w:i/>
          <w:iCs/>
          <w:sz w:val="20"/>
          <w:szCs w:val="20"/>
        </w:rPr>
        <w:t xml:space="preserve">Calle Guadalupe y Alameda Juan Pablo II, Edificio C2, Primera'Planta, Pian Maestro Centro de Gobierno, San Salvador, El Salvador; </w:t>
      </w:r>
      <w:r w:rsidRPr="007D4D94">
        <w:rPr>
          <w:rFonts w:ascii="Calibri" w:hAnsi="Calibri" w:cs="Calibri"/>
          <w:sz w:val="20"/>
          <w:szCs w:val="20"/>
        </w:rPr>
        <w:t xml:space="preserve">puede contactar a la </w:t>
      </w:r>
      <w:r w:rsidRPr="007D4D94">
        <w:rPr>
          <w:rFonts w:ascii="Calibri" w:hAnsi="Calibri" w:cs="Calibri"/>
          <w:b/>
          <w:bCs/>
          <w:sz w:val="20"/>
          <w:szCs w:val="20"/>
        </w:rPr>
        <w:t xml:space="preserve">Oficial de Información Laura Quintanilla de Arias </w:t>
      </w:r>
      <w:r w:rsidRPr="007D4D94">
        <w:rPr>
          <w:rFonts w:ascii="Calibri" w:hAnsi="Calibri" w:cs="Calibri"/>
          <w:sz w:val="20"/>
          <w:szCs w:val="20"/>
        </w:rPr>
        <w:t>al teléfono 2590-553</w:t>
      </w:r>
      <w:r>
        <w:rPr>
          <w:rFonts w:ascii="Calibri" w:hAnsi="Calibri" w:cs="Calibri"/>
          <w:sz w:val="20"/>
          <w:szCs w:val="20"/>
        </w:rPr>
        <w:t xml:space="preserve">2 o al correo electrónico </w:t>
      </w:r>
      <w:hyperlink r:id="rId8" w:history="1">
        <w:r w:rsidRPr="007D4D94">
          <w:rPr>
            <w:rStyle w:val="Hipervnculo"/>
            <w:rFonts w:ascii="Calibri" w:hAnsi="Calibri" w:cs="Calibri"/>
            <w:sz w:val="20"/>
            <w:szCs w:val="20"/>
          </w:rPr>
          <w:t>oir@minec.gob.sv</w:t>
        </w:r>
      </w:hyperlink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6EA" w:rsidRDefault="00C776EA" w:rsidP="00823710">
      <w:pPr>
        <w:spacing w:after="0" w:line="240" w:lineRule="auto"/>
      </w:pPr>
      <w:r>
        <w:separator/>
      </w:r>
    </w:p>
  </w:endnote>
  <w:endnote w:type="continuationSeparator" w:id="1">
    <w:p w:rsidR="00C776EA" w:rsidRDefault="00C776E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6EA" w:rsidRDefault="00C776EA" w:rsidP="00823710">
      <w:pPr>
        <w:spacing w:after="0" w:line="240" w:lineRule="auto"/>
      </w:pPr>
      <w:r>
        <w:separator/>
      </w:r>
    </w:p>
  </w:footnote>
  <w:footnote w:type="continuationSeparator" w:id="1">
    <w:p w:rsidR="00C776EA" w:rsidRDefault="00C776E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505C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05C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27"/>
  </w:num>
  <w:num w:numId="5">
    <w:abstractNumId w:val="31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5"/>
  </w:num>
  <w:num w:numId="14">
    <w:abstractNumId w:val="30"/>
  </w:num>
  <w:num w:numId="15">
    <w:abstractNumId w:val="14"/>
  </w:num>
  <w:num w:numId="16">
    <w:abstractNumId w:val="3"/>
  </w:num>
  <w:num w:numId="17">
    <w:abstractNumId w:val="0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28"/>
  </w:num>
  <w:num w:numId="24">
    <w:abstractNumId w:val="1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9"/>
  </w:num>
  <w:num w:numId="30">
    <w:abstractNumId w:val="11"/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ir@minec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2017-03-31T17:28:00Z</dcterms:created>
  <dcterms:modified xsi:type="dcterms:W3CDTF">2017-03-31T17:49:00Z</dcterms:modified>
</cp:coreProperties>
</file>