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FE" w:rsidRDefault="00A571F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B353DD" w:rsidRPr="00883D41" w:rsidRDefault="00B353DD" w:rsidP="00B353D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página </w:t>
      </w:r>
      <w:r w:rsidRPr="00B353DD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3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CB659F" w:rsidRDefault="00CB659F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CB659F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B659F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CB659F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CB659F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CB659F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</w:t>
      </w:r>
      <w:r w:rsidR="00A571FE" w:rsidRPr="00CB659F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</w:t>
      </w:r>
      <w:r w:rsidR="00BD4522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BD4522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157AFF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FF297C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4</w:t>
      </w:r>
      <w:r w:rsidR="004904EF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</w:t>
      </w:r>
      <w:r w:rsidR="002C71C9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201</w:t>
      </w:r>
      <w:r w:rsidR="00BD4522" w:rsidRPr="00CB659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A72A1" w:rsidRDefault="006A72A1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A571F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 xml:space="preserve">Santa Tecla, </w:t>
      </w:r>
      <w:r w:rsidR="00B70104" w:rsidRPr="00A571FE">
        <w:rPr>
          <w:rFonts w:asciiTheme="minorHAnsi" w:eastAsia="Arial Unicode MS" w:hAnsiTheme="minorHAnsi" w:cs="Arial Unicode MS"/>
        </w:rPr>
        <w:t xml:space="preserve">departamento de La Libertad </w:t>
      </w:r>
      <w:r w:rsidRPr="00A571FE">
        <w:rPr>
          <w:rFonts w:asciiTheme="minorHAnsi" w:eastAsia="Arial Unicode MS" w:hAnsiTheme="minorHAnsi" w:cs="Arial Unicode MS"/>
        </w:rPr>
        <w:t xml:space="preserve">a las </w:t>
      </w:r>
      <w:r w:rsidR="00C31D24">
        <w:rPr>
          <w:rFonts w:asciiTheme="minorHAnsi" w:eastAsia="Arial Unicode MS" w:hAnsiTheme="minorHAnsi" w:cs="Arial Unicode MS"/>
          <w:color w:val="000099"/>
        </w:rPr>
        <w:t>quince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 </w:t>
      </w:r>
      <w:r w:rsidR="00586C5E">
        <w:rPr>
          <w:rFonts w:asciiTheme="minorHAnsi" w:eastAsia="Arial Unicode MS" w:hAnsiTheme="minorHAnsi" w:cs="Arial Unicode MS"/>
          <w:color w:val="000099"/>
        </w:rPr>
        <w:t xml:space="preserve">horas 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C31D24">
        <w:rPr>
          <w:rFonts w:asciiTheme="minorHAnsi" w:eastAsia="Arial Unicode MS" w:hAnsiTheme="minorHAnsi" w:cs="Arial Unicode MS"/>
          <w:color w:val="000099"/>
        </w:rPr>
        <w:t>quince</w:t>
      </w:r>
      <w:r w:rsidR="00FF297C">
        <w:rPr>
          <w:rFonts w:asciiTheme="minorHAnsi" w:eastAsia="Arial Unicode MS" w:hAnsiTheme="minorHAnsi" w:cs="Arial Unicode MS"/>
          <w:color w:val="000099"/>
        </w:rPr>
        <w:t xml:space="preserve"> 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="00A571FE">
        <w:rPr>
          <w:rFonts w:asciiTheme="minorHAnsi" w:eastAsia="Arial Unicode MS" w:hAnsiTheme="minorHAnsi" w:cs="Arial Unicode MS"/>
          <w:color w:val="000099"/>
        </w:rPr>
        <w:t xml:space="preserve">del </w:t>
      </w:r>
      <w:r w:rsidRPr="00A571FE">
        <w:rPr>
          <w:rFonts w:asciiTheme="minorHAnsi" w:eastAsia="Arial Unicode MS" w:hAnsiTheme="minorHAnsi" w:cs="Arial Unicode MS"/>
          <w:color w:val="000099"/>
        </w:rPr>
        <w:t>día</w:t>
      </w:r>
      <w:r w:rsidR="00A82406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="00FF297C">
        <w:rPr>
          <w:rFonts w:asciiTheme="minorHAnsi" w:eastAsia="Arial Unicode MS" w:hAnsiTheme="minorHAnsi" w:cs="Arial Unicode MS"/>
          <w:color w:val="000099"/>
        </w:rPr>
        <w:t>catorce</w:t>
      </w:r>
      <w:r w:rsidR="006A56D7">
        <w:rPr>
          <w:rFonts w:asciiTheme="minorHAnsi" w:eastAsia="Arial Unicode MS" w:hAnsiTheme="minorHAnsi" w:cs="Arial Unicode MS"/>
          <w:color w:val="000099"/>
        </w:rPr>
        <w:t xml:space="preserve"> 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A56D7">
        <w:rPr>
          <w:rFonts w:asciiTheme="minorHAnsi" w:eastAsia="Arial Unicode MS" w:hAnsiTheme="minorHAnsi" w:cs="Arial Unicode MS"/>
          <w:color w:val="000099"/>
        </w:rPr>
        <w:t>marzo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 w:rsidRPr="00A571FE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 w:rsidRPr="00A571FE">
        <w:rPr>
          <w:rFonts w:asciiTheme="minorHAnsi" w:eastAsia="Arial Unicode MS" w:hAnsiTheme="minorHAnsi" w:cs="Arial Unicode MS"/>
          <w:color w:val="000099"/>
        </w:rPr>
        <w:t>diecisiete</w:t>
      </w:r>
      <w:r w:rsidRPr="00A571FE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571FE">
        <w:rPr>
          <w:rFonts w:asciiTheme="minorHAnsi" w:eastAsia="Arial Unicode MS" w:hAnsiTheme="minorHAnsi" w:cs="Arial Unicode MS"/>
        </w:rPr>
        <w:t xml:space="preserve"> </w:t>
      </w:r>
      <w:r w:rsidR="0081377A" w:rsidRPr="006A56D7">
        <w:rPr>
          <w:rFonts w:asciiTheme="minorHAnsi" w:eastAsia="Arial Unicode MS" w:hAnsiTheme="minorHAnsi" w:cs="Arial Unicode MS"/>
          <w:b/>
          <w:color w:val="000099"/>
        </w:rPr>
        <w:t xml:space="preserve">MAG OIR </w:t>
      </w:r>
      <w:r w:rsidRPr="006A56D7">
        <w:rPr>
          <w:rFonts w:asciiTheme="minorHAnsi" w:eastAsia="Arial Unicode MS" w:hAnsiTheme="minorHAnsi" w:cs="Arial Unicode MS"/>
          <w:b/>
          <w:color w:val="000099"/>
        </w:rPr>
        <w:t>No.</w:t>
      </w:r>
      <w:r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0</w:t>
      </w:r>
      <w:r w:rsidR="00157AFF">
        <w:rPr>
          <w:rFonts w:asciiTheme="minorHAnsi" w:eastAsia="Arial Unicode MS" w:hAnsiTheme="minorHAnsi" w:cs="Arial Unicode MS"/>
          <w:b/>
          <w:color w:val="000099"/>
        </w:rPr>
        <w:t>3</w:t>
      </w:r>
      <w:r w:rsidR="00FF297C">
        <w:rPr>
          <w:rFonts w:asciiTheme="minorHAnsi" w:eastAsia="Arial Unicode MS" w:hAnsiTheme="minorHAnsi" w:cs="Arial Unicode MS"/>
          <w:b/>
          <w:color w:val="000099"/>
        </w:rPr>
        <w:t>4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</w:rPr>
        <w:t>sobre:</w:t>
      </w:r>
    </w:p>
    <w:p w:rsidR="008D6D7F" w:rsidRDefault="008D6D7F" w:rsidP="008D6D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contextualSpacing/>
        <w:jc w:val="both"/>
      </w:pPr>
    </w:p>
    <w:p w:rsidR="008D6D7F" w:rsidRPr="00F05459" w:rsidRDefault="008D6D7F" w:rsidP="008D6D7F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  <w:r w:rsidRPr="00F05459">
        <w:rPr>
          <w:rFonts w:asciiTheme="minorHAnsi" w:hAnsiTheme="minorHAnsi" w:cstheme="minorHAnsi"/>
          <w:color w:val="000099"/>
        </w:rPr>
        <w:t xml:space="preserve">Copia del Memorando de Entendimiento </w:t>
      </w:r>
      <w:r w:rsidRPr="00F05459">
        <w:rPr>
          <w:rFonts w:asciiTheme="minorHAnsi" w:hAnsiTheme="minorHAnsi" w:cstheme="minorHAnsi"/>
          <w:b/>
          <w:color w:val="000099"/>
        </w:rPr>
        <w:t>PAF/PANSAN</w:t>
      </w:r>
      <w:r w:rsidRPr="00F05459">
        <w:rPr>
          <w:rFonts w:asciiTheme="minorHAnsi" w:hAnsiTheme="minorHAnsi" w:cstheme="minorHAnsi"/>
          <w:color w:val="000099"/>
        </w:rPr>
        <w:t xml:space="preserve"> suscrito entre el Gobierno de la República de El Salvador y el Instituto Interamericano de Cooperación para la Agricultura (IICA), Plan de Agricultura Familiar y Emprendedurismo Rural para la Seguridad Alimentaria y Nutricional (PAF), Programa de Abastecimiento Nacional para la Seguridad Alimentaria y Nutricional (PANSAN), Subprograma: Producción de Alimentos y Generación de Ingresos. Componente: Donación de insumos para la producción Agropecuaria, suscrito el 15 de marzo de 2011.</w:t>
      </w:r>
    </w:p>
    <w:p w:rsidR="008D6D7F" w:rsidRPr="00F05459" w:rsidRDefault="008D6D7F" w:rsidP="008D6D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8D6D7F" w:rsidRPr="00F05459" w:rsidRDefault="008D6D7F" w:rsidP="008D6D7F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  <w:r w:rsidRPr="00F05459">
        <w:rPr>
          <w:rFonts w:asciiTheme="minorHAnsi" w:hAnsiTheme="minorHAnsi" w:cstheme="minorHAnsi"/>
          <w:color w:val="000099"/>
        </w:rPr>
        <w:t xml:space="preserve">Copia del </w:t>
      </w:r>
      <w:r w:rsidRPr="00F05459">
        <w:rPr>
          <w:rFonts w:asciiTheme="minorHAnsi" w:hAnsiTheme="minorHAnsi" w:cstheme="minorHAnsi"/>
          <w:color w:val="000099"/>
          <w:lang w:val="x-none"/>
        </w:rPr>
        <w:t>Memorando de</w:t>
      </w:r>
      <w:r w:rsidRPr="00F05459">
        <w:rPr>
          <w:rFonts w:asciiTheme="minorHAnsi" w:hAnsiTheme="minorHAnsi" w:cstheme="minorHAnsi"/>
          <w:color w:val="000099"/>
        </w:rPr>
        <w:t xml:space="preserve"> </w:t>
      </w:r>
      <w:r w:rsidRPr="00F05459">
        <w:rPr>
          <w:rFonts w:asciiTheme="minorHAnsi" w:hAnsiTheme="minorHAnsi" w:cstheme="minorHAnsi"/>
          <w:color w:val="000099"/>
          <w:lang w:val="x-none"/>
        </w:rPr>
        <w:t xml:space="preserve">Entendimiento </w:t>
      </w:r>
      <w:r w:rsidRPr="00F05459">
        <w:rPr>
          <w:rFonts w:asciiTheme="minorHAnsi" w:hAnsiTheme="minorHAnsi" w:cstheme="minorHAnsi"/>
          <w:b/>
          <w:color w:val="000099"/>
          <w:lang w:val="x-none"/>
        </w:rPr>
        <w:t>PAF/PANSAN-02</w:t>
      </w:r>
      <w:r w:rsidRPr="00F05459">
        <w:rPr>
          <w:rFonts w:asciiTheme="minorHAnsi" w:hAnsiTheme="minorHAnsi" w:cstheme="minorHAnsi"/>
          <w:color w:val="000099"/>
          <w:lang w:val="x-none"/>
        </w:rPr>
        <w:t xml:space="preserve"> suscrito entre el Gobierno de la República de El Salvador y el Instituto</w:t>
      </w:r>
      <w:r w:rsidRPr="00F05459">
        <w:rPr>
          <w:rFonts w:asciiTheme="minorHAnsi" w:hAnsiTheme="minorHAnsi" w:cstheme="minorHAnsi"/>
          <w:color w:val="000099"/>
        </w:rPr>
        <w:t xml:space="preserve"> </w:t>
      </w:r>
      <w:r w:rsidRPr="00F05459">
        <w:rPr>
          <w:rFonts w:asciiTheme="minorHAnsi" w:hAnsiTheme="minorHAnsi" w:cstheme="minorHAnsi"/>
          <w:color w:val="000099"/>
          <w:lang w:val="x-none"/>
        </w:rPr>
        <w:t>Interamericano de Cooperación para la Agricultura (IICA), Plan de Agricultura Familiar y Emprendedurismo</w:t>
      </w:r>
      <w:r w:rsidRPr="00F05459">
        <w:rPr>
          <w:rFonts w:asciiTheme="minorHAnsi" w:hAnsiTheme="minorHAnsi" w:cstheme="minorHAnsi"/>
          <w:color w:val="000099"/>
        </w:rPr>
        <w:t xml:space="preserve"> </w:t>
      </w:r>
      <w:r w:rsidRPr="00F05459">
        <w:rPr>
          <w:rFonts w:asciiTheme="minorHAnsi" w:hAnsiTheme="minorHAnsi" w:cstheme="minorHAnsi"/>
          <w:color w:val="000099"/>
          <w:lang w:val="x-none"/>
        </w:rPr>
        <w:t>Rural para la Seguridad Alimentaria y Nutricional (PAF), Programa de Abastecimiento Nacional para la</w:t>
      </w:r>
      <w:r w:rsidRPr="00F05459">
        <w:rPr>
          <w:rFonts w:asciiTheme="minorHAnsi" w:hAnsiTheme="minorHAnsi" w:cstheme="minorHAnsi"/>
          <w:color w:val="000099"/>
        </w:rPr>
        <w:t xml:space="preserve"> </w:t>
      </w:r>
      <w:r w:rsidRPr="00F05459">
        <w:rPr>
          <w:rFonts w:asciiTheme="minorHAnsi" w:hAnsiTheme="minorHAnsi" w:cstheme="minorHAnsi"/>
          <w:color w:val="000099"/>
          <w:lang w:val="x-none"/>
        </w:rPr>
        <w:t>Seguridad Alimentaria y Nutricional (PANSAN), subprograma: Producción de Alimentos y Generación de</w:t>
      </w:r>
      <w:r w:rsidRPr="00F05459">
        <w:rPr>
          <w:rFonts w:asciiTheme="minorHAnsi" w:hAnsiTheme="minorHAnsi" w:cstheme="minorHAnsi"/>
          <w:color w:val="000099"/>
        </w:rPr>
        <w:t xml:space="preserve"> </w:t>
      </w:r>
      <w:r w:rsidRPr="00F05459">
        <w:rPr>
          <w:rFonts w:asciiTheme="minorHAnsi" w:hAnsiTheme="minorHAnsi" w:cstheme="minorHAnsi"/>
          <w:color w:val="000099"/>
          <w:lang w:val="x-none"/>
        </w:rPr>
        <w:t>Ingresos. Componente: Donación de insumos para la producción Agropecuaria</w:t>
      </w:r>
      <w:r w:rsidRPr="00F05459">
        <w:rPr>
          <w:rFonts w:asciiTheme="minorHAnsi" w:hAnsiTheme="minorHAnsi" w:cstheme="minorHAnsi"/>
          <w:color w:val="000099"/>
        </w:rPr>
        <w:t xml:space="preserve"> suscrito el 29 de marzo de 2012</w:t>
      </w:r>
      <w:r>
        <w:rPr>
          <w:rFonts w:asciiTheme="minorHAnsi" w:hAnsiTheme="minorHAnsi" w:cstheme="minorHAnsi"/>
          <w:color w:val="000099"/>
        </w:rPr>
        <w:t>.</w:t>
      </w:r>
    </w:p>
    <w:p w:rsidR="008D6D7F" w:rsidRPr="00F05459" w:rsidRDefault="008D6D7F" w:rsidP="008D6D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8D6D7F" w:rsidRDefault="008D6D7F" w:rsidP="008D6D7F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  <w:r w:rsidRPr="00F05459">
        <w:rPr>
          <w:rFonts w:asciiTheme="minorHAnsi" w:hAnsiTheme="minorHAnsi" w:cstheme="minorHAnsi"/>
          <w:color w:val="000099"/>
        </w:rPr>
        <w:t>De ambos documentos se requiere además:</w:t>
      </w:r>
    </w:p>
    <w:p w:rsidR="008D6D7F" w:rsidRPr="00F05459" w:rsidRDefault="008D6D7F" w:rsidP="008D6D7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99"/>
        </w:rPr>
      </w:pPr>
    </w:p>
    <w:p w:rsidR="00157BE1" w:rsidRDefault="008D6D7F" w:rsidP="00157BE1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  <w:r w:rsidRPr="00157BE1">
        <w:rPr>
          <w:rFonts w:asciiTheme="minorHAnsi" w:hAnsiTheme="minorHAnsi" w:cstheme="minorHAnsi"/>
          <w:color w:val="000099"/>
        </w:rPr>
        <w:t xml:space="preserve">Si hubo cambios a esos dos memorandos requiero las </w:t>
      </w:r>
      <w:r w:rsidRPr="00157BE1">
        <w:rPr>
          <w:rFonts w:asciiTheme="minorHAnsi" w:hAnsiTheme="minorHAnsi" w:cstheme="minorHAnsi"/>
          <w:b/>
          <w:color w:val="000099"/>
        </w:rPr>
        <w:t>Adendas</w:t>
      </w:r>
      <w:r w:rsidRPr="00157BE1">
        <w:rPr>
          <w:rFonts w:asciiTheme="minorHAnsi" w:hAnsiTheme="minorHAnsi" w:cstheme="minorHAnsi"/>
          <w:color w:val="000099"/>
        </w:rPr>
        <w:t xml:space="preserve"> donde fueron consignadas las modificaciones firmadas entre el MAG y el IICA.</w:t>
      </w:r>
    </w:p>
    <w:p w:rsidR="00157BE1" w:rsidRPr="00157BE1" w:rsidRDefault="00157BE1" w:rsidP="00157BE1">
      <w:pPr>
        <w:pStyle w:val="Prrafodelista"/>
        <w:ind w:left="360"/>
        <w:rPr>
          <w:rFonts w:asciiTheme="minorHAnsi" w:hAnsiTheme="minorHAnsi" w:cstheme="minorHAnsi"/>
          <w:color w:val="000099"/>
        </w:rPr>
      </w:pPr>
    </w:p>
    <w:p w:rsidR="008D6D7F" w:rsidRPr="00157BE1" w:rsidRDefault="008D6D7F" w:rsidP="00157BE1">
      <w:pPr>
        <w:pStyle w:val="Prrafodelista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  <w:r w:rsidRPr="00157BE1">
        <w:rPr>
          <w:rFonts w:asciiTheme="minorHAnsi" w:hAnsiTheme="minorHAnsi" w:cstheme="minorHAnsi"/>
          <w:color w:val="000099"/>
        </w:rPr>
        <w:t xml:space="preserve">Relativo a los periodos y a la información que solicito del </w:t>
      </w:r>
      <w:r w:rsidRPr="00157BE1">
        <w:rPr>
          <w:rFonts w:asciiTheme="minorHAnsi" w:hAnsiTheme="minorHAnsi" w:cstheme="minorHAnsi"/>
          <w:b/>
          <w:color w:val="000099"/>
        </w:rPr>
        <w:t>Comité Conjunto de Conducción (CCC),</w:t>
      </w:r>
      <w:r w:rsidRPr="00157BE1">
        <w:rPr>
          <w:rFonts w:asciiTheme="minorHAnsi" w:hAnsiTheme="minorHAnsi" w:cstheme="minorHAnsi"/>
          <w:color w:val="000099"/>
        </w:rPr>
        <w:t xml:space="preserve"> en relación a los </w:t>
      </w:r>
      <w:r w:rsidRPr="00157BE1">
        <w:rPr>
          <w:rFonts w:asciiTheme="minorHAnsi" w:hAnsiTheme="minorHAnsi" w:cstheme="minorHAnsi"/>
          <w:color w:val="000099"/>
          <w:u w:val="single"/>
        </w:rPr>
        <w:t>dos memorandos y a las adendas de cada uno de los memorandos</w:t>
      </w:r>
      <w:r w:rsidRPr="00157BE1">
        <w:rPr>
          <w:rFonts w:asciiTheme="minorHAnsi" w:hAnsiTheme="minorHAnsi" w:cstheme="minorHAnsi"/>
          <w:color w:val="000099"/>
        </w:rPr>
        <w:t xml:space="preserve">, requiero </w:t>
      </w:r>
      <w:r w:rsidRPr="00157BE1">
        <w:rPr>
          <w:rFonts w:asciiTheme="minorHAnsi" w:hAnsiTheme="minorHAnsi" w:cstheme="minorHAnsi"/>
          <w:color w:val="000099"/>
          <w:u w:val="single"/>
        </w:rPr>
        <w:t>toda la documentación generada por el CCC</w:t>
      </w:r>
      <w:r w:rsidRPr="00157BE1">
        <w:rPr>
          <w:rFonts w:asciiTheme="minorHAnsi" w:hAnsiTheme="minorHAnsi" w:cstheme="minorHAnsi"/>
          <w:color w:val="000099"/>
        </w:rPr>
        <w:t xml:space="preserve"> en poder del MAG del </w:t>
      </w:r>
      <w:r w:rsidRPr="00157BE1">
        <w:rPr>
          <w:rFonts w:asciiTheme="minorHAnsi" w:hAnsiTheme="minorHAnsi" w:cstheme="minorHAnsi"/>
          <w:b/>
          <w:i/>
          <w:color w:val="000099"/>
        </w:rPr>
        <w:t>1 de julio de 2010 al 30 de septiembre de 2014</w:t>
      </w:r>
      <w:r w:rsidRPr="00157BE1">
        <w:rPr>
          <w:rFonts w:asciiTheme="minorHAnsi" w:hAnsiTheme="minorHAnsi" w:cstheme="minorHAnsi"/>
          <w:color w:val="000099"/>
        </w:rPr>
        <w:t>.</w:t>
      </w:r>
    </w:p>
    <w:p w:rsidR="008D6D7F" w:rsidRDefault="008D6D7F" w:rsidP="00C31D24">
      <w:pPr>
        <w:spacing w:after="0" w:line="240" w:lineRule="auto"/>
        <w:rPr>
          <w:rFonts w:asciiTheme="minorHAnsi" w:hAnsiTheme="minorHAnsi" w:cstheme="minorHAnsi"/>
          <w:color w:val="000099"/>
        </w:rPr>
      </w:pPr>
      <w:r>
        <w:rPr>
          <w:rFonts w:asciiTheme="minorHAnsi" w:hAnsiTheme="minorHAnsi" w:cstheme="minorHAnsi"/>
          <w:color w:val="000099"/>
        </w:rPr>
        <w:br w:type="page"/>
      </w:r>
    </w:p>
    <w:p w:rsidR="008D6D7F" w:rsidRPr="00C31D24" w:rsidRDefault="008D6D7F" w:rsidP="008D6D7F">
      <w:pPr>
        <w:pStyle w:val="Prrafodelista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/>
        </w:rPr>
      </w:pPr>
      <w:r w:rsidRPr="00C31D24">
        <w:rPr>
          <w:rFonts w:asciiTheme="minorHAnsi" w:hAnsiTheme="minorHAnsi" w:cstheme="minorHAnsi"/>
          <w:color w:val="000099"/>
          <w:lang w:val="x-none"/>
        </w:rPr>
        <w:lastRenderedPageBreak/>
        <w:t>Requiero estos 15 documentos: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 xml:space="preserve">Copia de </w:t>
      </w:r>
      <w:r w:rsidRPr="00C31D24">
        <w:rPr>
          <w:rFonts w:asciiTheme="minorHAnsi" w:hAnsiTheme="minorHAnsi" w:cstheme="minorHAnsi"/>
          <w:color w:val="000000"/>
        </w:rPr>
        <w:t>l</w:t>
      </w:r>
      <w:r w:rsidRPr="00C31D24">
        <w:rPr>
          <w:rFonts w:asciiTheme="minorHAnsi" w:hAnsiTheme="minorHAnsi" w:cstheme="minorHAnsi"/>
          <w:color w:val="000000"/>
          <w:lang w:val="x-none"/>
        </w:rPr>
        <w:t>os plenos poderes Otorgados al Ing. Guillermo López Suarez, para suscribir el Memorando de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Entendimiento denominado: PAF-PANSAN de fecha 15 de marzo de 2011, publicado en el Diario Oficial No.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77, Tomo 391, de fecha 27 de abril de 2011.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los plenos poderes Otorgados al I</w:t>
      </w:r>
      <w:r w:rsidRPr="00C31D24">
        <w:rPr>
          <w:rFonts w:asciiTheme="minorHAnsi" w:hAnsiTheme="minorHAnsi" w:cstheme="minorHAnsi"/>
          <w:color w:val="000000"/>
        </w:rPr>
        <w:t>n</w:t>
      </w:r>
      <w:r w:rsidRPr="00C31D24">
        <w:rPr>
          <w:rFonts w:asciiTheme="minorHAnsi" w:hAnsiTheme="minorHAnsi" w:cstheme="minorHAnsi"/>
          <w:color w:val="000000"/>
          <w:lang w:val="x-none"/>
        </w:rPr>
        <w:t>g. Guillermo López Suarez, para suscribir la Adenda No.1 al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Memorando de Entendimiento denominado: PAF- PANSAN de fecha 15 de abril de 2011, publicado en el Diario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Oficial No. 99, Tomo 391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de fecha 30 de mayo de 2011.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los plenos poderes Otorgados al Ing. Guillermo López Suarez, para suscribir la Adenda No. 2 al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Memorando de Entendimiento denominado: PAF- PANSAN de fecha 8 de septiembre de 2011, publicado en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el Diario Oficial No. 190. Tomo 393, de fecha 12 de octubre de 2011.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 xml:space="preserve">Copia de los plenos poderes Otorgados al </w:t>
      </w:r>
      <w:r w:rsidRPr="00C31D24">
        <w:rPr>
          <w:rFonts w:asciiTheme="minorHAnsi" w:hAnsiTheme="minorHAnsi" w:cstheme="minorHAnsi"/>
          <w:color w:val="000000"/>
        </w:rPr>
        <w:t>Ing.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Guillermo López Suarez, para suscribir la Adenda No. 3 al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Memorando de Entendimiento denominado: PAF-PANSAN de fecha 22 de diciembre de 2011, publicado en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el Diario Oficial No. 10, Tomo 394, de fecha 17 de enero de 2012.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plenos poderes otorgados al Ing. Guillermo López Suarez, de fecha 11 de abril de 2012, publicado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en el Diario Oficia</w:t>
      </w:r>
      <w:r w:rsidRPr="00C31D24">
        <w:rPr>
          <w:rFonts w:asciiTheme="minorHAnsi" w:hAnsiTheme="minorHAnsi" w:cstheme="minorHAnsi"/>
          <w:color w:val="000000"/>
        </w:rPr>
        <w:t>l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No. 98; Tomo 395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de fecha 30 de mayo de 2012</w:t>
      </w:r>
      <w:r w:rsidRPr="00C31D24">
        <w:rPr>
          <w:rFonts w:asciiTheme="minorHAnsi" w:hAnsiTheme="minorHAnsi" w:cstheme="minorHAnsi"/>
          <w:color w:val="000000"/>
        </w:rPr>
        <w:t>.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Nota de referencia 330</w:t>
      </w:r>
      <w:r w:rsidRPr="00C31D24">
        <w:rPr>
          <w:rFonts w:asciiTheme="minorHAnsi" w:hAnsiTheme="minorHAnsi" w:cstheme="minorHAnsi"/>
          <w:color w:val="000000"/>
        </w:rPr>
        <w:t>/</w:t>
      </w:r>
      <w:r w:rsidRPr="00C31D24">
        <w:rPr>
          <w:rFonts w:asciiTheme="minorHAnsi" w:hAnsiTheme="minorHAnsi" w:cstheme="minorHAnsi"/>
          <w:color w:val="000000"/>
          <w:lang w:val="x-none"/>
        </w:rPr>
        <w:t>0AJ</w:t>
      </w:r>
      <w:r w:rsidRPr="00C31D24">
        <w:rPr>
          <w:rFonts w:asciiTheme="minorHAnsi" w:hAnsiTheme="minorHAnsi" w:cstheme="minorHAnsi"/>
          <w:color w:val="000000"/>
        </w:rPr>
        <w:t>/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201 </w:t>
      </w:r>
      <w:r w:rsidRPr="00C31D24">
        <w:rPr>
          <w:rFonts w:asciiTheme="minorHAnsi" w:hAnsiTheme="minorHAnsi" w:cstheme="minorHAnsi"/>
          <w:color w:val="000000"/>
        </w:rPr>
        <w:t>l</w:t>
      </w:r>
      <w:r w:rsidRPr="00C31D24">
        <w:rPr>
          <w:rFonts w:asciiTheme="minorHAnsi" w:hAnsiTheme="minorHAnsi" w:cstheme="minorHAnsi"/>
          <w:color w:val="000000"/>
          <w:lang w:val="x-none"/>
        </w:rPr>
        <w:t>k de fecha 29 de marzo de 2011, en la que se informa al Representante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del </w:t>
      </w:r>
      <w:r w:rsidRPr="00C31D24">
        <w:rPr>
          <w:rFonts w:asciiTheme="minorHAnsi" w:hAnsiTheme="minorHAnsi" w:cstheme="minorHAnsi"/>
          <w:color w:val="000000"/>
        </w:rPr>
        <w:t>II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CA del nombramiento del </w:t>
      </w:r>
      <w:r w:rsidRPr="00C31D24">
        <w:rPr>
          <w:rFonts w:asciiTheme="minorHAnsi" w:hAnsiTheme="minorHAnsi" w:cstheme="minorHAnsi"/>
          <w:color w:val="000000"/>
        </w:rPr>
        <w:t>I</w:t>
      </w:r>
      <w:r w:rsidRPr="00C31D24">
        <w:rPr>
          <w:rFonts w:asciiTheme="minorHAnsi" w:hAnsiTheme="minorHAnsi" w:cstheme="minorHAnsi"/>
          <w:color w:val="000000"/>
          <w:lang w:val="x-none"/>
        </w:rPr>
        <w:t>ng. Teodoro Romero como enlace entre MAG-</w:t>
      </w:r>
      <w:r w:rsidRPr="00C31D24">
        <w:rPr>
          <w:rFonts w:asciiTheme="minorHAnsi" w:hAnsiTheme="minorHAnsi" w:cstheme="minorHAnsi"/>
          <w:color w:val="000000"/>
        </w:rPr>
        <w:t>II</w:t>
      </w:r>
      <w:r w:rsidRPr="00C31D24">
        <w:rPr>
          <w:rFonts w:asciiTheme="minorHAnsi" w:hAnsiTheme="minorHAnsi" w:cstheme="minorHAnsi"/>
          <w:color w:val="000000"/>
          <w:lang w:val="x-none"/>
        </w:rPr>
        <w:t>CA en el marco de los MDE</w:t>
      </w:r>
      <w:r w:rsidRPr="00C31D24">
        <w:rPr>
          <w:rFonts w:asciiTheme="minorHAnsi" w:hAnsiTheme="minorHAnsi" w:cstheme="minorHAnsi"/>
          <w:color w:val="000000"/>
        </w:rPr>
        <w:t xml:space="preserve"> I </w:t>
      </w:r>
      <w:r w:rsidRPr="00C31D24">
        <w:rPr>
          <w:rFonts w:asciiTheme="minorHAnsi" w:hAnsiTheme="minorHAnsi" w:cstheme="minorHAnsi"/>
          <w:color w:val="000000"/>
          <w:lang w:val="x-none"/>
        </w:rPr>
        <w:t>y</w:t>
      </w:r>
      <w:r w:rsidRPr="00C31D24">
        <w:rPr>
          <w:rFonts w:asciiTheme="minorHAnsi" w:hAnsiTheme="minorHAnsi" w:cstheme="minorHAnsi"/>
          <w:color w:val="000000"/>
        </w:rPr>
        <w:t xml:space="preserve"> II. J</w:t>
      </w:r>
      <w:proofErr w:type="spellStart"/>
      <w:r w:rsidRPr="00C31D24">
        <w:rPr>
          <w:rFonts w:asciiTheme="minorHAnsi" w:hAnsiTheme="minorHAnsi" w:cstheme="minorHAnsi"/>
          <w:color w:val="000000"/>
          <w:lang w:val="x-none"/>
        </w:rPr>
        <w:t>unto</w:t>
      </w:r>
      <w:proofErr w:type="spellEnd"/>
      <w:r w:rsidRPr="00C31D24">
        <w:rPr>
          <w:rFonts w:asciiTheme="minorHAnsi" w:hAnsiTheme="minorHAnsi" w:cstheme="minorHAnsi"/>
          <w:color w:val="000000"/>
          <w:lang w:val="x-none"/>
        </w:rPr>
        <w:t xml:space="preserve"> a la copia de la nota de solicitud de referencia: RC/ASV-102 de fecha 21 de marzo de 2011, en la que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el Representante de </w:t>
      </w:r>
      <w:r w:rsidRPr="00C31D24">
        <w:rPr>
          <w:rFonts w:asciiTheme="minorHAnsi" w:hAnsiTheme="minorHAnsi" w:cstheme="minorHAnsi"/>
          <w:color w:val="000000"/>
        </w:rPr>
        <w:t xml:space="preserve">IICA </w:t>
      </w:r>
      <w:r w:rsidRPr="00C31D24">
        <w:rPr>
          <w:rFonts w:asciiTheme="minorHAnsi" w:hAnsiTheme="minorHAnsi" w:cstheme="minorHAnsi"/>
          <w:color w:val="000000"/>
          <w:lang w:val="x-none"/>
        </w:rPr>
        <w:t>solicita la oficialización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del enlace institucional, es decir señor Teodoro Romero, en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el marco de los MDE </w:t>
      </w:r>
      <w:r w:rsidRPr="00C31D24">
        <w:rPr>
          <w:rFonts w:asciiTheme="minorHAnsi" w:hAnsiTheme="minorHAnsi" w:cstheme="minorHAnsi"/>
          <w:color w:val="000000"/>
        </w:rPr>
        <w:t xml:space="preserve">I 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y </w:t>
      </w:r>
      <w:r w:rsidRPr="00C31D24">
        <w:rPr>
          <w:rFonts w:asciiTheme="minorHAnsi" w:hAnsiTheme="minorHAnsi" w:cstheme="minorHAnsi"/>
          <w:color w:val="000000"/>
        </w:rPr>
        <w:t>II</w:t>
      </w:r>
      <w:r w:rsidRPr="00C31D24">
        <w:rPr>
          <w:rFonts w:asciiTheme="minorHAnsi" w:hAnsiTheme="minorHAnsi" w:cstheme="minorHAnsi"/>
          <w:color w:val="000000"/>
          <w:lang w:val="x-none"/>
        </w:rPr>
        <w:t>.</w:t>
      </w:r>
    </w:p>
    <w:p w:rsidR="00157BE1" w:rsidRPr="00C31D24" w:rsidRDefault="00157BE1" w:rsidP="00157BE1">
      <w:pPr>
        <w:pStyle w:val="Prrafodelista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Acuerdo Ejecutivo N</w:t>
      </w:r>
      <w:r w:rsidRPr="00C31D24">
        <w:rPr>
          <w:rFonts w:asciiTheme="minorHAnsi" w:hAnsiTheme="minorHAnsi" w:cstheme="minorHAnsi"/>
          <w:color w:val="000000"/>
        </w:rPr>
        <w:t>°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8, fecha 4 de enero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Acuerdo Ejecutivo N</w:t>
      </w:r>
      <w:r w:rsidRPr="00C31D24">
        <w:rPr>
          <w:rFonts w:asciiTheme="minorHAnsi" w:hAnsiTheme="minorHAnsi" w:cstheme="minorHAnsi"/>
          <w:color w:val="000000"/>
        </w:rPr>
        <w:t>°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130, fecha de 17 de febrero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Acuerdo Ejecutivo N</w:t>
      </w:r>
      <w:r w:rsidRPr="00C31D24">
        <w:rPr>
          <w:rFonts w:asciiTheme="minorHAnsi" w:hAnsiTheme="minorHAnsi" w:cstheme="minorHAnsi"/>
          <w:color w:val="000000"/>
        </w:rPr>
        <w:t>°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193, fecha de 14 de marzo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Acuerdo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Ejecutivo </w:t>
      </w:r>
      <w:r w:rsidRPr="00C31D24">
        <w:rPr>
          <w:rFonts w:asciiTheme="minorHAnsi" w:hAnsiTheme="minorHAnsi" w:cstheme="minorHAnsi"/>
          <w:color w:val="000000"/>
        </w:rPr>
        <w:t>N° 722,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fecha de 21 de noviembre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Acuerdo Ejecutivo N</w:t>
      </w:r>
      <w:r w:rsidRPr="00C31D24">
        <w:rPr>
          <w:rFonts w:asciiTheme="minorHAnsi" w:hAnsiTheme="minorHAnsi" w:cstheme="minorHAnsi"/>
          <w:color w:val="000000"/>
        </w:rPr>
        <w:t>°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723, fecha de 21 de noviembre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lastRenderedPageBreak/>
        <w:t xml:space="preserve">Acuerdo Ejecutivo </w:t>
      </w:r>
      <w:r w:rsidRPr="00C31D24">
        <w:rPr>
          <w:rFonts w:asciiTheme="minorHAnsi" w:hAnsiTheme="minorHAnsi" w:cstheme="minorHAnsi"/>
          <w:color w:val="000000"/>
        </w:rPr>
        <w:t xml:space="preserve">N° </w:t>
      </w:r>
      <w:r w:rsidRPr="00C31D24">
        <w:rPr>
          <w:rFonts w:asciiTheme="minorHAnsi" w:hAnsiTheme="minorHAnsi" w:cstheme="minorHAnsi"/>
          <w:color w:val="000000"/>
          <w:lang w:val="x-none"/>
        </w:rPr>
        <w:t>79, fecha de 15 de febrero de 2012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Acuerdo Ejecutivo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N° 355</w:t>
      </w:r>
      <w:r w:rsidRPr="00C31D24">
        <w:rPr>
          <w:rFonts w:asciiTheme="minorHAnsi" w:hAnsiTheme="minorHAnsi" w:cstheme="minorHAnsi"/>
          <w:color w:val="000000"/>
        </w:rPr>
        <w:t>,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fecha de 2 de</w:t>
      </w:r>
      <w:r w:rsidRPr="00C31D24">
        <w:rPr>
          <w:rFonts w:asciiTheme="minorHAnsi" w:hAnsiTheme="minorHAnsi" w:cstheme="minorHAnsi"/>
          <w:color w:val="000000"/>
        </w:rPr>
        <w:t xml:space="preserve"> julio 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de </w:t>
      </w:r>
      <w:r w:rsidRPr="00C31D24">
        <w:rPr>
          <w:rFonts w:asciiTheme="minorHAnsi" w:hAnsiTheme="minorHAnsi" w:cstheme="minorHAnsi"/>
          <w:color w:val="000000"/>
        </w:rPr>
        <w:t>2</w:t>
      </w:r>
      <w:r w:rsidRPr="00C31D24">
        <w:rPr>
          <w:rFonts w:asciiTheme="minorHAnsi" w:hAnsiTheme="minorHAnsi" w:cstheme="minorHAnsi"/>
          <w:color w:val="000000"/>
          <w:lang w:val="x-none"/>
        </w:rPr>
        <w:t>012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 xml:space="preserve">Acuerdo </w:t>
      </w:r>
      <w:r w:rsidRPr="00C31D24">
        <w:rPr>
          <w:rFonts w:asciiTheme="minorHAnsi" w:hAnsiTheme="minorHAnsi" w:cstheme="minorHAnsi"/>
          <w:color w:val="000000"/>
        </w:rPr>
        <w:t>Ejecutivo N° 438, f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echa de 17 </w:t>
      </w:r>
      <w:r w:rsidRPr="00C31D24">
        <w:rPr>
          <w:rFonts w:asciiTheme="minorHAnsi" w:hAnsiTheme="minorHAnsi" w:cstheme="minorHAnsi"/>
          <w:color w:val="000000"/>
        </w:rPr>
        <w:t xml:space="preserve">de </w:t>
      </w:r>
      <w:r w:rsidRPr="00C31D24">
        <w:rPr>
          <w:rFonts w:asciiTheme="minorHAnsi" w:hAnsiTheme="minorHAnsi" w:cstheme="minorHAnsi"/>
          <w:color w:val="000000"/>
          <w:lang w:val="x-none"/>
        </w:rPr>
        <w:t>agost</w:t>
      </w:r>
      <w:r w:rsidRPr="00C31D24">
        <w:rPr>
          <w:rFonts w:asciiTheme="minorHAnsi" w:hAnsiTheme="minorHAnsi" w:cstheme="minorHAnsi"/>
          <w:color w:val="000000"/>
        </w:rPr>
        <w:t>o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de 2012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 xml:space="preserve">Acuerdo </w:t>
      </w:r>
      <w:r w:rsidRPr="00C31D24">
        <w:rPr>
          <w:rFonts w:asciiTheme="minorHAnsi" w:hAnsiTheme="minorHAnsi" w:cstheme="minorHAnsi"/>
          <w:color w:val="000000"/>
        </w:rPr>
        <w:t xml:space="preserve">Ejecutivo </w:t>
      </w:r>
      <w:r w:rsidRPr="00C31D24">
        <w:rPr>
          <w:rFonts w:asciiTheme="minorHAnsi" w:hAnsiTheme="minorHAnsi" w:cstheme="minorHAnsi"/>
          <w:color w:val="000000"/>
          <w:lang w:val="x-none"/>
        </w:rPr>
        <w:t>N</w:t>
      </w:r>
      <w:r w:rsidRPr="00C31D24">
        <w:rPr>
          <w:rFonts w:asciiTheme="minorHAnsi" w:hAnsiTheme="minorHAnsi" w:cstheme="minorHAnsi"/>
          <w:color w:val="000000"/>
        </w:rPr>
        <w:t>° 6,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fecha de 3 de enero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de 2013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C31D24">
        <w:rPr>
          <w:rFonts w:asciiTheme="minorHAnsi" w:hAnsiTheme="minorHAnsi" w:cstheme="minorHAnsi"/>
          <w:color w:val="000099"/>
          <w:lang w:val="x-none"/>
        </w:rPr>
        <w:t>Requiero estos 11 documentos que enlisto</w:t>
      </w:r>
      <w:r w:rsidRPr="00C31D24">
        <w:rPr>
          <w:rFonts w:asciiTheme="minorHAnsi" w:hAnsiTheme="minorHAnsi" w:cstheme="minorHAnsi"/>
          <w:color w:val="000099"/>
        </w:rPr>
        <w:t>: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 xml:space="preserve">Copia de </w:t>
      </w:r>
      <w:r w:rsidRPr="00C31D24">
        <w:rPr>
          <w:rFonts w:asciiTheme="minorHAnsi" w:hAnsiTheme="minorHAnsi" w:cstheme="minorHAnsi"/>
          <w:color w:val="000000"/>
          <w:u w:val="single"/>
          <w:lang w:val="x-none"/>
        </w:rPr>
        <w:t>tres actas de reunión</w:t>
      </w:r>
      <w:r w:rsidRPr="00C31D24">
        <w:rPr>
          <w:rFonts w:asciiTheme="minorHAnsi" w:hAnsiTheme="minorHAnsi" w:cstheme="minorHAnsi"/>
          <w:color w:val="000000"/>
          <w:lang w:val="x-none"/>
        </w:rPr>
        <w:t xml:space="preserve"> (CCC) de fechas 20 de noviembre del 2012, 17 de Octubre del 2012, y 12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de Septiembre del 2012, correspondientes al Memorando de Entendimiento entre el MAG e IICA: PAF-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PANSAN-2.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1 de fecha 28 de marzo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2 de fecha 14 de abril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3 de fecha 24 de mayo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4 de fecha 14 de junio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5 de fecha 9 de septiembre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 xml:space="preserve">Copia de Acta de reunión CC No. 6 de fecha 20 de </w:t>
      </w:r>
      <w:r w:rsidRPr="00C31D24">
        <w:rPr>
          <w:rFonts w:asciiTheme="minorHAnsi" w:hAnsiTheme="minorHAnsi" w:cstheme="minorHAnsi"/>
          <w:color w:val="000000"/>
        </w:rPr>
        <w:t>o</w:t>
      </w:r>
      <w:r w:rsidRPr="00C31D24">
        <w:rPr>
          <w:rFonts w:asciiTheme="minorHAnsi" w:hAnsiTheme="minorHAnsi" w:cstheme="minorHAnsi"/>
          <w:color w:val="000000"/>
          <w:lang w:val="x-none"/>
        </w:rPr>
        <w:t>octubre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</w:t>
      </w:r>
      <w:r w:rsidRPr="00C31D24">
        <w:rPr>
          <w:rFonts w:asciiTheme="minorHAnsi" w:hAnsiTheme="minorHAnsi" w:cstheme="minorHAnsi"/>
          <w:color w:val="000000"/>
        </w:rPr>
        <w:t xml:space="preserve"> </w:t>
      </w:r>
      <w:r w:rsidRPr="00C31D24">
        <w:rPr>
          <w:rFonts w:asciiTheme="minorHAnsi" w:hAnsiTheme="minorHAnsi" w:cstheme="minorHAnsi"/>
          <w:color w:val="000000"/>
          <w:lang w:val="x-none"/>
        </w:rPr>
        <w:t>7 de fecha 9 de Diciembre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8 de fecha 19 de Diciembre de 2011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9 de fecha 20 de marzo de 2012</w:t>
      </w:r>
    </w:p>
    <w:p w:rsidR="008D6D7F" w:rsidRPr="00C31D24" w:rsidRDefault="008D6D7F" w:rsidP="008D6D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D6D7F" w:rsidRPr="00C31D24" w:rsidRDefault="008D6D7F" w:rsidP="008D6D7F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x-none"/>
        </w:rPr>
      </w:pPr>
      <w:r w:rsidRPr="00C31D24">
        <w:rPr>
          <w:rFonts w:asciiTheme="minorHAnsi" w:hAnsiTheme="minorHAnsi" w:cstheme="minorHAnsi"/>
          <w:color w:val="000000"/>
          <w:lang w:val="x-none"/>
        </w:rPr>
        <w:t>Copia de Acta de reunión CC No. 10 de fecha 9 de abril de 2012</w:t>
      </w:r>
    </w:p>
    <w:p w:rsidR="00B15CDA" w:rsidRPr="00C31D24" w:rsidRDefault="00B15CDA" w:rsidP="001911BF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lang w:val="x-none"/>
        </w:rPr>
      </w:pPr>
    </w:p>
    <w:p w:rsidR="00A16C12" w:rsidRPr="00C31D24" w:rsidRDefault="00BE0B9D" w:rsidP="00C52B56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C31D24">
        <w:rPr>
          <w:rFonts w:asciiTheme="minorHAnsi" w:eastAsia="Arial Unicode MS" w:hAnsiTheme="minorHAnsi" w:cstheme="minorHAnsi"/>
        </w:rPr>
        <w:t>P</w:t>
      </w:r>
      <w:r w:rsidR="00EE4B7D" w:rsidRPr="00C31D24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31D24">
        <w:rPr>
          <w:rFonts w:asciiTheme="minorHAnsi" w:eastAsia="Arial Unicode MS" w:hAnsiTheme="minorHAnsi" w:cstheme="minorHAnsi"/>
          <w:b/>
          <w:color w:val="000099"/>
        </w:rPr>
        <w:t>:</w:t>
      </w:r>
      <w:r w:rsidR="001B2756" w:rsidRPr="00C31D2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B353DD" w:rsidRPr="00B353DD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proofErr w:type="spellEnd"/>
      <w:r w:rsidR="006A56D7" w:rsidRPr="00C31D24">
        <w:rPr>
          <w:rFonts w:asciiTheme="minorHAnsi" w:hAnsiTheme="minorHAnsi" w:cstheme="minorHAnsi"/>
          <w:b/>
          <w:color w:val="000099"/>
        </w:rPr>
        <w:t>,</w:t>
      </w:r>
      <w:r w:rsidR="00DE3698" w:rsidRPr="00C31D24">
        <w:rPr>
          <w:rFonts w:asciiTheme="minorHAnsi" w:hAnsiTheme="minorHAnsi" w:cstheme="minorHAnsi"/>
          <w:b/>
          <w:color w:val="000099"/>
        </w:rPr>
        <w:t xml:space="preserve"> </w:t>
      </w:r>
      <w:r w:rsidR="00C52B56" w:rsidRPr="00C31D24">
        <w:rPr>
          <w:rFonts w:asciiTheme="minorHAnsi" w:eastAsia="Arial Unicode MS" w:hAnsiTheme="minorHAnsi" w:cstheme="minorHAnsi"/>
        </w:rPr>
        <w:t xml:space="preserve">y </w:t>
      </w:r>
      <w:r w:rsidR="00A16C12" w:rsidRPr="00C31D24">
        <w:rPr>
          <w:rFonts w:asciiTheme="minorHAnsi" w:eastAsia="Arial Unicode MS" w:hAnsiTheme="minorHAnsi" w:cstheme="minorHAnsi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C31D24">
        <w:rPr>
          <w:rFonts w:asciiTheme="minorHAnsi" w:eastAsia="Arial Unicode MS" w:hAnsiTheme="minorHAnsi" w:cstheme="minorHAnsi"/>
        </w:rPr>
        <w:t>resuelve</w:t>
      </w:r>
      <w:proofErr w:type="gramEnd"/>
      <w:r w:rsidR="00A16C12" w:rsidRPr="00C31D24">
        <w:rPr>
          <w:rFonts w:asciiTheme="minorHAnsi" w:eastAsia="Arial Unicode MS" w:hAnsiTheme="minorHAnsi" w:cstheme="minorHAnsi"/>
        </w:rPr>
        <w:t>:</w:t>
      </w:r>
    </w:p>
    <w:p w:rsidR="00A16C12" w:rsidRPr="00C31D24" w:rsidRDefault="00A16C12" w:rsidP="00C52B56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33497B" w:rsidRPr="00C31D24" w:rsidRDefault="00326E1B" w:rsidP="002C5FD4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  <w:r w:rsidRPr="00C31D24">
        <w:rPr>
          <w:rFonts w:asciiTheme="minorHAnsi" w:eastAsia="Arial Unicode MS" w:hAnsiTheme="minorHAnsi" w:cstheme="minorHAnsi"/>
          <w:b/>
          <w:color w:val="000099"/>
          <w:sz w:val="24"/>
        </w:rPr>
        <w:lastRenderedPageBreak/>
        <w:t xml:space="preserve">PROPORCIONAR </w:t>
      </w:r>
      <w:r w:rsidR="007C7E4E" w:rsidRPr="00C31D24">
        <w:rPr>
          <w:rFonts w:asciiTheme="minorHAnsi" w:eastAsia="Arial Unicode MS" w:hAnsiTheme="minorHAnsi" w:cstheme="minorHAnsi"/>
          <w:b/>
          <w:sz w:val="24"/>
        </w:rPr>
        <w:t>PARTE</w:t>
      </w:r>
      <w:r w:rsidR="007C7E4E" w:rsidRPr="00C31D24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DE </w:t>
      </w:r>
      <w:r w:rsidRPr="00C31D24">
        <w:rPr>
          <w:rFonts w:asciiTheme="minorHAnsi" w:eastAsia="Arial Unicode MS" w:hAnsiTheme="minorHAnsi" w:cstheme="minorHAnsi"/>
          <w:b/>
          <w:color w:val="000099"/>
          <w:sz w:val="24"/>
        </w:rPr>
        <w:t>LA</w:t>
      </w:r>
      <w:r w:rsidR="00E74110" w:rsidRPr="00C31D24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INFORMACIÓN </w:t>
      </w:r>
      <w:r w:rsidR="007C7E4E" w:rsidRPr="00C31D24">
        <w:rPr>
          <w:rFonts w:asciiTheme="minorHAnsi" w:eastAsia="Arial Unicode MS" w:hAnsiTheme="minorHAnsi" w:cstheme="minorHAnsi"/>
          <w:b/>
          <w:color w:val="000099"/>
          <w:sz w:val="24"/>
        </w:rPr>
        <w:t>PUBLICA</w:t>
      </w:r>
      <w:r w:rsidR="00E74110" w:rsidRPr="00C31D24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SOLICITADA</w:t>
      </w:r>
    </w:p>
    <w:p w:rsidR="008D6D7F" w:rsidRPr="00C31D24" w:rsidRDefault="008D6D7F" w:rsidP="002C5FD4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7C7E4E" w:rsidRPr="00C31D24" w:rsidRDefault="00326E1B" w:rsidP="007C7E4E">
      <w:p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</w:rPr>
        <w:t>S</w:t>
      </w:r>
      <w:r w:rsidR="00DE3698" w:rsidRPr="00C31D24">
        <w:rPr>
          <w:rFonts w:asciiTheme="minorHAnsi" w:eastAsia="Arial Unicode MS" w:hAnsiTheme="minorHAnsi" w:cstheme="minorHAnsi"/>
        </w:rPr>
        <w:t>e</w:t>
      </w:r>
      <w:r w:rsidR="00BC0398" w:rsidRPr="00C31D24">
        <w:rPr>
          <w:rFonts w:asciiTheme="minorHAnsi" w:eastAsia="Arial Unicode MS" w:hAnsiTheme="minorHAnsi" w:cstheme="minorHAnsi"/>
        </w:rPr>
        <w:t xml:space="preserve"> adjunta</w:t>
      </w:r>
      <w:r w:rsidR="00E80014" w:rsidRPr="00C31D24">
        <w:rPr>
          <w:rFonts w:asciiTheme="minorHAnsi" w:eastAsia="Arial Unicode MS" w:hAnsiTheme="minorHAnsi" w:cstheme="minorHAnsi"/>
          <w:color w:val="000099"/>
        </w:rPr>
        <w:t xml:space="preserve"> </w:t>
      </w:r>
      <w:r w:rsidR="00071CF6" w:rsidRPr="00C31D24">
        <w:rPr>
          <w:rFonts w:asciiTheme="minorHAnsi" w:eastAsia="Arial Unicode MS" w:hAnsiTheme="minorHAnsi" w:cstheme="minorHAnsi"/>
        </w:rPr>
        <w:t>a la presente</w:t>
      </w:r>
      <w:r w:rsidR="00112D70" w:rsidRPr="00C31D24">
        <w:rPr>
          <w:rFonts w:asciiTheme="minorHAnsi" w:eastAsia="Arial Unicode MS" w:hAnsiTheme="minorHAnsi" w:cstheme="minorHAnsi"/>
        </w:rPr>
        <w:t xml:space="preserve"> resolución </w:t>
      </w:r>
      <w:r w:rsidR="008D74EF" w:rsidRPr="00C31D24">
        <w:rPr>
          <w:rFonts w:asciiTheme="minorHAnsi" w:eastAsia="Arial Unicode MS" w:hAnsiTheme="minorHAnsi" w:cstheme="minorHAnsi"/>
          <w:color w:val="000099"/>
        </w:rPr>
        <w:t xml:space="preserve">1 </w:t>
      </w:r>
      <w:r w:rsidR="00E31B69" w:rsidRPr="00C31D24">
        <w:rPr>
          <w:rFonts w:asciiTheme="minorHAnsi" w:eastAsia="Arial Unicode MS" w:hAnsiTheme="minorHAnsi" w:cstheme="minorHAnsi"/>
          <w:color w:val="000099"/>
        </w:rPr>
        <w:t>archivo en f</w:t>
      </w:r>
      <w:r w:rsidR="008D74EF" w:rsidRPr="00C31D24">
        <w:rPr>
          <w:rFonts w:asciiTheme="minorHAnsi" w:eastAsia="Arial Unicode MS" w:hAnsiTheme="minorHAnsi" w:cstheme="minorHAnsi"/>
          <w:color w:val="000099"/>
        </w:rPr>
        <w:t xml:space="preserve">ormato </w:t>
      </w:r>
      <w:r w:rsidR="00157AFF" w:rsidRPr="00C31D24">
        <w:rPr>
          <w:rFonts w:asciiTheme="minorHAnsi" w:eastAsia="Arial Unicode MS" w:hAnsiTheme="minorHAnsi" w:cstheme="minorHAnsi"/>
          <w:color w:val="000099"/>
        </w:rPr>
        <w:t xml:space="preserve">PDF </w:t>
      </w:r>
      <w:r w:rsidR="008D6D7F" w:rsidRPr="00C31D24">
        <w:rPr>
          <w:rFonts w:asciiTheme="minorHAnsi" w:eastAsia="Arial Unicode MS" w:hAnsiTheme="minorHAnsi" w:cstheme="minorHAnsi"/>
          <w:color w:val="000099"/>
        </w:rPr>
        <w:t>de los documentos solicitados</w:t>
      </w:r>
      <w:r w:rsidR="00DC6697" w:rsidRPr="00C31D24">
        <w:rPr>
          <w:rFonts w:asciiTheme="minorHAnsi" w:eastAsia="Arial Unicode MS" w:hAnsiTheme="minorHAnsi" w:cstheme="minorHAnsi"/>
          <w:color w:val="000099"/>
        </w:rPr>
        <w:t>,</w:t>
      </w:r>
      <w:r w:rsidR="007C7E4E" w:rsidRPr="00C31D24">
        <w:rPr>
          <w:rFonts w:asciiTheme="minorHAnsi" w:eastAsia="Arial Unicode MS" w:hAnsiTheme="minorHAnsi" w:cstheme="minorHAnsi"/>
          <w:color w:val="000099"/>
        </w:rPr>
        <w:t xml:space="preserve"> exceptuando la información </w:t>
      </w:r>
      <w:r w:rsidR="00DC6697" w:rsidRPr="00C31D24">
        <w:rPr>
          <w:rFonts w:asciiTheme="minorHAnsi" w:eastAsia="Arial Unicode MS" w:hAnsiTheme="minorHAnsi" w:cstheme="minorHAnsi"/>
          <w:i/>
          <w:color w:val="000099"/>
        </w:rPr>
        <w:t>confidencial</w:t>
      </w:r>
      <w:r w:rsidR="00DC6697" w:rsidRPr="00C31D24">
        <w:rPr>
          <w:rFonts w:asciiTheme="minorHAnsi" w:eastAsia="Arial Unicode MS" w:hAnsiTheme="minorHAnsi" w:cstheme="minorHAnsi"/>
          <w:color w:val="000099"/>
        </w:rPr>
        <w:t xml:space="preserve"> de</w:t>
      </w:r>
      <w:r w:rsidR="007C7E4E" w:rsidRPr="00C31D24">
        <w:rPr>
          <w:rFonts w:asciiTheme="minorHAnsi" w:eastAsia="Arial Unicode MS" w:hAnsiTheme="minorHAnsi" w:cstheme="minorHAnsi"/>
          <w:color w:val="000099"/>
        </w:rPr>
        <w:t xml:space="preserve"> los siguientes Acuerdos Ejecutivos:</w:t>
      </w:r>
    </w:p>
    <w:p w:rsidR="007C7E4E" w:rsidRPr="00C31D24" w:rsidRDefault="007C7E4E" w:rsidP="007C7E4E">
      <w:p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8, fecha 4 de enero de 2011</w:t>
      </w: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130, fecha de 17 de febrero de 2011</w:t>
      </w: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193, fecha de 14 de marzo de 2011</w:t>
      </w: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722, fecha de 21 de noviembre de 2011</w:t>
      </w: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723, fecha de 21 de noviembre de 2011</w:t>
      </w: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79, fecha de 15 de febrero de 2012</w:t>
      </w: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355, fecha de 2 de julio de 2012</w:t>
      </w:r>
    </w:p>
    <w:p w:rsidR="007C7E4E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C31D24">
        <w:rPr>
          <w:rFonts w:asciiTheme="minorHAnsi" w:eastAsia="Arial Unicode MS" w:hAnsiTheme="minorHAnsi" w:cstheme="minorHAnsi"/>
          <w:color w:val="000099"/>
        </w:rPr>
        <w:t>Acuerdo Ejecutivo N° 438, fecha de 17 de agosto de 2012</w:t>
      </w:r>
    </w:p>
    <w:p w:rsidR="00034D53" w:rsidRPr="00C31D24" w:rsidRDefault="007C7E4E" w:rsidP="007C7E4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C31D24">
        <w:rPr>
          <w:rFonts w:asciiTheme="minorHAnsi" w:eastAsia="Arial Unicode MS" w:hAnsiTheme="minorHAnsi" w:cstheme="minorHAnsi"/>
          <w:color w:val="000099"/>
        </w:rPr>
        <w:t xml:space="preserve">Acuerdo Ejecutivo N° 6, fecha de 3 de enero de 2013, </w:t>
      </w:r>
    </w:p>
    <w:p w:rsidR="006735E8" w:rsidRPr="00C31D24" w:rsidRDefault="006735E8" w:rsidP="002A1847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4B0660" w:rsidRPr="00C31D24" w:rsidRDefault="00DC6697" w:rsidP="004B0660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C31D24">
        <w:rPr>
          <w:rFonts w:asciiTheme="minorHAnsi" w:eastAsia="Arial Unicode MS" w:hAnsiTheme="minorHAnsi" w:cstheme="minorHAnsi"/>
        </w:rPr>
        <w:t xml:space="preserve">Lo anterior obedece </w:t>
      </w:r>
      <w:r w:rsidR="004B0660" w:rsidRPr="00C31D24">
        <w:rPr>
          <w:rFonts w:asciiTheme="minorHAnsi" w:eastAsia="Arial Unicode MS" w:hAnsiTheme="minorHAnsi" w:cstheme="minorHAnsi"/>
        </w:rPr>
        <w:t>a</w:t>
      </w:r>
      <w:r w:rsidRPr="00C31D24">
        <w:rPr>
          <w:rFonts w:asciiTheme="minorHAnsi" w:eastAsia="Arial Unicode MS" w:hAnsiTheme="minorHAnsi" w:cstheme="minorHAnsi"/>
        </w:rPr>
        <w:t xml:space="preserve"> que los </w:t>
      </w:r>
      <w:r w:rsidRPr="00C31D24">
        <w:rPr>
          <w:rFonts w:asciiTheme="minorHAnsi" w:eastAsia="Arial Unicode MS" w:hAnsiTheme="minorHAnsi" w:cstheme="minorHAnsi"/>
          <w:color w:val="000099"/>
        </w:rPr>
        <w:t>nueve acuerdos mencionados</w:t>
      </w:r>
      <w:r w:rsidR="00C31D24">
        <w:rPr>
          <w:rFonts w:asciiTheme="minorHAnsi" w:eastAsia="Arial Unicode MS" w:hAnsiTheme="minorHAnsi" w:cstheme="minorHAnsi"/>
          <w:color w:val="000099"/>
        </w:rPr>
        <w:t xml:space="preserve"> en el inciso anterior,</w:t>
      </w:r>
      <w:r w:rsidRPr="00C31D24">
        <w:rPr>
          <w:rFonts w:asciiTheme="minorHAnsi" w:eastAsia="Arial Unicode MS" w:hAnsiTheme="minorHAnsi" w:cstheme="minorHAnsi"/>
          <w:color w:val="000099"/>
        </w:rPr>
        <w:t xml:space="preserve"> </w:t>
      </w:r>
      <w:r w:rsidRPr="00C31D24">
        <w:rPr>
          <w:rFonts w:asciiTheme="minorHAnsi" w:eastAsia="Arial Unicode MS" w:hAnsiTheme="minorHAnsi" w:cstheme="minorHAnsi"/>
        </w:rPr>
        <w:t>contienen</w:t>
      </w:r>
      <w:r w:rsidR="00C31D24">
        <w:rPr>
          <w:rFonts w:asciiTheme="minorHAnsi" w:eastAsia="Arial Unicode MS" w:hAnsiTheme="minorHAnsi" w:cstheme="minorHAnsi"/>
        </w:rPr>
        <w:t xml:space="preserve"> información sobre el </w:t>
      </w:r>
      <w:r w:rsidR="00C31D24" w:rsidRPr="00C31D24">
        <w:rPr>
          <w:rFonts w:asciiTheme="minorHAnsi" w:eastAsia="Arial Unicode MS" w:hAnsiTheme="minorHAnsi" w:cstheme="minorHAnsi"/>
          <w:b/>
          <w:color w:val="000099"/>
        </w:rPr>
        <w:t>Número de Identificación Tributaria NIT</w:t>
      </w:r>
      <w:r w:rsidR="00C31D24">
        <w:rPr>
          <w:rFonts w:asciiTheme="minorHAnsi" w:eastAsia="Arial Unicode MS" w:hAnsiTheme="minorHAnsi" w:cstheme="minorHAnsi"/>
        </w:rPr>
        <w:t xml:space="preserve">, la cual está </w:t>
      </w:r>
      <w:r w:rsidRPr="00C31D24">
        <w:rPr>
          <w:rFonts w:asciiTheme="minorHAnsi" w:eastAsia="Arial Unicode MS" w:hAnsiTheme="minorHAnsi" w:cstheme="minorHAnsi"/>
        </w:rPr>
        <w:t xml:space="preserve">considerada </w:t>
      </w:r>
      <w:r w:rsidR="004B0660" w:rsidRPr="00C31D24">
        <w:rPr>
          <w:rFonts w:asciiTheme="minorHAnsi" w:eastAsia="Arial Unicode MS" w:hAnsiTheme="minorHAnsi" w:cstheme="minorHAnsi"/>
        </w:rPr>
        <w:t xml:space="preserve">entre las excepciones </w:t>
      </w:r>
      <w:r w:rsidR="00C31D24">
        <w:rPr>
          <w:rFonts w:asciiTheme="minorHAnsi" w:eastAsia="Arial Unicode MS" w:hAnsiTheme="minorHAnsi" w:cstheme="minorHAnsi"/>
        </w:rPr>
        <w:t>contempladas</w:t>
      </w:r>
      <w:r w:rsidRPr="00C31D24">
        <w:rPr>
          <w:rFonts w:asciiTheme="minorHAnsi" w:eastAsia="Arial Unicode MS" w:hAnsiTheme="minorHAnsi" w:cstheme="minorHAnsi"/>
        </w:rPr>
        <w:t xml:space="preserve"> </w:t>
      </w:r>
      <w:r w:rsidR="004B0660" w:rsidRPr="00C31D24">
        <w:rPr>
          <w:rFonts w:asciiTheme="minorHAnsi" w:eastAsia="Arial Unicode MS" w:hAnsiTheme="minorHAnsi" w:cstheme="minorHAnsi"/>
        </w:rPr>
        <w:t xml:space="preserve">en los </w:t>
      </w:r>
      <w:r w:rsidR="004B0660" w:rsidRPr="00C31D24">
        <w:rPr>
          <w:rFonts w:asciiTheme="minorHAnsi" w:eastAsia="Arial Unicode MS" w:hAnsiTheme="minorHAnsi" w:cstheme="minorHAnsi"/>
          <w:color w:val="000099"/>
        </w:rPr>
        <w:t>artículos 6 letra f, y 24 de la Ley de Acceso a la Información Pública</w:t>
      </w:r>
      <w:r w:rsidR="00C31D24">
        <w:rPr>
          <w:rFonts w:asciiTheme="minorHAnsi" w:eastAsia="Arial Unicode MS" w:hAnsiTheme="minorHAnsi" w:cstheme="minorHAnsi"/>
          <w:color w:val="000099"/>
        </w:rPr>
        <w:t>-LAIP</w:t>
      </w:r>
      <w:r w:rsidR="004B0660" w:rsidRPr="00C31D24">
        <w:rPr>
          <w:rFonts w:asciiTheme="minorHAnsi" w:eastAsia="Arial Unicode MS" w:hAnsiTheme="minorHAnsi" w:cstheme="minorHAnsi"/>
        </w:rPr>
        <w:t xml:space="preserve">, como información </w:t>
      </w:r>
      <w:r w:rsidR="004B0660" w:rsidRPr="00C31D24">
        <w:rPr>
          <w:rFonts w:asciiTheme="minorHAnsi" w:eastAsia="Arial Unicode MS" w:hAnsiTheme="minorHAnsi" w:cstheme="minorHAnsi"/>
          <w:b/>
          <w:color w:val="000099"/>
        </w:rPr>
        <w:t>CONFIDENCIAL</w:t>
      </w:r>
      <w:r w:rsidR="004B0660" w:rsidRPr="00C31D24">
        <w:rPr>
          <w:rFonts w:asciiTheme="minorHAnsi" w:eastAsia="Arial Unicode MS" w:hAnsiTheme="minorHAnsi" w:cstheme="minorHAnsi"/>
        </w:rPr>
        <w:t>, por contener datos personales de particulares tales como: dirección domiciliar, dirección electrónica, número telefónico</w:t>
      </w:r>
      <w:r w:rsidR="00C31D24">
        <w:rPr>
          <w:rFonts w:asciiTheme="minorHAnsi" w:eastAsia="Arial Unicode MS" w:hAnsiTheme="minorHAnsi" w:cstheme="minorHAnsi"/>
        </w:rPr>
        <w:t xml:space="preserve">, números de documentos de identificación personal, </w:t>
      </w:r>
      <w:r w:rsidR="004B0660" w:rsidRPr="00C31D24">
        <w:rPr>
          <w:rFonts w:asciiTheme="minorHAnsi" w:eastAsia="Arial Unicode MS" w:hAnsiTheme="minorHAnsi" w:cstheme="minorHAnsi"/>
        </w:rPr>
        <w:t xml:space="preserve">u otra análoga, </w:t>
      </w:r>
      <w:r w:rsidR="00C31D24">
        <w:rPr>
          <w:rFonts w:asciiTheme="minorHAnsi" w:eastAsia="Arial Unicode MS" w:hAnsiTheme="minorHAnsi" w:cstheme="minorHAnsi"/>
        </w:rPr>
        <w:t xml:space="preserve">la cual ha sido </w:t>
      </w:r>
      <w:r w:rsidR="004B0660" w:rsidRPr="00C31D24">
        <w:rPr>
          <w:rFonts w:asciiTheme="minorHAnsi" w:eastAsia="Arial Unicode MS" w:hAnsiTheme="minorHAnsi" w:cstheme="minorHAnsi"/>
        </w:rPr>
        <w:t>entregada por dichas personas a esta Secretaría de Estado, por lo tanto de acuerdo a lo dispuesto en el Art. 30 de la LAIP, resuelve:</w:t>
      </w:r>
    </w:p>
    <w:p w:rsidR="004B0660" w:rsidRPr="00C31D24" w:rsidRDefault="004B0660" w:rsidP="004B0660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4B0660" w:rsidRPr="00C31D24" w:rsidRDefault="004B0660" w:rsidP="004B0660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</w:rPr>
      </w:pPr>
      <w:r w:rsidRPr="00C31D24">
        <w:rPr>
          <w:rFonts w:asciiTheme="minorHAnsi" w:hAnsiTheme="minorHAnsi" w:cstheme="minorHAnsi"/>
          <w:b/>
          <w:color w:val="000099"/>
          <w:sz w:val="24"/>
        </w:rPr>
        <w:t xml:space="preserve">PROPORCIONAR </w:t>
      </w:r>
      <w:r w:rsidR="00DC6697" w:rsidRPr="00C31D24">
        <w:rPr>
          <w:rFonts w:asciiTheme="minorHAnsi" w:hAnsiTheme="minorHAnsi" w:cstheme="minorHAnsi"/>
          <w:b/>
          <w:color w:val="000099"/>
          <w:sz w:val="24"/>
        </w:rPr>
        <w:t xml:space="preserve">LA </w:t>
      </w:r>
      <w:r w:rsidRPr="00C31D24">
        <w:rPr>
          <w:rFonts w:asciiTheme="minorHAnsi" w:hAnsiTheme="minorHAnsi" w:cstheme="minorHAnsi"/>
          <w:b/>
          <w:color w:val="000099"/>
          <w:sz w:val="24"/>
        </w:rPr>
        <w:t xml:space="preserve">VERSIÓN PÚBLICA DE LA INFORMACIÓN </w:t>
      </w:r>
      <w:r w:rsidR="00DC6697" w:rsidRPr="00C31D24">
        <w:rPr>
          <w:rFonts w:asciiTheme="minorHAnsi" w:hAnsiTheme="minorHAnsi" w:cstheme="minorHAnsi"/>
          <w:b/>
          <w:color w:val="000099"/>
          <w:sz w:val="24"/>
        </w:rPr>
        <w:t>SOLICITADA</w:t>
      </w:r>
    </w:p>
    <w:p w:rsidR="004B0660" w:rsidRPr="00C31D24" w:rsidRDefault="004B0660" w:rsidP="004B0660">
      <w:pPr>
        <w:spacing w:after="0" w:line="240" w:lineRule="auto"/>
        <w:jc w:val="center"/>
        <w:rPr>
          <w:rFonts w:asciiTheme="minorHAnsi" w:eastAsia="Arial Unicode MS" w:hAnsiTheme="minorHAnsi" w:cstheme="minorHAnsi"/>
        </w:rPr>
      </w:pPr>
    </w:p>
    <w:p w:rsidR="004B0660" w:rsidRPr="00C31D24" w:rsidRDefault="004B0660" w:rsidP="004B0660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C31D24">
        <w:rPr>
          <w:rFonts w:asciiTheme="minorHAnsi" w:eastAsia="Arial Unicode MS" w:hAnsiTheme="minorHAnsi" w:cstheme="minorHAnsi"/>
        </w:rPr>
        <w:t>En esos términos se a</w:t>
      </w:r>
      <w:r w:rsidR="00C31D24">
        <w:rPr>
          <w:rFonts w:asciiTheme="minorHAnsi" w:eastAsia="Arial Unicode MS" w:hAnsiTheme="minorHAnsi" w:cstheme="minorHAnsi"/>
        </w:rPr>
        <w:t>nexa</w:t>
      </w:r>
      <w:r w:rsidRPr="00C31D24">
        <w:rPr>
          <w:rFonts w:asciiTheme="minorHAnsi" w:eastAsia="Arial Unicode MS" w:hAnsiTheme="minorHAnsi" w:cstheme="minorHAnsi"/>
        </w:rPr>
        <w:t xml:space="preserve"> a la presente resolución un</w:t>
      </w:r>
      <w:r w:rsidR="009A3123" w:rsidRPr="00C31D24">
        <w:rPr>
          <w:rFonts w:asciiTheme="minorHAnsi" w:eastAsia="Arial Unicode MS" w:hAnsiTheme="minorHAnsi" w:cstheme="minorHAnsi"/>
        </w:rPr>
        <w:t xml:space="preserve"> Archivo en PDF </w:t>
      </w:r>
      <w:r w:rsidRPr="00C31D24">
        <w:rPr>
          <w:rFonts w:asciiTheme="minorHAnsi" w:eastAsia="Arial Unicode MS" w:hAnsiTheme="minorHAnsi" w:cstheme="minorHAnsi"/>
        </w:rPr>
        <w:t xml:space="preserve">de los </w:t>
      </w:r>
      <w:r w:rsidR="00DC6697" w:rsidRPr="00C31D24">
        <w:rPr>
          <w:rFonts w:asciiTheme="minorHAnsi" w:eastAsia="Arial Unicode MS" w:hAnsiTheme="minorHAnsi" w:cstheme="minorHAnsi"/>
        </w:rPr>
        <w:t>nueve Acuerdos Ejecutivos arriba mencionados</w:t>
      </w:r>
      <w:r w:rsidR="009A3123" w:rsidRPr="00C31D24">
        <w:rPr>
          <w:rFonts w:asciiTheme="minorHAnsi" w:eastAsia="Arial Unicode MS" w:hAnsiTheme="minorHAnsi" w:cstheme="minorHAnsi"/>
          <w:i/>
          <w:color w:val="000099"/>
        </w:rPr>
        <w:t xml:space="preserve"> en su versión pública</w:t>
      </w:r>
      <w:r w:rsidR="00DC6697" w:rsidRPr="00C31D24">
        <w:rPr>
          <w:rFonts w:asciiTheme="minorHAnsi" w:eastAsia="Arial Unicode MS" w:hAnsiTheme="minorHAnsi" w:cstheme="minorHAnsi"/>
        </w:rPr>
        <w:t>.</w:t>
      </w:r>
    </w:p>
    <w:p w:rsidR="00004AF8" w:rsidRPr="00C31D24" w:rsidRDefault="00004AF8" w:rsidP="00E40662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31D24" w:rsidRDefault="00C31D24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31D24" w:rsidRDefault="00C31D24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31D24" w:rsidRDefault="00C31D24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Pr="0064545A" w:rsidRDefault="00FD2F02" w:rsidP="0064545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sz w:val="16"/>
          <w:szCs w:val="16"/>
        </w:rPr>
        <w:t>D</w:t>
      </w:r>
      <w:r w:rsidR="0064545A" w:rsidRPr="0064545A">
        <w:rPr>
          <w:sz w:val="16"/>
          <w:szCs w:val="16"/>
        </w:rPr>
        <w:t xml:space="preserve">espués de analizar lo anteriormente expuesto </w:t>
      </w:r>
      <w:r w:rsidR="0064545A">
        <w:rPr>
          <w:sz w:val="16"/>
          <w:szCs w:val="16"/>
        </w:rPr>
        <w:t>puede</w:t>
      </w:r>
      <w:r w:rsidR="0064545A" w:rsidRPr="0064545A">
        <w:rPr>
          <w:sz w:val="16"/>
          <w:szCs w:val="16"/>
        </w:rPr>
        <w:t xml:space="preserve"> interponer un recurso de apelación según lo dispuesto en el Art 82 y 83 de la LAIP</w:t>
      </w:r>
      <w:r w:rsidR="0064545A">
        <w:rPr>
          <w:sz w:val="16"/>
          <w:szCs w:val="16"/>
        </w:rPr>
        <w:t>.</w:t>
      </w:r>
    </w:p>
    <w:sectPr w:rsidR="0064545A" w:rsidRPr="0064545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49" w:rsidRDefault="00C20149" w:rsidP="00F425A5">
      <w:pPr>
        <w:spacing w:after="0" w:line="240" w:lineRule="auto"/>
      </w:pPr>
      <w:r>
        <w:separator/>
      </w:r>
    </w:p>
  </w:endnote>
  <w:endnote w:type="continuationSeparator" w:id="0">
    <w:p w:rsidR="00C20149" w:rsidRDefault="00C2014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353D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353D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4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353D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353D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4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49" w:rsidRDefault="00C20149" w:rsidP="00F425A5">
      <w:pPr>
        <w:spacing w:after="0" w:line="240" w:lineRule="auto"/>
      </w:pPr>
      <w:r>
        <w:separator/>
      </w:r>
    </w:p>
  </w:footnote>
  <w:footnote w:type="continuationSeparator" w:id="0">
    <w:p w:rsidR="00C20149" w:rsidRDefault="00C2014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0A"/>
    <w:multiLevelType w:val="hybridMultilevel"/>
    <w:tmpl w:val="229035D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2D383BF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B7729"/>
    <w:multiLevelType w:val="hybridMultilevel"/>
    <w:tmpl w:val="7CD44A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7E3836"/>
    <w:multiLevelType w:val="hybridMultilevel"/>
    <w:tmpl w:val="83B8B1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44900"/>
    <w:multiLevelType w:val="hybridMultilevel"/>
    <w:tmpl w:val="6E44B2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6"/>
  </w:num>
  <w:num w:numId="5">
    <w:abstractNumId w:val="22"/>
  </w:num>
  <w:num w:numId="6">
    <w:abstractNumId w:val="12"/>
  </w:num>
  <w:num w:numId="7">
    <w:abstractNumId w:val="17"/>
  </w:num>
  <w:num w:numId="8">
    <w:abstractNumId w:val="2"/>
  </w:num>
  <w:num w:numId="9">
    <w:abstractNumId w:val="24"/>
  </w:num>
  <w:num w:numId="10">
    <w:abstractNumId w:val="21"/>
  </w:num>
  <w:num w:numId="11">
    <w:abstractNumId w:val="10"/>
  </w:num>
  <w:num w:numId="12">
    <w:abstractNumId w:val="14"/>
  </w:num>
  <w:num w:numId="13">
    <w:abstractNumId w:val="23"/>
  </w:num>
  <w:num w:numId="14">
    <w:abstractNumId w:val="3"/>
  </w:num>
  <w:num w:numId="15">
    <w:abstractNumId w:val="18"/>
  </w:num>
  <w:num w:numId="16">
    <w:abstractNumId w:val="19"/>
  </w:num>
  <w:num w:numId="17">
    <w:abstractNumId w:val="4"/>
  </w:num>
  <w:num w:numId="18">
    <w:abstractNumId w:val="8"/>
  </w:num>
  <w:num w:numId="19">
    <w:abstractNumId w:val="16"/>
  </w:num>
  <w:num w:numId="20">
    <w:abstractNumId w:val="7"/>
  </w:num>
  <w:num w:numId="21">
    <w:abstractNumId w:val="20"/>
  </w:num>
  <w:num w:numId="22">
    <w:abstractNumId w:val="0"/>
  </w:num>
  <w:num w:numId="23">
    <w:abstractNumId w:val="15"/>
  </w:num>
  <w:num w:numId="24">
    <w:abstractNumId w:val="5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4AF8"/>
    <w:rsid w:val="000132C1"/>
    <w:rsid w:val="000138B9"/>
    <w:rsid w:val="00021DEC"/>
    <w:rsid w:val="00022615"/>
    <w:rsid w:val="00023CF8"/>
    <w:rsid w:val="000250C5"/>
    <w:rsid w:val="00034D53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BB8"/>
    <w:rsid w:val="00157AFF"/>
    <w:rsid w:val="00157BE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18D3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3C3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04EF"/>
    <w:rsid w:val="0049126D"/>
    <w:rsid w:val="00492D49"/>
    <w:rsid w:val="00494B6F"/>
    <w:rsid w:val="004958DF"/>
    <w:rsid w:val="004A27E4"/>
    <w:rsid w:val="004A65D2"/>
    <w:rsid w:val="004B0660"/>
    <w:rsid w:val="004B3325"/>
    <w:rsid w:val="004B3E10"/>
    <w:rsid w:val="004B6715"/>
    <w:rsid w:val="004B7E19"/>
    <w:rsid w:val="004C495D"/>
    <w:rsid w:val="004D3278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3178"/>
    <w:rsid w:val="0052084E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463"/>
    <w:rsid w:val="005824AB"/>
    <w:rsid w:val="00586C5E"/>
    <w:rsid w:val="00587E7C"/>
    <w:rsid w:val="005902D9"/>
    <w:rsid w:val="00594B37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545A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35E8"/>
    <w:rsid w:val="006773A7"/>
    <w:rsid w:val="00683642"/>
    <w:rsid w:val="00685D0A"/>
    <w:rsid w:val="00687DE5"/>
    <w:rsid w:val="00693D89"/>
    <w:rsid w:val="00694271"/>
    <w:rsid w:val="006A3C17"/>
    <w:rsid w:val="006A4190"/>
    <w:rsid w:val="006A56D7"/>
    <w:rsid w:val="006A5B13"/>
    <w:rsid w:val="006A72A1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4295"/>
    <w:rsid w:val="00714302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87D58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E4E"/>
    <w:rsid w:val="007E2423"/>
    <w:rsid w:val="007E4665"/>
    <w:rsid w:val="007F0048"/>
    <w:rsid w:val="007F0F1A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6D7F"/>
    <w:rsid w:val="008D74EF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A3123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571FE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0EE4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521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353DD"/>
    <w:rsid w:val="00B40347"/>
    <w:rsid w:val="00B42113"/>
    <w:rsid w:val="00B433BF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0254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649"/>
    <w:rsid w:val="00BE0B9D"/>
    <w:rsid w:val="00BE4246"/>
    <w:rsid w:val="00BF233C"/>
    <w:rsid w:val="00BF5A29"/>
    <w:rsid w:val="00C05BE4"/>
    <w:rsid w:val="00C11D10"/>
    <w:rsid w:val="00C12112"/>
    <w:rsid w:val="00C1337B"/>
    <w:rsid w:val="00C13F49"/>
    <w:rsid w:val="00C1587F"/>
    <w:rsid w:val="00C20149"/>
    <w:rsid w:val="00C22C53"/>
    <w:rsid w:val="00C23D4D"/>
    <w:rsid w:val="00C244D4"/>
    <w:rsid w:val="00C31D2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659F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218D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6697"/>
    <w:rsid w:val="00DC784C"/>
    <w:rsid w:val="00DD1DB3"/>
    <w:rsid w:val="00DD51AE"/>
    <w:rsid w:val="00DD7313"/>
    <w:rsid w:val="00DD7EE6"/>
    <w:rsid w:val="00DE041F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70"/>
    <w:rsid w:val="00E143FE"/>
    <w:rsid w:val="00E144F6"/>
    <w:rsid w:val="00E25718"/>
    <w:rsid w:val="00E2659E"/>
    <w:rsid w:val="00E31B69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57B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2F02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297C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A7BA-6ED5-4191-9EE7-E04F06F4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2017-03-14T21:56:00Z</cp:lastPrinted>
  <dcterms:created xsi:type="dcterms:W3CDTF">2017-03-14T21:57:00Z</dcterms:created>
  <dcterms:modified xsi:type="dcterms:W3CDTF">2017-03-14T21:58:00Z</dcterms:modified>
</cp:coreProperties>
</file>