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3F0F83">
        <w:rPr>
          <w:rFonts w:cstheme="minorHAnsi"/>
          <w:b/>
          <w:bCs/>
          <w:color w:val="0000CC"/>
          <w:spacing w:val="-1"/>
          <w:sz w:val="28"/>
          <w:szCs w:val="28"/>
        </w:rPr>
        <w:t>75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3F0F83" w:rsidRPr="003F0F83" w:rsidRDefault="003F0F83" w:rsidP="003F0F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3F0F83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3F0F83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3F0F83">
        <w:rPr>
          <w:rFonts w:cs="Utsaah"/>
          <w:spacing w:val="1"/>
          <w:w w:val="102"/>
        </w:rPr>
        <w:t>l</w:t>
      </w:r>
      <w:r w:rsidRPr="003F0F83">
        <w:rPr>
          <w:rFonts w:cs="Utsaah"/>
          <w:w w:val="102"/>
        </w:rPr>
        <w:t xml:space="preserve">as </w:t>
      </w:r>
      <w:r w:rsidRPr="003F0F83">
        <w:rPr>
          <w:rFonts w:cs="Utsaah"/>
          <w:color w:val="C00000"/>
          <w:w w:val="102"/>
        </w:rPr>
        <w:t>catorce</w:t>
      </w:r>
      <w:r>
        <w:rPr>
          <w:rFonts w:cs="Utsaah"/>
          <w:color w:val="C00000"/>
          <w:w w:val="102"/>
        </w:rPr>
        <w:t xml:space="preserve"> </w:t>
      </w:r>
      <w:r w:rsidRPr="003F0F83">
        <w:rPr>
          <w:rFonts w:cs="Utsaah"/>
          <w:color w:val="C00000"/>
          <w:w w:val="102"/>
        </w:rPr>
        <w:t xml:space="preserve">horas con treinta minutos </w:t>
      </w:r>
      <w:r w:rsidRPr="003F0F83">
        <w:rPr>
          <w:rFonts w:cs="Utsaah"/>
          <w:w w:val="102"/>
        </w:rPr>
        <w:t>d</w:t>
      </w:r>
      <w:r w:rsidRPr="003F0F83">
        <w:rPr>
          <w:rFonts w:cs="Utsaah"/>
          <w:spacing w:val="-4"/>
          <w:w w:val="102"/>
        </w:rPr>
        <w:t>e</w:t>
      </w:r>
      <w:r w:rsidRPr="003F0F83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3F0F83">
        <w:rPr>
          <w:rFonts w:cs="Utsaah"/>
          <w:w w:val="102"/>
        </w:rPr>
        <w:t>d</w:t>
      </w:r>
      <w:r w:rsidRPr="003F0F83">
        <w:rPr>
          <w:rFonts w:cs="Utsaah"/>
          <w:spacing w:val="1"/>
          <w:w w:val="102"/>
        </w:rPr>
        <w:t>í</w:t>
      </w:r>
      <w:r w:rsidRPr="003F0F83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3F0F83">
        <w:rPr>
          <w:rFonts w:cs="Utsaah"/>
          <w:b/>
          <w:color w:val="0000CC"/>
          <w:w w:val="102"/>
        </w:rPr>
        <w:t>11de abril de 2014</w:t>
      </w:r>
      <w:r w:rsidRPr="003F0F83">
        <w:rPr>
          <w:rFonts w:cs="Utsaah"/>
          <w:w w:val="102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</w:rPr>
        <w:t>Nº</w:t>
      </w:r>
      <w:r w:rsidRPr="003F0F83">
        <w:rPr>
          <w:rFonts w:cs="Utsaah"/>
          <w:b/>
          <w:color w:val="0000CC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0</w:t>
      </w:r>
      <w:r w:rsidRPr="003F0F83">
        <w:rPr>
          <w:rFonts w:cs="Utsaah"/>
          <w:b/>
          <w:color w:val="0000CC"/>
          <w:w w:val="102"/>
        </w:rPr>
        <w:t>75</w:t>
      </w:r>
      <w:r>
        <w:rPr>
          <w:rFonts w:cs="Utsaah"/>
          <w:b/>
          <w:color w:val="0000CC"/>
          <w:w w:val="102"/>
        </w:rPr>
        <w:t xml:space="preserve">-2014 </w:t>
      </w:r>
      <w:r w:rsidRPr="003F0F83">
        <w:rPr>
          <w:rFonts w:cs="Utsaah"/>
          <w:w w:val="102"/>
        </w:rPr>
        <w:t>sobre:</w:t>
      </w:r>
    </w:p>
    <w:p w:rsidR="003F0F83" w:rsidRPr="003F0F83" w:rsidRDefault="003F0F83" w:rsidP="003F0F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3F0F83" w:rsidRPr="003F0F83" w:rsidRDefault="003F0F83" w:rsidP="003F0F83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color w:val="0000CC"/>
          <w:w w:val="102"/>
        </w:rPr>
      </w:pPr>
      <w:r w:rsidRPr="003F0F83">
        <w:rPr>
          <w:rFonts w:asciiTheme="minorHAnsi" w:hAnsiTheme="minorHAnsi" w:cs="Utsaah"/>
          <w:color w:val="0000CC"/>
          <w:w w:val="102"/>
        </w:rPr>
        <w:t>Procedimiento técnico sobre plantación de árbol de limón pérsico, cuál es el tipo de suelo adecuado, tipos de riego, forma de plantación, cuidados, etc.</w:t>
      </w:r>
    </w:p>
    <w:p w:rsidR="003F0F83" w:rsidRPr="003F0F83" w:rsidRDefault="003F0F83" w:rsidP="003F0F83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color w:val="0000CC"/>
          <w:w w:val="102"/>
        </w:rPr>
      </w:pPr>
      <w:r w:rsidRPr="003F0F83">
        <w:rPr>
          <w:rFonts w:asciiTheme="minorHAnsi" w:hAnsiTheme="minorHAnsi" w:cs="Utsaah"/>
          <w:color w:val="0000CC"/>
          <w:w w:val="102"/>
        </w:rPr>
        <w:t>La demanda en el mercado del limón pérsico</w:t>
      </w:r>
    </w:p>
    <w:p w:rsidR="003F0F83" w:rsidRPr="003F0F83" w:rsidRDefault="003F0F83" w:rsidP="003F0F83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Utsaah"/>
          <w:color w:val="0000CC"/>
          <w:w w:val="102"/>
        </w:rPr>
      </w:pPr>
      <w:r w:rsidRPr="003F0F83">
        <w:rPr>
          <w:rFonts w:asciiTheme="minorHAnsi" w:hAnsiTheme="minorHAnsi" w:cs="Utsaah"/>
          <w:color w:val="0000CC"/>
          <w:w w:val="102"/>
        </w:rPr>
        <w:t>Asesoría que se da a pequeños productores para la comercialización</w:t>
      </w:r>
    </w:p>
    <w:p w:rsidR="003F0F83" w:rsidRPr="003F0F83" w:rsidRDefault="003F0F83" w:rsidP="003F0F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color w:val="0000CC"/>
          <w:w w:val="102"/>
          <w:lang w:val="es-ES"/>
        </w:rPr>
      </w:pPr>
    </w:p>
    <w:p w:rsidR="003F0F83" w:rsidRPr="003F0F83" w:rsidRDefault="003F0F83" w:rsidP="003F0F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3F0F83">
        <w:rPr>
          <w:rFonts w:cs="Utsaah"/>
          <w:w w:val="102"/>
        </w:rPr>
        <w:t>Presentada ante la Oficina de Información y Respuesta de esta dependencia por parte de</w:t>
      </w:r>
      <w:r w:rsidRPr="003F0F83">
        <w:rPr>
          <w:rFonts w:cs="Utsaah"/>
        </w:rPr>
        <w:t>:</w:t>
      </w:r>
      <w:r>
        <w:rPr>
          <w:rFonts w:cs="Utsaah"/>
        </w:rPr>
        <w:t xml:space="preserve"> </w:t>
      </w:r>
      <w:r w:rsidRPr="003F0F83">
        <w:rPr>
          <w:rFonts w:cs="Utsaah"/>
          <w:b/>
          <w:highlight w:val="black"/>
        </w:rPr>
        <w:t>*********************</w:t>
      </w:r>
      <w:r w:rsidRPr="003F0F83">
        <w:rPr>
          <w:rFonts w:cs="Utsaah"/>
        </w:rPr>
        <w:t>,</w:t>
      </w:r>
      <w:r>
        <w:rPr>
          <w:rFonts w:cs="Utsaah"/>
        </w:rPr>
        <w:t xml:space="preserve"> </w:t>
      </w:r>
      <w:r w:rsidRPr="003F0F83">
        <w:rPr>
          <w:rFonts w:cs="Utsaah"/>
        </w:rPr>
        <w:t xml:space="preserve">y </w:t>
      </w:r>
      <w:r w:rsidRPr="003F0F83">
        <w:rPr>
          <w:rFonts w:cs="Utsaah"/>
          <w:color w:val="C00000"/>
        </w:rPr>
        <w:t>considerando que</w:t>
      </w:r>
      <w:r>
        <w:rPr>
          <w:rFonts w:cs="Utsaah"/>
          <w:color w:val="C00000"/>
        </w:rPr>
        <w:t xml:space="preserve"> </w:t>
      </w:r>
      <w:r w:rsidRPr="003F0F83">
        <w:rPr>
          <w:rFonts w:cs="Utsaah"/>
          <w:color w:val="C00000"/>
        </w:rPr>
        <w:t xml:space="preserve">parte de la solicitud </w:t>
      </w:r>
      <w:r w:rsidRPr="003F0F83">
        <w:rPr>
          <w:rFonts w:cs="Utsaah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F0F83">
        <w:rPr>
          <w:rFonts w:cs="Utsaah"/>
          <w:smallCaps/>
        </w:rPr>
        <w:t>L</w:t>
      </w:r>
      <w:r w:rsidRPr="003F0F83">
        <w:rPr>
          <w:rFonts w:cs="Utsaah"/>
        </w:rPr>
        <w:t xml:space="preserve">ey, y 19 del Reglamento, </w:t>
      </w:r>
      <w:r w:rsidRPr="003F0F83">
        <w:rPr>
          <w:rFonts w:cs="Utsaah"/>
          <w:w w:val="102"/>
        </w:rPr>
        <w:t>resuelve:</w:t>
      </w:r>
    </w:p>
    <w:p w:rsidR="003F0F83" w:rsidRPr="003F0F83" w:rsidRDefault="003F0F83" w:rsidP="003F0F83">
      <w:pPr>
        <w:spacing w:after="0" w:line="240" w:lineRule="auto"/>
        <w:jc w:val="center"/>
        <w:rPr>
          <w:rFonts w:cs="Utsaah"/>
          <w:b/>
          <w:color w:val="000099"/>
          <w:w w:val="102"/>
        </w:rPr>
      </w:pPr>
    </w:p>
    <w:p w:rsidR="003F0F83" w:rsidRPr="003F0F83" w:rsidRDefault="003F0F83" w:rsidP="003F0F83">
      <w:pPr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3F0F83">
        <w:rPr>
          <w:rFonts w:cs="Utsaah"/>
          <w:b/>
          <w:color w:val="0000CC"/>
          <w:w w:val="102"/>
        </w:rPr>
        <w:t>PROPORCIONAR LA INFORMACIÓN PÚBLICA SOLICITADA CORRESPONDIENTE A:</w:t>
      </w:r>
    </w:p>
    <w:p w:rsidR="003F0F83" w:rsidRPr="003F0F83" w:rsidRDefault="003F0F83" w:rsidP="003F0F83">
      <w:pPr>
        <w:spacing w:after="0" w:line="240" w:lineRule="auto"/>
        <w:jc w:val="center"/>
        <w:rPr>
          <w:rFonts w:cs="Utsaah"/>
          <w:b/>
          <w:color w:val="0000CC"/>
          <w:w w:val="102"/>
        </w:rPr>
      </w:pPr>
    </w:p>
    <w:p w:rsidR="003F0F83" w:rsidRPr="003F0F83" w:rsidRDefault="003F0F83" w:rsidP="003F0F83">
      <w:pPr>
        <w:spacing w:after="0" w:line="240" w:lineRule="auto"/>
        <w:jc w:val="both"/>
        <w:rPr>
          <w:rFonts w:cs="Utsaah"/>
          <w:w w:val="102"/>
        </w:rPr>
      </w:pPr>
      <w:r w:rsidRPr="003F0F83">
        <w:rPr>
          <w:rFonts w:cs="Utsaah"/>
          <w:w w:val="102"/>
        </w:rPr>
        <w:t xml:space="preserve">La comercialización: informando que como parte del desarrollo del Plan de Agricultura Familiar, específicamente en el </w:t>
      </w:r>
      <w:r w:rsidRPr="003F0F83">
        <w:rPr>
          <w:rFonts w:cs="Utsaah"/>
          <w:b/>
          <w:w w:val="102"/>
        </w:rPr>
        <w:t>Programa II: Encadenamientos Productivos</w:t>
      </w:r>
      <w:r w:rsidRPr="003F0F83">
        <w:rPr>
          <w:rFonts w:cs="Utsaah"/>
          <w:w w:val="102"/>
        </w:rPr>
        <w:t xml:space="preserve">, el apoyo a través de la asesoría en comercialización y gestión empresarial brindada a los productores de limón pérsico y frutales en general, es realizada en los </w:t>
      </w:r>
      <w:r w:rsidRPr="003F0F83">
        <w:rPr>
          <w:rFonts w:cs="Utsaah"/>
          <w:b/>
          <w:w w:val="102"/>
        </w:rPr>
        <w:t>6 Centros de Acopio y Servicios de Frutas</w:t>
      </w:r>
      <w:r w:rsidRPr="003F0F83">
        <w:rPr>
          <w:rFonts w:cs="Utsaah"/>
          <w:w w:val="102"/>
        </w:rPr>
        <w:t xml:space="preserve"> atendidos por el PAF. La División de Agronegocios también brinda apoyo a los productores comerciales, a través de su inserción en diversas plataformas para la vinculación y comercialización directa con el consumidor final.</w:t>
      </w:r>
    </w:p>
    <w:p w:rsidR="003F0F83" w:rsidRPr="003F0F83" w:rsidRDefault="003F0F83" w:rsidP="003F0F83">
      <w:pPr>
        <w:spacing w:after="0" w:line="240" w:lineRule="auto"/>
        <w:jc w:val="both"/>
        <w:rPr>
          <w:rFonts w:cs="Utsaah"/>
          <w:w w:val="102"/>
        </w:rPr>
      </w:pPr>
    </w:p>
    <w:p w:rsidR="003F0F83" w:rsidRPr="003F0F83" w:rsidRDefault="003F0F83" w:rsidP="003F0F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3F0F83">
        <w:rPr>
          <w:rFonts w:cs="Utsaah"/>
          <w:w w:val="102"/>
        </w:rPr>
        <w:t>Con relación a la información sobre:</w:t>
      </w:r>
      <w:r>
        <w:rPr>
          <w:rFonts w:cs="Utsaah"/>
          <w:w w:val="102"/>
        </w:rPr>
        <w:t xml:space="preserve"> </w:t>
      </w:r>
      <w:r w:rsidRPr="003F0F83">
        <w:rPr>
          <w:rFonts w:cs="Utsaah"/>
          <w:b/>
          <w:color w:val="0000CC"/>
          <w:w w:val="102"/>
        </w:rPr>
        <w:t>la demanda en el mercado del limón pérsico</w:t>
      </w:r>
      <w:r w:rsidRPr="003F0F83">
        <w:rPr>
          <w:rFonts w:cs="Utsaah"/>
          <w:w w:val="102"/>
        </w:rPr>
        <w:t>, analizado el fondo de lo solicitado determinando con base al art. 62 inciso 2º que la misma ya está disponible al público. Por lo tanto resuelve:</w:t>
      </w:r>
    </w:p>
    <w:p w:rsidR="003F0F83" w:rsidRPr="003F0F83" w:rsidRDefault="003F0F83" w:rsidP="003F0F83">
      <w:pPr>
        <w:spacing w:after="0" w:line="240" w:lineRule="auto"/>
        <w:jc w:val="center"/>
        <w:rPr>
          <w:rFonts w:cstheme="minorHAnsi"/>
          <w:b/>
        </w:rPr>
      </w:pPr>
    </w:p>
    <w:p w:rsidR="0081452C" w:rsidRPr="003F0F83" w:rsidRDefault="003F0F83" w:rsidP="003F0F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  <w:r w:rsidRPr="003F0F83">
        <w:rPr>
          <w:rFonts w:cs="Utsaah"/>
          <w:b/>
          <w:color w:val="0000CC"/>
        </w:rPr>
        <w:t>ORIENTAR LA UBICACIÓN DE LA INFORMACIÓN SOLICITADA</w:t>
      </w:r>
    </w:p>
    <w:p w:rsidR="0081452C" w:rsidRDefault="0081452C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81" w:rsidRDefault="004E3B81" w:rsidP="00823710">
      <w:pPr>
        <w:spacing w:after="0" w:line="240" w:lineRule="auto"/>
      </w:pPr>
      <w:r>
        <w:separator/>
      </w:r>
    </w:p>
  </w:endnote>
  <w:endnote w:type="continuationSeparator" w:id="1">
    <w:p w:rsidR="004E3B81" w:rsidRDefault="004E3B8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81" w:rsidRDefault="004E3B81" w:rsidP="00823710">
      <w:pPr>
        <w:spacing w:after="0" w:line="240" w:lineRule="auto"/>
      </w:pPr>
      <w:r>
        <w:separator/>
      </w:r>
    </w:p>
  </w:footnote>
  <w:footnote w:type="continuationSeparator" w:id="1">
    <w:p w:rsidR="004E3B81" w:rsidRDefault="004E3B8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8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4"/>
  </w:num>
  <w:num w:numId="4">
    <w:abstractNumId w:val="35"/>
  </w:num>
  <w:num w:numId="5">
    <w:abstractNumId w:val="32"/>
  </w:num>
  <w:num w:numId="6">
    <w:abstractNumId w:val="19"/>
  </w:num>
  <w:num w:numId="7">
    <w:abstractNumId w:val="38"/>
  </w:num>
  <w:num w:numId="8">
    <w:abstractNumId w:val="12"/>
  </w:num>
  <w:num w:numId="9">
    <w:abstractNumId w:val="26"/>
  </w:num>
  <w:num w:numId="10">
    <w:abstractNumId w:val="33"/>
  </w:num>
  <w:num w:numId="11">
    <w:abstractNumId w:val="42"/>
  </w:num>
  <w:num w:numId="12">
    <w:abstractNumId w:val="20"/>
  </w:num>
  <w:num w:numId="13">
    <w:abstractNumId w:val="31"/>
  </w:num>
  <w:num w:numId="14">
    <w:abstractNumId w:val="22"/>
  </w:num>
  <w:num w:numId="15">
    <w:abstractNumId w:val="43"/>
  </w:num>
  <w:num w:numId="16">
    <w:abstractNumId w:val="45"/>
  </w:num>
  <w:num w:numId="17">
    <w:abstractNumId w:val="6"/>
  </w:num>
  <w:num w:numId="18">
    <w:abstractNumId w:val="37"/>
  </w:num>
  <w:num w:numId="19">
    <w:abstractNumId w:val="5"/>
  </w:num>
  <w:num w:numId="20">
    <w:abstractNumId w:val="24"/>
  </w:num>
  <w:num w:numId="21">
    <w:abstractNumId w:val="21"/>
  </w:num>
  <w:num w:numId="22">
    <w:abstractNumId w:val="15"/>
  </w:num>
  <w:num w:numId="23">
    <w:abstractNumId w:val="27"/>
  </w:num>
  <w:num w:numId="24">
    <w:abstractNumId w:val="9"/>
  </w:num>
  <w:num w:numId="25">
    <w:abstractNumId w:val="29"/>
  </w:num>
  <w:num w:numId="26">
    <w:abstractNumId w:val="16"/>
  </w:num>
  <w:num w:numId="27">
    <w:abstractNumId w:val="25"/>
  </w:num>
  <w:num w:numId="28">
    <w:abstractNumId w:val="1"/>
  </w:num>
  <w:num w:numId="29">
    <w:abstractNumId w:val="13"/>
  </w:num>
  <w:num w:numId="30">
    <w:abstractNumId w:val="18"/>
  </w:num>
  <w:num w:numId="31">
    <w:abstractNumId w:val="41"/>
  </w:num>
  <w:num w:numId="32">
    <w:abstractNumId w:val="39"/>
  </w:num>
  <w:num w:numId="33">
    <w:abstractNumId w:val="30"/>
  </w:num>
  <w:num w:numId="34">
    <w:abstractNumId w:val="0"/>
  </w:num>
  <w:num w:numId="35">
    <w:abstractNumId w:val="40"/>
  </w:num>
  <w:num w:numId="36">
    <w:abstractNumId w:val="23"/>
  </w:num>
  <w:num w:numId="37">
    <w:abstractNumId w:val="7"/>
  </w:num>
  <w:num w:numId="38">
    <w:abstractNumId w:val="4"/>
  </w:num>
  <w:num w:numId="39">
    <w:abstractNumId w:val="28"/>
  </w:num>
  <w:num w:numId="40">
    <w:abstractNumId w:val="36"/>
  </w:num>
  <w:num w:numId="41">
    <w:abstractNumId w:val="3"/>
  </w:num>
  <w:num w:numId="42">
    <w:abstractNumId w:val="14"/>
  </w:num>
  <w:num w:numId="43">
    <w:abstractNumId w:val="34"/>
  </w:num>
  <w:num w:numId="44">
    <w:abstractNumId w:val="11"/>
  </w:num>
  <w:num w:numId="45">
    <w:abstractNumId w:val="8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E3B81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32061-BC4C-4D1B-A878-F112E7D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2017-02-24T19:40:00Z</dcterms:created>
  <dcterms:modified xsi:type="dcterms:W3CDTF">2017-02-24T19:40:00Z</dcterms:modified>
</cp:coreProperties>
</file>