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4A01EF">
        <w:rPr>
          <w:rFonts w:cstheme="minorHAnsi"/>
          <w:b/>
          <w:bCs/>
          <w:color w:val="0000CC"/>
          <w:spacing w:val="-1"/>
          <w:sz w:val="28"/>
          <w:szCs w:val="28"/>
        </w:rPr>
        <w:t>35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4A01EF" w:rsidRPr="004A01EF" w:rsidRDefault="004A01EF" w:rsidP="004A01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4A01EF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4A01EF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4A01EF">
        <w:rPr>
          <w:rFonts w:cs="Utsaah"/>
          <w:spacing w:val="1"/>
          <w:w w:val="102"/>
        </w:rPr>
        <w:t>l</w:t>
      </w:r>
      <w:r w:rsidRPr="004A01EF">
        <w:rPr>
          <w:rFonts w:cs="Utsaah"/>
          <w:w w:val="102"/>
        </w:rPr>
        <w:t xml:space="preserve">as </w:t>
      </w:r>
      <w:r w:rsidRPr="004A01EF">
        <w:rPr>
          <w:rFonts w:cs="Utsaah"/>
          <w:color w:val="C00000"/>
          <w:w w:val="102"/>
        </w:rPr>
        <w:t>quince</w:t>
      </w:r>
      <w:r>
        <w:rPr>
          <w:rFonts w:cs="Utsaah"/>
          <w:color w:val="C00000"/>
          <w:w w:val="102"/>
        </w:rPr>
        <w:t xml:space="preserve"> </w:t>
      </w:r>
      <w:r w:rsidRPr="004A01EF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4A01EF">
        <w:rPr>
          <w:rFonts w:cs="Utsaah"/>
          <w:w w:val="102"/>
        </w:rPr>
        <w:t>d</w:t>
      </w:r>
      <w:r w:rsidRPr="004A01EF">
        <w:rPr>
          <w:rFonts w:cs="Utsaah"/>
          <w:spacing w:val="-4"/>
          <w:w w:val="102"/>
        </w:rPr>
        <w:t>e</w:t>
      </w:r>
      <w:r w:rsidRPr="004A01EF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4A01EF">
        <w:rPr>
          <w:rFonts w:cs="Utsaah"/>
          <w:w w:val="102"/>
        </w:rPr>
        <w:t>d</w:t>
      </w:r>
      <w:r w:rsidRPr="004A01EF">
        <w:rPr>
          <w:rFonts w:cs="Utsaah"/>
          <w:spacing w:val="1"/>
          <w:w w:val="102"/>
        </w:rPr>
        <w:t>í</w:t>
      </w:r>
      <w:r w:rsidRPr="004A01EF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4A01EF">
        <w:rPr>
          <w:rFonts w:cs="Utsaah"/>
          <w:b/>
          <w:color w:val="0000CC"/>
          <w:w w:val="102"/>
        </w:rPr>
        <w:t>28 de febrero</w:t>
      </w:r>
      <w:r>
        <w:rPr>
          <w:rFonts w:cs="Utsaah"/>
          <w:b/>
          <w:color w:val="0000CC"/>
          <w:w w:val="102"/>
        </w:rPr>
        <w:t xml:space="preserve"> </w:t>
      </w:r>
      <w:r w:rsidRPr="004A01EF">
        <w:rPr>
          <w:rFonts w:cs="Utsaah"/>
          <w:b/>
          <w:color w:val="0000CC"/>
          <w:w w:val="102"/>
        </w:rPr>
        <w:t>de 2014</w:t>
      </w:r>
      <w:r w:rsidRPr="004A01EF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 0</w:t>
      </w:r>
      <w:r w:rsidRPr="004A01EF">
        <w:rPr>
          <w:rFonts w:cs="Utsaah"/>
          <w:b/>
          <w:color w:val="0000CC"/>
          <w:w w:val="102"/>
        </w:rPr>
        <w:t>35</w:t>
      </w:r>
      <w:r>
        <w:rPr>
          <w:rFonts w:cs="Utsaah"/>
          <w:b/>
          <w:color w:val="0000CC"/>
          <w:w w:val="102"/>
        </w:rPr>
        <w:t>-2014</w:t>
      </w:r>
      <w:r w:rsidRPr="004A01EF">
        <w:rPr>
          <w:rFonts w:cs="Utsaah"/>
          <w:w w:val="102"/>
        </w:rPr>
        <w:t xml:space="preserve"> sobre:</w:t>
      </w:r>
    </w:p>
    <w:p w:rsidR="004A01EF" w:rsidRPr="004A01EF" w:rsidRDefault="004A01EF" w:rsidP="004A01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4A01EF" w:rsidRPr="004A01EF" w:rsidRDefault="004A01EF" w:rsidP="004A01EF">
      <w:pPr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lang w:val="es-ES"/>
        </w:rPr>
      </w:pPr>
      <w:r w:rsidRPr="004A01EF">
        <w:rPr>
          <w:rFonts w:cs="Utsaah"/>
          <w:b/>
          <w:color w:val="0000CC"/>
          <w:lang w:val="es-ES"/>
        </w:rPr>
        <w:t xml:space="preserve">Esquema del procedimiento sancionatorio, iniciando tanto de oficio como mediante denuncia, a que se refiere el capítulo </w:t>
      </w:r>
      <w:r w:rsidRPr="004A01EF">
        <w:rPr>
          <w:rFonts w:cs="Utsaah"/>
          <w:b/>
          <w:color w:val="0000CC"/>
          <w:u w:val="single"/>
          <w:lang w:val="es-ES"/>
        </w:rPr>
        <w:t>VII de la Ley General de Ordenación y Promoción de Pesca y Acuicultura (Art.85 y sigs. de la citada Ley)</w:t>
      </w:r>
      <w:r w:rsidRPr="004A01EF">
        <w:rPr>
          <w:rFonts w:cs="Utsaah"/>
          <w:b/>
          <w:color w:val="0000CC"/>
          <w:lang w:val="es-ES"/>
        </w:rPr>
        <w:t>.</w:t>
      </w:r>
    </w:p>
    <w:p w:rsidR="004A01EF" w:rsidRPr="004A01EF" w:rsidRDefault="004A01EF" w:rsidP="004A01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lang w:val="es-ES"/>
        </w:rPr>
      </w:pPr>
    </w:p>
    <w:p w:rsidR="004A01EF" w:rsidRPr="004A01EF" w:rsidRDefault="004A01EF" w:rsidP="004A01EF">
      <w:pPr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lang w:val="es-ES"/>
        </w:rPr>
      </w:pPr>
      <w:r w:rsidRPr="004A01EF">
        <w:rPr>
          <w:rFonts w:cs="Utsaah"/>
          <w:b/>
          <w:color w:val="0000CC"/>
          <w:lang w:val="es-ES"/>
        </w:rPr>
        <w:t>Criterio jurisprudencial de CENDEPESCA respecto del requisito de remisión de la certificación del acta a que hacen referencia los Arts. 85 Inc.2 y 87 Inc. 1º de la Ley General de Ordenación y Promoción de Pesca y Acuicultura, en el sentido de: i) Qué requisitos debe contener esta acta, ii) Qué sucede o cuál es la consecuencia jurídica de que dicha acta adolezca de los requisitos establecidos, si es una causal de improcedencia del proceso o si se observa el acta, para que sea levantada de nuevo.</w:t>
      </w:r>
    </w:p>
    <w:p w:rsidR="004A01EF" w:rsidRPr="004A01EF" w:rsidRDefault="004A01EF" w:rsidP="004A01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lang w:val="es-ES"/>
        </w:rPr>
      </w:pPr>
    </w:p>
    <w:p w:rsidR="004A01EF" w:rsidRPr="004A01EF" w:rsidRDefault="004A01EF" w:rsidP="004A01EF">
      <w:pPr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lang w:val="es-ES"/>
        </w:rPr>
      </w:pPr>
      <w:r w:rsidRPr="004A01EF">
        <w:rPr>
          <w:rFonts w:cs="Utsaah"/>
          <w:b/>
          <w:color w:val="0000CC"/>
          <w:lang w:val="es-ES"/>
        </w:rPr>
        <w:t>El esquema del procedimiento de apelación de las resoluciones emitidas por CENDEPESCA, ante el Ministerio de Agricultura y Ganadería (Art.90 de la Ley General de Ordenación y Promoción de Pesca y Acuicultura).</w:t>
      </w:r>
    </w:p>
    <w:p w:rsidR="004A01EF" w:rsidRPr="004A01EF" w:rsidRDefault="004A01EF" w:rsidP="004A01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lang w:val="es-ES"/>
        </w:rPr>
      </w:pPr>
    </w:p>
    <w:p w:rsidR="004A01EF" w:rsidRPr="004A01EF" w:rsidRDefault="004A01EF" w:rsidP="004A01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4A01EF">
        <w:rPr>
          <w:rFonts w:cs="Utsaah"/>
          <w:w w:val="102"/>
        </w:rPr>
        <w:t>Presentada ante la Oficina de Información y Respuesta de esta dependencia por parte de</w:t>
      </w:r>
      <w:r w:rsidRPr="004A01EF">
        <w:rPr>
          <w:rFonts w:cs="Utsaah"/>
        </w:rPr>
        <w:t>:</w:t>
      </w:r>
      <w:r>
        <w:rPr>
          <w:rFonts w:cs="Utsaah"/>
        </w:rPr>
        <w:t xml:space="preserve"> </w:t>
      </w:r>
      <w:r w:rsidRPr="004A01EF">
        <w:rPr>
          <w:rFonts w:cs="Utsaah"/>
          <w:b/>
          <w:highlight w:val="black"/>
        </w:rPr>
        <w:t>*************************************</w:t>
      </w:r>
      <w:r w:rsidRPr="004A01EF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4A01EF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4A01EF">
        <w:rPr>
          <w:rFonts w:cs="Utsaah"/>
          <w:w w:val="102"/>
        </w:rPr>
        <w:t>que la información cumple con los requisitos establecidos en el</w:t>
      </w:r>
      <w:r w:rsidRPr="004A01EF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4A01EF">
        <w:rPr>
          <w:rFonts w:cs="Utsaah"/>
          <w:smallCaps/>
        </w:rPr>
        <w:t>L</w:t>
      </w:r>
      <w:r w:rsidRPr="004A01EF">
        <w:rPr>
          <w:rFonts w:cs="Utsaah"/>
        </w:rPr>
        <w:t xml:space="preserve">ey, y 19 del Reglamento, </w:t>
      </w:r>
      <w:r w:rsidRPr="004A01EF">
        <w:rPr>
          <w:rFonts w:cs="Utsaah"/>
          <w:b/>
          <w:color w:val="0000CC"/>
          <w:w w:val="102"/>
        </w:rPr>
        <w:t>resuelve:</w:t>
      </w:r>
    </w:p>
    <w:p w:rsidR="004A01EF" w:rsidRPr="004A01EF" w:rsidRDefault="004A01EF" w:rsidP="004A01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EE381E" w:rsidRPr="004A01EF" w:rsidRDefault="004A01EF" w:rsidP="004A01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</w:rPr>
      </w:pPr>
      <w:r w:rsidRPr="004A01EF">
        <w:rPr>
          <w:rFonts w:cs="Utsaah"/>
          <w:b/>
          <w:color w:val="0000CC"/>
          <w:w w:val="102"/>
        </w:rPr>
        <w:t>PROPORCIONAR LA INFORMACIÓN PÚBLICA SOLICITADA:</w:t>
      </w:r>
    </w:p>
    <w:p w:rsidR="00207949" w:rsidRPr="00F903C5" w:rsidRDefault="00207949" w:rsidP="00EE381E">
      <w:pPr>
        <w:pStyle w:val="NormalWeb"/>
        <w:spacing w:before="0" w:beforeAutospacing="0" w:after="0" w:afterAutospacing="0"/>
        <w:jc w:val="both"/>
        <w:rPr>
          <w:rFonts w:ascii="Utsaah" w:hAnsi="Utsaah" w:cs="Utsaah"/>
          <w:sz w:val="28"/>
          <w:szCs w:val="28"/>
        </w:rPr>
      </w:pPr>
    </w:p>
    <w:p w:rsidR="00207949" w:rsidRPr="00F903C5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24"/>
          <w:szCs w:val="24"/>
        </w:rPr>
      </w:pPr>
    </w:p>
    <w:p w:rsidR="00A93F52" w:rsidRPr="00B04871" w:rsidRDefault="00A93F52" w:rsidP="00A93F52">
      <w:pPr>
        <w:spacing w:after="0"/>
        <w:jc w:val="both"/>
        <w:rPr>
          <w:rFonts w:cstheme="minorHAnsi"/>
        </w:rPr>
      </w:pPr>
    </w:p>
    <w:p w:rsidR="00F77D86" w:rsidRDefault="00F77D86" w:rsidP="00A93F52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F77D86" w:rsidRDefault="00F77D86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E5C" w:rsidRDefault="00F71E5C" w:rsidP="00823710">
      <w:pPr>
        <w:spacing w:after="0" w:line="240" w:lineRule="auto"/>
      </w:pPr>
      <w:r>
        <w:separator/>
      </w:r>
    </w:p>
  </w:endnote>
  <w:endnote w:type="continuationSeparator" w:id="1">
    <w:p w:rsidR="00F71E5C" w:rsidRDefault="00F71E5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E5C" w:rsidRDefault="00F71E5C" w:rsidP="00823710">
      <w:pPr>
        <w:spacing w:after="0" w:line="240" w:lineRule="auto"/>
      </w:pPr>
      <w:r>
        <w:separator/>
      </w:r>
    </w:p>
  </w:footnote>
  <w:footnote w:type="continuationSeparator" w:id="1">
    <w:p w:rsidR="00F71E5C" w:rsidRDefault="00F71E5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19"/>
  </w:num>
  <w:num w:numId="5">
    <w:abstractNumId w:val="17"/>
  </w:num>
  <w:num w:numId="6">
    <w:abstractNumId w:val="8"/>
  </w:num>
  <w:num w:numId="7">
    <w:abstractNumId w:val="21"/>
  </w:num>
  <w:num w:numId="8">
    <w:abstractNumId w:val="5"/>
  </w:num>
  <w:num w:numId="9">
    <w:abstractNumId w:val="13"/>
  </w:num>
  <w:num w:numId="10">
    <w:abstractNumId w:val="18"/>
  </w:num>
  <w:num w:numId="11">
    <w:abstractNumId w:val="22"/>
  </w:num>
  <w:num w:numId="12">
    <w:abstractNumId w:val="9"/>
  </w:num>
  <w:num w:numId="13">
    <w:abstractNumId w:val="16"/>
  </w:num>
  <w:num w:numId="14">
    <w:abstractNumId w:val="11"/>
  </w:num>
  <w:num w:numId="15">
    <w:abstractNumId w:val="23"/>
  </w:num>
  <w:num w:numId="16">
    <w:abstractNumId w:val="25"/>
  </w:num>
  <w:num w:numId="17">
    <w:abstractNumId w:val="2"/>
  </w:num>
  <w:num w:numId="18">
    <w:abstractNumId w:val="20"/>
  </w:num>
  <w:num w:numId="19">
    <w:abstractNumId w:val="1"/>
  </w:num>
  <w:num w:numId="20">
    <w:abstractNumId w:val="12"/>
  </w:num>
  <w:num w:numId="21">
    <w:abstractNumId w:val="10"/>
  </w:num>
  <w:num w:numId="22">
    <w:abstractNumId w:val="6"/>
  </w:num>
  <w:num w:numId="23">
    <w:abstractNumId w:val="14"/>
  </w:num>
  <w:num w:numId="24">
    <w:abstractNumId w:val="3"/>
  </w:num>
  <w:num w:numId="25">
    <w:abstractNumId w:val="1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26ED1"/>
    <w:rsid w:val="00633558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3F52"/>
    <w:rsid w:val="00A95A1D"/>
    <w:rsid w:val="00AA1862"/>
    <w:rsid w:val="00B04871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2017-02-22T21:26:00Z</dcterms:created>
  <dcterms:modified xsi:type="dcterms:W3CDTF">2017-02-22T21:26:00Z</dcterms:modified>
</cp:coreProperties>
</file>