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C95C75">
        <w:rPr>
          <w:rFonts w:cstheme="minorHAnsi"/>
          <w:b/>
          <w:bCs/>
          <w:color w:val="0000CC"/>
          <w:spacing w:val="-1"/>
          <w:sz w:val="28"/>
          <w:szCs w:val="28"/>
        </w:rPr>
        <w:t>20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1"/>
          <w:szCs w:val="21"/>
        </w:rPr>
      </w:pPr>
      <w:r w:rsidRPr="00C95C75">
        <w:rPr>
          <w:rFonts w:cs="Utsaah"/>
          <w:w w:val="102"/>
          <w:sz w:val="21"/>
          <w:szCs w:val="21"/>
        </w:rPr>
        <w:t xml:space="preserve">Santa Tecla, a </w:t>
      </w:r>
      <w:r w:rsidRPr="00C95C75">
        <w:rPr>
          <w:rFonts w:cs="Utsaah"/>
          <w:spacing w:val="1"/>
          <w:w w:val="102"/>
          <w:sz w:val="21"/>
          <w:szCs w:val="21"/>
        </w:rPr>
        <w:t>l</w:t>
      </w:r>
      <w:r w:rsidRPr="00C95C75">
        <w:rPr>
          <w:rFonts w:cs="Utsaah"/>
          <w:w w:val="102"/>
          <w:sz w:val="21"/>
          <w:szCs w:val="21"/>
        </w:rPr>
        <w:t>as trece horas con treinta minutos</w:t>
      </w:r>
      <w:r w:rsidRPr="00C95C75">
        <w:rPr>
          <w:rFonts w:cs="Utsaah"/>
          <w:color w:val="C00000"/>
          <w:w w:val="102"/>
          <w:sz w:val="21"/>
          <w:szCs w:val="21"/>
        </w:rPr>
        <w:t xml:space="preserve"> </w:t>
      </w:r>
      <w:r w:rsidRPr="00C95C75">
        <w:rPr>
          <w:rFonts w:cs="Utsaah"/>
          <w:w w:val="102"/>
          <w:sz w:val="21"/>
          <w:szCs w:val="21"/>
        </w:rPr>
        <w:t>d</w:t>
      </w:r>
      <w:r w:rsidRPr="00C95C75">
        <w:rPr>
          <w:rFonts w:cs="Utsaah"/>
          <w:spacing w:val="-4"/>
          <w:w w:val="102"/>
          <w:sz w:val="21"/>
          <w:szCs w:val="21"/>
        </w:rPr>
        <w:t>e</w:t>
      </w:r>
      <w:r w:rsidRPr="00C95C75">
        <w:rPr>
          <w:rFonts w:cs="Utsaah"/>
          <w:w w:val="102"/>
          <w:sz w:val="21"/>
          <w:szCs w:val="21"/>
        </w:rPr>
        <w:t>l d</w:t>
      </w:r>
      <w:r w:rsidRPr="00C95C75">
        <w:rPr>
          <w:rFonts w:cs="Utsaah"/>
          <w:spacing w:val="1"/>
          <w:w w:val="102"/>
          <w:sz w:val="21"/>
          <w:szCs w:val="21"/>
        </w:rPr>
        <w:t>í</w:t>
      </w:r>
      <w:r w:rsidRPr="00C95C75">
        <w:rPr>
          <w:rFonts w:cs="Utsaah"/>
          <w:w w:val="102"/>
          <w:sz w:val="21"/>
          <w:szCs w:val="21"/>
        </w:rPr>
        <w:t xml:space="preserve">a </w:t>
      </w:r>
      <w:r w:rsidRPr="00C95C75">
        <w:rPr>
          <w:rFonts w:cs="Utsaah"/>
          <w:b/>
          <w:color w:val="0000CC"/>
          <w:w w:val="102"/>
          <w:sz w:val="21"/>
          <w:szCs w:val="21"/>
        </w:rPr>
        <w:t>5 de febrero de 2014</w:t>
      </w:r>
      <w:r w:rsidRPr="00C95C75">
        <w:rPr>
          <w:rFonts w:cs="Utsaah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C95C75">
        <w:rPr>
          <w:rFonts w:cs="Utsaah"/>
          <w:b/>
          <w:color w:val="0000CC"/>
          <w:w w:val="102"/>
          <w:sz w:val="21"/>
          <w:szCs w:val="21"/>
        </w:rPr>
        <w:t xml:space="preserve">Nº 020-2014 </w:t>
      </w:r>
      <w:r w:rsidRPr="00C95C75">
        <w:rPr>
          <w:rFonts w:cs="Utsaah"/>
          <w:w w:val="102"/>
          <w:sz w:val="21"/>
          <w:szCs w:val="21"/>
        </w:rPr>
        <w:t>sobre:</w:t>
      </w: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1"/>
          <w:szCs w:val="21"/>
        </w:rPr>
      </w:pPr>
    </w:p>
    <w:p w:rsidR="00C95C75" w:rsidRPr="00C95C75" w:rsidRDefault="00C95C75" w:rsidP="00C95C75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color w:val="0000CC"/>
          <w:w w:val="102"/>
          <w:sz w:val="21"/>
          <w:szCs w:val="21"/>
        </w:rPr>
      </w:pPr>
      <w:r w:rsidRPr="00C95C75">
        <w:rPr>
          <w:rFonts w:asciiTheme="minorHAnsi" w:hAnsiTheme="minorHAnsi" w:cs="Utsaah"/>
          <w:color w:val="0000CC"/>
          <w:w w:val="102"/>
          <w:sz w:val="21"/>
          <w:szCs w:val="21"/>
        </w:rPr>
        <w:t>ESTIMACIONES DE PRODUCCIÓN DE GRANOS (MAÍZ, FRIJOL, ARROZ Y SORGO) EN LA TEMPORADA 2013/2014, DETALLANDO INFORMACIÓN EN KILOGRAMOS O QUINTALES, MANZANAS O HECTÁREAS, DEPARTAMENTO O MUNICIPIO.</w:t>
      </w: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CC"/>
          <w:w w:val="102"/>
          <w:sz w:val="21"/>
          <w:szCs w:val="21"/>
        </w:rPr>
      </w:pPr>
    </w:p>
    <w:p w:rsidR="00C95C75" w:rsidRPr="00C95C75" w:rsidRDefault="00C95C75" w:rsidP="00C95C75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color w:val="0000CC"/>
          <w:w w:val="102"/>
          <w:sz w:val="21"/>
          <w:szCs w:val="21"/>
        </w:rPr>
      </w:pPr>
      <w:r w:rsidRPr="00C95C75">
        <w:rPr>
          <w:rFonts w:asciiTheme="minorHAnsi" w:hAnsiTheme="minorHAnsi" w:cs="Utsaah"/>
          <w:color w:val="0000CC"/>
          <w:w w:val="102"/>
          <w:sz w:val="21"/>
          <w:szCs w:val="21"/>
        </w:rPr>
        <w:t>DIAGNÓSTICO SOBRE EL IMPACTO DE LA ROYA DEL CAFÉ EN LO AGRONÓMICO  Y SOCIO ECONÓMICO.</w:t>
      </w: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1"/>
          <w:szCs w:val="21"/>
          <w:lang w:val="es-ES"/>
        </w:rPr>
      </w:pP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1"/>
          <w:szCs w:val="21"/>
        </w:rPr>
      </w:pPr>
      <w:r w:rsidRPr="00C95C75">
        <w:rPr>
          <w:rFonts w:cs="Utsaah"/>
          <w:w w:val="102"/>
          <w:sz w:val="21"/>
          <w:szCs w:val="21"/>
        </w:rPr>
        <w:t>Presentada ante la Oficina de Información y Respuesta de esta dependencia por parte de</w:t>
      </w:r>
      <w:r w:rsidRPr="00C95C75">
        <w:rPr>
          <w:rFonts w:cs="Utsaah"/>
          <w:sz w:val="21"/>
          <w:szCs w:val="21"/>
        </w:rPr>
        <w:t xml:space="preserve">: </w:t>
      </w:r>
      <w:r w:rsidRPr="00C95C75">
        <w:rPr>
          <w:rFonts w:cs="Utsaah"/>
          <w:b/>
          <w:sz w:val="21"/>
          <w:szCs w:val="21"/>
          <w:highlight w:val="black"/>
        </w:rPr>
        <w:t>******************************</w:t>
      </w:r>
      <w:r>
        <w:rPr>
          <w:rFonts w:cs="Utsaah"/>
          <w:b/>
          <w:color w:val="0000CC"/>
          <w:sz w:val="21"/>
          <w:szCs w:val="21"/>
        </w:rPr>
        <w:t xml:space="preserve"> </w:t>
      </w:r>
      <w:r w:rsidRPr="00C95C75">
        <w:rPr>
          <w:rFonts w:cs="Utsaah"/>
          <w:sz w:val="21"/>
          <w:szCs w:val="21"/>
        </w:rPr>
        <w:t xml:space="preserve">y de Acceso a la Información Pública y los arts. 50, 54 del Reglamento de la Ley de Acceso a la Información Pública, y que la información solicitada no se encuentra entre las excepciones  enumeradas en los arts. 19 y 24 de la </w:t>
      </w:r>
      <w:r w:rsidRPr="00C95C75">
        <w:rPr>
          <w:rFonts w:cs="Utsaah"/>
          <w:smallCaps/>
          <w:sz w:val="21"/>
          <w:szCs w:val="21"/>
        </w:rPr>
        <w:t>L</w:t>
      </w:r>
      <w:r w:rsidRPr="00C95C75">
        <w:rPr>
          <w:rFonts w:cs="Utsaah"/>
          <w:sz w:val="21"/>
          <w:szCs w:val="21"/>
        </w:rPr>
        <w:t xml:space="preserve">ey, y 19 del Reglamento, </w:t>
      </w:r>
      <w:r w:rsidRPr="00C95C75">
        <w:rPr>
          <w:rFonts w:cs="Utsaah"/>
          <w:w w:val="102"/>
          <w:sz w:val="21"/>
          <w:szCs w:val="21"/>
        </w:rPr>
        <w:t>resuelve:</w:t>
      </w:r>
    </w:p>
    <w:p w:rsidR="00C95C75" w:rsidRPr="00C95C75" w:rsidRDefault="00C95C75" w:rsidP="00C95C75">
      <w:pPr>
        <w:spacing w:after="0" w:line="240" w:lineRule="auto"/>
        <w:jc w:val="center"/>
        <w:rPr>
          <w:rFonts w:cs="Utsaah"/>
          <w:b/>
          <w:color w:val="000099"/>
          <w:w w:val="102"/>
          <w:sz w:val="21"/>
          <w:szCs w:val="21"/>
        </w:rPr>
      </w:pPr>
    </w:p>
    <w:p w:rsidR="00C95C75" w:rsidRPr="00C95C75" w:rsidRDefault="00C95C75" w:rsidP="00C95C75">
      <w:pPr>
        <w:spacing w:after="0" w:line="24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C95C75">
        <w:rPr>
          <w:rFonts w:cs="Utsaah"/>
          <w:b/>
          <w:color w:val="0000CC"/>
          <w:w w:val="102"/>
          <w:sz w:val="24"/>
          <w:szCs w:val="24"/>
        </w:rPr>
        <w:t>PROPORCIONAR LA INFORMACIÓN PÚBLICA SOLICITADA CORRESPONDIENTE A:</w:t>
      </w: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CC"/>
          <w:w w:val="102"/>
          <w:sz w:val="21"/>
          <w:szCs w:val="21"/>
        </w:rPr>
      </w:pPr>
    </w:p>
    <w:p w:rsid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CC"/>
          <w:w w:val="102"/>
          <w:sz w:val="21"/>
          <w:szCs w:val="21"/>
        </w:rPr>
      </w:pPr>
      <w:r w:rsidRPr="00C95C75">
        <w:rPr>
          <w:rFonts w:cs="Utsaah"/>
          <w:color w:val="0000CC"/>
          <w:w w:val="102"/>
          <w:sz w:val="21"/>
          <w:szCs w:val="21"/>
        </w:rPr>
        <w:t>ESTIMACIONES DE PRODUCCIÓN DE GRANOS (MAÍZ, FRIJOL, ARROZ Y SORGO) EN LA TEMPORADA 2013/2014, DETALLANDO INFORMACIÓN EN KILOGRAMOS O QUINTALES, MANZANAS O HECTÁREAS A NIVEL NACIONAL.</w:t>
      </w:r>
      <w:r w:rsidRPr="00C95C75">
        <w:rPr>
          <w:rStyle w:val="Refdenotaalpie"/>
          <w:rFonts w:cs="Utsaah"/>
          <w:color w:val="0000CC"/>
          <w:w w:val="102"/>
          <w:sz w:val="21"/>
          <w:szCs w:val="21"/>
        </w:rPr>
        <w:footnoteReference w:id="2"/>
      </w:r>
    </w:p>
    <w:p w:rsidR="00783939" w:rsidRDefault="00783939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4F6228" w:themeColor="accent3" w:themeShade="80"/>
          <w:sz w:val="21"/>
          <w:szCs w:val="21"/>
        </w:rPr>
      </w:pP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CC"/>
          <w:w w:val="102"/>
          <w:sz w:val="21"/>
          <w:szCs w:val="21"/>
        </w:rPr>
      </w:pPr>
      <w:r w:rsidRPr="00C95C75">
        <w:rPr>
          <w:rFonts w:cs="Utsaah"/>
          <w:w w:val="102"/>
          <w:sz w:val="21"/>
          <w:szCs w:val="21"/>
        </w:rPr>
        <w:t>Con relación a la información sobre:</w:t>
      </w:r>
      <w:r>
        <w:rPr>
          <w:rFonts w:cs="Utsaah"/>
          <w:w w:val="102"/>
          <w:sz w:val="21"/>
          <w:szCs w:val="21"/>
        </w:rPr>
        <w:t xml:space="preserve"> </w:t>
      </w:r>
      <w:r w:rsidRPr="00C95C75">
        <w:rPr>
          <w:rFonts w:cs="Utsaah"/>
          <w:color w:val="0000CC"/>
          <w:w w:val="102"/>
          <w:sz w:val="21"/>
          <w:szCs w:val="21"/>
        </w:rPr>
        <w:t>DIAGNÓSTICO SOBRE EL IMPACTO DE LA ROYA DEL CAFÉ EN LO AGRONÓMICO  Y SOCIO ECONÓMICO</w:t>
      </w:r>
      <w:r w:rsidRPr="00C95C75">
        <w:rPr>
          <w:rFonts w:cs="Utsaah"/>
          <w:w w:val="102"/>
          <w:sz w:val="21"/>
          <w:szCs w:val="21"/>
        </w:rPr>
        <w:t>, se 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C95C75" w:rsidRPr="00C95C75" w:rsidRDefault="00C95C75" w:rsidP="00C95C75">
      <w:pPr>
        <w:spacing w:after="0" w:line="240" w:lineRule="auto"/>
        <w:jc w:val="center"/>
        <w:rPr>
          <w:rFonts w:cs="Utsaah"/>
          <w:b/>
          <w:color w:val="000099"/>
          <w:w w:val="102"/>
          <w:sz w:val="21"/>
          <w:szCs w:val="21"/>
        </w:rPr>
      </w:pPr>
    </w:p>
    <w:p w:rsidR="00C95C75" w:rsidRPr="00C95C75" w:rsidRDefault="00C95C75" w:rsidP="00C95C75">
      <w:pPr>
        <w:spacing w:after="0" w:line="240" w:lineRule="auto"/>
        <w:jc w:val="center"/>
        <w:rPr>
          <w:rFonts w:cs="Utsaah"/>
          <w:b/>
          <w:color w:val="000099"/>
          <w:w w:val="102"/>
        </w:rPr>
      </w:pPr>
      <w:r w:rsidRPr="00C95C75">
        <w:rPr>
          <w:rFonts w:cs="Utsaah"/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C95C75" w:rsidRPr="00C95C75" w:rsidRDefault="00C95C75" w:rsidP="00C95C75">
      <w:pPr>
        <w:spacing w:after="0" w:line="240" w:lineRule="auto"/>
        <w:jc w:val="right"/>
        <w:rPr>
          <w:rFonts w:cs="Utsaah"/>
          <w:b/>
          <w:color w:val="000099"/>
          <w:w w:val="102"/>
          <w:sz w:val="21"/>
          <w:szCs w:val="21"/>
        </w:rPr>
      </w:pP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1"/>
          <w:szCs w:val="21"/>
        </w:rPr>
      </w:pPr>
      <w:r w:rsidRPr="00C95C75">
        <w:rPr>
          <w:rFonts w:cs="Utsaah"/>
          <w:w w:val="102"/>
          <w:sz w:val="21"/>
          <w:szCs w:val="21"/>
        </w:rPr>
        <w:t>Y con base al Art. 66 inciso 6 este Ministerio le orienta a que su solicitud sea dirigida a la siguiente</w:t>
      </w:r>
      <w:r>
        <w:rPr>
          <w:rFonts w:cs="Utsaah"/>
          <w:w w:val="102"/>
          <w:sz w:val="21"/>
          <w:szCs w:val="21"/>
        </w:rPr>
        <w:t xml:space="preserve"> </w:t>
      </w:r>
      <w:r w:rsidRPr="00C95C75">
        <w:rPr>
          <w:rFonts w:cs="Utsaah"/>
          <w:w w:val="102"/>
          <w:sz w:val="21"/>
          <w:szCs w:val="21"/>
        </w:rPr>
        <w:t>institución</w:t>
      </w:r>
      <w:r>
        <w:rPr>
          <w:rFonts w:cs="Utsaah"/>
          <w:w w:val="102"/>
          <w:sz w:val="21"/>
          <w:szCs w:val="21"/>
        </w:rPr>
        <w:t xml:space="preserve"> </w:t>
      </w:r>
      <w:r w:rsidRPr="00C95C75">
        <w:rPr>
          <w:rFonts w:cs="Utsaah"/>
          <w:w w:val="102"/>
          <w:sz w:val="21"/>
          <w:szCs w:val="21"/>
        </w:rPr>
        <w:t>por ser las facultadas para conocer solicitudes de dicha índole:</w:t>
      </w:r>
    </w:p>
    <w:p w:rsidR="00C95C75" w:rsidRPr="00C95C75" w:rsidRDefault="00C95C75" w:rsidP="00C95C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1"/>
          <w:szCs w:val="21"/>
        </w:rPr>
      </w:pPr>
    </w:p>
    <w:p w:rsidR="00BC37BC" w:rsidRPr="00C95C75" w:rsidRDefault="00C95C75" w:rsidP="00783939">
      <w:pPr>
        <w:spacing w:line="360" w:lineRule="auto"/>
        <w:jc w:val="both"/>
        <w:rPr>
          <w:rFonts w:cs="Calibri"/>
          <w:w w:val="102"/>
          <w:sz w:val="21"/>
          <w:szCs w:val="21"/>
        </w:rPr>
      </w:pPr>
      <w:r w:rsidRPr="00C95C75">
        <w:rPr>
          <w:rFonts w:cs="Utsaah"/>
          <w:w w:val="102"/>
          <w:sz w:val="21"/>
          <w:szCs w:val="21"/>
        </w:rPr>
        <w:lastRenderedPageBreak/>
        <w:t xml:space="preserve">Su petición deberá dirigirse al </w:t>
      </w:r>
      <w:r w:rsidRPr="00C95C75">
        <w:rPr>
          <w:rFonts w:cs="Utsaah"/>
          <w:b/>
          <w:color w:val="000099"/>
          <w:w w:val="102"/>
          <w:sz w:val="21"/>
          <w:szCs w:val="21"/>
        </w:rPr>
        <w:t>Centro Nacional de Tecnología Agropecuaria y Forestal “Enrique Álvarez Córdova”- CENTA,</w:t>
      </w:r>
      <w:r w:rsidRPr="00C95C75">
        <w:rPr>
          <w:rFonts w:cs="Utsaah"/>
          <w:w w:val="102"/>
          <w:sz w:val="21"/>
          <w:szCs w:val="21"/>
        </w:rPr>
        <w:t xml:space="preserve"> por ser la institución facultada para conocer solicitudes de dicha índole, la dirección de la </w:t>
      </w:r>
      <w:r w:rsidRPr="00C95C75">
        <w:rPr>
          <w:rFonts w:cs="Utsaah"/>
          <w:b/>
          <w:color w:val="000099"/>
          <w:w w:val="102"/>
          <w:sz w:val="21"/>
          <w:szCs w:val="21"/>
        </w:rPr>
        <w:t>Oficina de Información y Respuesta</w:t>
      </w:r>
      <w:r w:rsidRPr="00C95C75">
        <w:rPr>
          <w:rFonts w:cs="Utsaah"/>
          <w:w w:val="102"/>
          <w:sz w:val="21"/>
          <w:szCs w:val="21"/>
        </w:rPr>
        <w:t xml:space="preserve"> a la que debe dirigirse es </w:t>
      </w:r>
      <w:r w:rsidRPr="00C95C75">
        <w:rPr>
          <w:rFonts w:eastAsia="Calibri" w:cs="Utsaah"/>
          <w:i/>
          <w:color w:val="000000"/>
          <w:sz w:val="21"/>
          <w:szCs w:val="21"/>
          <w:lang w:eastAsia="en-US"/>
        </w:rPr>
        <w:t>Km 33 y medio carretera a Santa Ana, Ciudad Arce, La Libertad</w:t>
      </w:r>
      <w:r w:rsidRPr="00C95C75">
        <w:rPr>
          <w:rFonts w:cs="Utsaah"/>
          <w:w w:val="102"/>
          <w:sz w:val="21"/>
          <w:szCs w:val="21"/>
        </w:rPr>
        <w:t xml:space="preserve">. Puede contactar a la Oficial de Información </w:t>
      </w:r>
      <w:r w:rsidRPr="00C95C75">
        <w:rPr>
          <w:rFonts w:cs="Utsaah"/>
          <w:b/>
          <w:color w:val="000099"/>
          <w:w w:val="102"/>
          <w:sz w:val="21"/>
          <w:szCs w:val="21"/>
        </w:rPr>
        <w:t>Ing. Silvia Margoth Mejía</w:t>
      </w:r>
      <w:r w:rsidRPr="00C95C75">
        <w:rPr>
          <w:rFonts w:cs="Utsaah"/>
          <w:w w:val="102"/>
          <w:sz w:val="21"/>
          <w:szCs w:val="21"/>
        </w:rPr>
        <w:t xml:space="preserve"> al teléfono </w:t>
      </w:r>
      <w:r w:rsidRPr="00C95C75">
        <w:rPr>
          <w:rFonts w:cs="Utsaah"/>
          <w:b/>
          <w:color w:val="000099"/>
          <w:w w:val="102"/>
          <w:sz w:val="21"/>
          <w:szCs w:val="21"/>
        </w:rPr>
        <w:t xml:space="preserve">2316-4603 y 2302-0291 </w:t>
      </w:r>
      <w:r w:rsidRPr="00C95C75">
        <w:rPr>
          <w:rFonts w:cs="Utsaah"/>
          <w:w w:val="102"/>
          <w:sz w:val="21"/>
          <w:szCs w:val="21"/>
        </w:rPr>
        <w:t>o al correo electrónico</w:t>
      </w:r>
      <w:r w:rsidRPr="00C95C75">
        <w:rPr>
          <w:rFonts w:cs="Utsaah"/>
          <w:b/>
          <w:color w:val="000099"/>
          <w:w w:val="102"/>
          <w:sz w:val="21"/>
          <w:szCs w:val="21"/>
        </w:rPr>
        <w:t>oir@centa.gob.sv</w:t>
      </w:r>
      <w:r w:rsidRPr="00C95C75">
        <w:rPr>
          <w:rFonts w:eastAsia="Calibri" w:cs="Utsaah"/>
          <w:color w:val="000000"/>
          <w:sz w:val="21"/>
          <w:szCs w:val="21"/>
          <w:lang w:eastAsia="en-US"/>
        </w:rPr>
        <w:t>.</w:t>
      </w: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ADC" w:rsidRDefault="009A5ADC" w:rsidP="00823710">
      <w:pPr>
        <w:spacing w:after="0" w:line="240" w:lineRule="auto"/>
      </w:pPr>
      <w:r>
        <w:separator/>
      </w:r>
    </w:p>
  </w:endnote>
  <w:endnote w:type="continuationSeparator" w:id="1">
    <w:p w:rsidR="009A5ADC" w:rsidRDefault="009A5AD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ADC" w:rsidRDefault="009A5ADC" w:rsidP="00823710">
      <w:pPr>
        <w:spacing w:after="0" w:line="240" w:lineRule="auto"/>
      </w:pPr>
      <w:r>
        <w:separator/>
      </w:r>
    </w:p>
  </w:footnote>
  <w:footnote w:type="continuationSeparator" w:id="1">
    <w:p w:rsidR="009A5ADC" w:rsidRDefault="009A5ADC" w:rsidP="00823710">
      <w:pPr>
        <w:spacing w:after="0" w:line="240" w:lineRule="auto"/>
      </w:pPr>
      <w:r>
        <w:continuationSeparator/>
      </w:r>
    </w:p>
  </w:footnote>
  <w:footnote w:id="2">
    <w:p w:rsidR="00C95C75" w:rsidRDefault="00C95C75" w:rsidP="00C95C75">
      <w:pPr>
        <w:pStyle w:val="Textonotapie"/>
      </w:pPr>
      <w:r>
        <w:rPr>
          <w:rStyle w:val="Refdenotaalpie"/>
        </w:rPr>
        <w:footnoteRef/>
      </w:r>
      <w:r>
        <w:t xml:space="preserve"> El Ministerio no dispone de información por municipio.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1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7"/>
  </w:num>
  <w:num w:numId="10">
    <w:abstractNumId w:val="10"/>
  </w:num>
  <w:num w:numId="11">
    <w:abstractNumId w:val="14"/>
  </w:num>
  <w:num w:numId="12">
    <w:abstractNumId w:val="5"/>
  </w:num>
  <w:num w:numId="13">
    <w:abstractNumId w:val="8"/>
  </w:num>
  <w:num w:numId="14">
    <w:abstractNumId w:val="6"/>
  </w:num>
  <w:num w:numId="15">
    <w:abstractNumId w:val="15"/>
  </w:num>
  <w:num w:numId="16">
    <w:abstractNumId w:val="17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A5ADC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2017-02-22T19:51:00Z</dcterms:created>
  <dcterms:modified xsi:type="dcterms:W3CDTF">2017-02-22T19:59:00Z</dcterms:modified>
</cp:coreProperties>
</file>