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4C0872" w:rsidRPr="007B7173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7B7173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7B7173">
        <w:rPr>
          <w:rFonts w:cstheme="minorHAnsi"/>
          <w:w w:val="102"/>
        </w:rPr>
        <w:t>a</w:t>
      </w:r>
      <w:r w:rsidRPr="007B7173">
        <w:rPr>
          <w:rFonts w:cstheme="minorHAnsi"/>
          <w:spacing w:val="1"/>
          <w:w w:val="102"/>
        </w:rPr>
        <w:t>l</w:t>
      </w:r>
      <w:r w:rsidRPr="007B7173">
        <w:rPr>
          <w:rFonts w:cstheme="minorHAnsi"/>
          <w:w w:val="102"/>
        </w:rPr>
        <w:t>as catorce horas d</w:t>
      </w:r>
      <w:r w:rsidRPr="007B7173">
        <w:rPr>
          <w:rFonts w:cstheme="minorHAnsi"/>
          <w:spacing w:val="-4"/>
          <w:w w:val="102"/>
        </w:rPr>
        <w:t>e</w:t>
      </w:r>
      <w:r w:rsidRPr="007B7173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7B7173">
        <w:rPr>
          <w:rFonts w:cstheme="minorHAnsi"/>
          <w:w w:val="102"/>
        </w:rPr>
        <w:t>d</w:t>
      </w:r>
      <w:r w:rsidRPr="007B7173">
        <w:rPr>
          <w:rFonts w:cstheme="minorHAnsi"/>
          <w:spacing w:val="1"/>
          <w:w w:val="102"/>
        </w:rPr>
        <w:t>í</w:t>
      </w:r>
      <w:r w:rsidRPr="007B7173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7B7173">
        <w:rPr>
          <w:rFonts w:cstheme="minorHAnsi"/>
          <w:b/>
          <w:color w:val="0000CC"/>
          <w:w w:val="102"/>
        </w:rPr>
        <w:t>6 de diciembre</w:t>
      </w:r>
      <w:r>
        <w:rPr>
          <w:rFonts w:cstheme="minorHAnsi"/>
          <w:b/>
          <w:color w:val="0000CC"/>
          <w:w w:val="102"/>
        </w:rPr>
        <w:t xml:space="preserve"> </w:t>
      </w:r>
      <w:r w:rsidRPr="007B7173">
        <w:rPr>
          <w:rFonts w:cstheme="minorHAnsi"/>
          <w:b/>
          <w:color w:val="0000CC"/>
          <w:w w:val="102"/>
        </w:rPr>
        <w:t>de 2013</w:t>
      </w:r>
      <w:r w:rsidRPr="007B7173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</w:rPr>
        <w:t xml:space="preserve">Nº </w:t>
      </w:r>
      <w:r w:rsidRPr="007B7173">
        <w:rPr>
          <w:rFonts w:cstheme="minorHAnsi"/>
          <w:b/>
          <w:color w:val="0000CC"/>
          <w:w w:val="102"/>
        </w:rPr>
        <w:t>170</w:t>
      </w:r>
      <w:r>
        <w:rPr>
          <w:rFonts w:cstheme="minorHAnsi"/>
          <w:b/>
          <w:color w:val="0000CC"/>
          <w:w w:val="102"/>
        </w:rPr>
        <w:t xml:space="preserve">-2013 </w:t>
      </w:r>
      <w:r w:rsidRPr="007B7173">
        <w:rPr>
          <w:rFonts w:cstheme="minorHAnsi"/>
          <w:w w:val="102"/>
        </w:rPr>
        <w:t>sobre:</w:t>
      </w:r>
    </w:p>
    <w:p w:rsidR="004C0872" w:rsidRPr="007B7173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>Área cultivada de los siguientes granos básicos: maíz, azúcar, café, frijol, arroz, sorgo, caña de azúcar. Desde 1990-2013.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 xml:space="preserve">Producción de granos básicos: maíz, azúcar, café, frijol, arroz, sorgo, caña de azúcar. Desde 1990-2013. 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>Sobre los cultivos anteriores, cuanto se produce en determinada área, ¿Quién lo produce?: Pequeña, mediano, gran productor y zonas donde se produce (Mapa).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 xml:space="preserve">Importaciones granos básicos: maíz, frijol, arroz, trigo, sorgo, café, caña de azúcar.  Desde 1990-2013. 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>Empresas importadoras y volúmenes de importación anuales.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>Exportaciones granos básicos: maíz, frijol, arroz, trigo, sorgo, café, caña de azúcar.  Desde 1990-2013 y empresas exportadoras y volúmenes de exportaciones anuales.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 xml:space="preserve">N° de beneficiarios de paquetes agrícolas (hombres y mujeres), </w:t>
      </w:r>
      <w:r w:rsidRPr="007B7173">
        <w:rPr>
          <w:rFonts w:asciiTheme="minorHAnsi" w:hAnsiTheme="minorHAnsi" w:cstheme="minorHAnsi"/>
          <w:color w:val="FF0000"/>
        </w:rPr>
        <w:t>Programa PAF</w:t>
      </w:r>
      <w:r w:rsidRPr="007B7173">
        <w:rPr>
          <w:rFonts w:asciiTheme="minorHAnsi" w:hAnsiTheme="minorHAnsi" w:cstheme="minorHAnsi"/>
          <w:color w:val="0000CC"/>
        </w:rPr>
        <w:t>,  de los años de implementación.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 xml:space="preserve">Gasto gubernamental en paquetes agrícolas </w:t>
      </w:r>
      <w:r w:rsidRPr="007B7173">
        <w:rPr>
          <w:rFonts w:asciiTheme="minorHAnsi" w:hAnsiTheme="minorHAnsi" w:cstheme="minorHAnsi"/>
          <w:color w:val="FF0000"/>
        </w:rPr>
        <w:t>o programa PAF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>Proveedores de semillas certificadas para paquetes agrícolas: Nombres de empresas o personas naturales, volúmenes de compra según tipo de semillas y precios.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>Proveedores de fertilizantes para paquetes agrícolas: Nombres de empresas o personas naturales, volúmenes y precios.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>Importaciones de Agroquímicos: Paraquat (gramoxone), metomil (lannate), carbofuran (furadan), clorpirifos-cipermetrina (látigo), clorpirifos, glifosato (round) up, ranger), 2,4 D (hedonal), imidacloprid (blindaje), terbufos (counter), forato y dimetoato. Volúmenes y precios (Montos $) desde 1990-2013.</w:t>
      </w:r>
    </w:p>
    <w:p w:rsidR="004C0872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C311E1">
        <w:rPr>
          <w:rFonts w:asciiTheme="minorHAnsi" w:hAnsiTheme="minorHAnsi" w:cstheme="minorHAnsi"/>
          <w:color w:val="0000CC"/>
        </w:rPr>
        <w:t>Información sobre mercado mensual de productores agrícolas en el MAG</w:t>
      </w:r>
    </w:p>
    <w:p w:rsidR="004C0872" w:rsidRPr="00C311E1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>Propiedad de la tierra por género: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6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Áreas de tierra agrícola o apta para la agricultura en propiedad de hombres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6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Áreas de tierra agrícola o apta para la agricultura en propiedad de mujeres</w:t>
      </w:r>
    </w:p>
    <w:p w:rsidR="004C0872" w:rsidRDefault="004C0872" w:rsidP="004C0872">
      <w:pPr>
        <w:pStyle w:val="Prrafodelista"/>
        <w:widowControl w:val="0"/>
        <w:numPr>
          <w:ilvl w:val="0"/>
          <w:numId w:val="36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Ubicación en el mapa de El Salvador de estas tierras agrícolas (las que están en propiedad de hombres y las que están en propiedad de mujeres)</w:t>
      </w:r>
      <w:r>
        <w:rPr>
          <w:rFonts w:asciiTheme="minorHAnsi" w:hAnsiTheme="minorHAnsi" w:cstheme="minorHAnsi"/>
        </w:rPr>
        <w:t>.</w:t>
      </w:r>
    </w:p>
    <w:p w:rsidR="004C0872" w:rsidRPr="007A5778" w:rsidRDefault="004C0872" w:rsidP="004C0872">
      <w:pPr>
        <w:spacing w:after="0" w:line="240" w:lineRule="auto"/>
        <w:ind w:left="708"/>
        <w:jc w:val="right"/>
        <w:rPr>
          <w:rFonts w:cstheme="minorHAnsi"/>
          <w:b/>
        </w:rPr>
      </w:pPr>
      <w:r w:rsidRPr="007A5778">
        <w:rPr>
          <w:rFonts w:cstheme="minorHAnsi"/>
          <w:b/>
          <w:highlight w:val="yellow"/>
          <w:lang w:val="es-ES"/>
        </w:rPr>
        <w:t>1/</w:t>
      </w:r>
      <w:r>
        <w:rPr>
          <w:rFonts w:cstheme="minorHAnsi"/>
          <w:b/>
          <w:lang w:val="es-ES"/>
        </w:rPr>
        <w:t>7</w:t>
      </w:r>
      <w:r w:rsidRPr="007A5778">
        <w:rPr>
          <w:rFonts w:cstheme="minorHAnsi"/>
          <w:b/>
        </w:rPr>
        <w:br w:type="page"/>
      </w:r>
    </w:p>
    <w:p w:rsidR="004C0872" w:rsidRPr="007B7173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 xml:space="preserve">Empleo de la producción agrícola por género: 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7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Número de mujeres empleadas en el sector agrícola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7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Número de hombres empleados en el sector agrícola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7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Especificar las actividades en las que se desempeñan tanto hombres y mujeres empleados en el sector agrícola: cantidad de hombres y mujeres que trabajan en producción de granos básicos, cantidad de hombres y mujeres que trabajan en la producción de caña de azúcar, cantidad de hombres y mujeres que trabajan en la producción de hortalizas.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7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Ubicación en el mapa de El Salvador de los departamentos y municipios, donde hay mujeres y/u hombres que trabajan en la producción agrícola.</w:t>
      </w:r>
    </w:p>
    <w:p w:rsidR="004C0872" w:rsidRPr="007B7173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</w:p>
    <w:p w:rsidR="004C0872" w:rsidRPr="007B7173" w:rsidRDefault="004C0872" w:rsidP="004C0872">
      <w:pPr>
        <w:pStyle w:val="Prrafodelista"/>
        <w:widowControl w:val="0"/>
        <w:numPr>
          <w:ilvl w:val="0"/>
          <w:numId w:val="35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0000CC"/>
        </w:rPr>
      </w:pPr>
      <w:r w:rsidRPr="007B7173">
        <w:rPr>
          <w:rFonts w:asciiTheme="minorHAnsi" w:hAnsiTheme="minorHAnsi" w:cstheme="minorHAnsi"/>
          <w:color w:val="0000CC"/>
        </w:rPr>
        <w:t>Proceso de semilla certificada, productores nacionales-relación CENTA: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8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Número de productores nacionales de semillas a los que el Ministerio de Agricultura y Ganadería compra semillas certificadas para los paquetes agrícolas.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8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Nombres de Cooperativas nacionales productoras  de semillas certificadas a los que el Ministerio de Agricultura y Ganadería, compra semillas (certificadas) para los paquetes agrícolas.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8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Cantidad de semillas certificadas que se compra a productores nacionales, para la entrega de paquetes agrícolas. (Especificar si  toda la semilla entregada en paquetes agrícolas es comprada a productores nacionales, y si no especificar a cuanto equivale lo comprado a productores nacionales del total).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8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Monto en dólares americanos de las semillas certificadas compradas a productores nacionales para la entrega de paquetes agrícolas.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8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Si existen otros proveedores de semillas certificadas para la entrega de paquetes agrícolas que no son nacionales, mencionar cuantos son, sus nombres, la cantidad y el monto en dólares de lo comprado a ellos.</w:t>
      </w:r>
    </w:p>
    <w:p w:rsidR="004C0872" w:rsidRDefault="004C0872" w:rsidP="004C0872">
      <w:pPr>
        <w:pStyle w:val="Prrafodelista"/>
        <w:widowControl w:val="0"/>
        <w:numPr>
          <w:ilvl w:val="0"/>
          <w:numId w:val="38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C311E1">
        <w:rPr>
          <w:rFonts w:asciiTheme="minorHAnsi" w:hAnsiTheme="minorHAnsi" w:cstheme="minorHAnsi"/>
        </w:rPr>
        <w:t>Mencionar si el CENTA, provee insumos primarios a productores nacionales para la producción de semillas certificadas.</w:t>
      </w:r>
    </w:p>
    <w:p w:rsidR="004C0872" w:rsidRPr="00C311E1" w:rsidRDefault="004C0872" w:rsidP="004C0872">
      <w:pPr>
        <w:pStyle w:val="Prrafodelista"/>
        <w:widowControl w:val="0"/>
        <w:numPr>
          <w:ilvl w:val="0"/>
          <w:numId w:val="38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C311E1">
        <w:rPr>
          <w:rFonts w:asciiTheme="minorHAnsi" w:hAnsiTheme="minorHAnsi" w:cstheme="minorHAnsi"/>
        </w:rPr>
        <w:t>encionar si hay asesoramiento y apoyo técnico de parte del CENTA a productores nacionales de semillas certificas (es decir productores que son proveedores de semillas certificadas para paquetes agrícolas). Y en que consiste el apoyo que el CENTA da a los productores nacionales de semillas certificadas.</w:t>
      </w:r>
    </w:p>
    <w:p w:rsidR="004C0872" w:rsidRDefault="004C0872" w:rsidP="004C0872">
      <w:pPr>
        <w:pStyle w:val="Prrafodelista"/>
        <w:widowControl w:val="0"/>
        <w:numPr>
          <w:ilvl w:val="0"/>
          <w:numId w:val="38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08" w:right="62"/>
        <w:jc w:val="both"/>
        <w:rPr>
          <w:rFonts w:asciiTheme="minorHAnsi" w:hAnsiTheme="minorHAnsi" w:cstheme="minorHAnsi"/>
        </w:rPr>
      </w:pPr>
      <w:r w:rsidRPr="007B7173">
        <w:rPr>
          <w:rFonts w:asciiTheme="minorHAnsi" w:hAnsiTheme="minorHAnsi" w:cstheme="minorHAnsi"/>
        </w:rPr>
        <w:t>Mencionar si el CENTA produce semillas certificadas, para la entrega de paquetes agrícolas; si la respuesta es sí: ¿qué cantidades o porcentaje con respecto al total de semillas para paquetes agrícolas?, ¿Que costos significan para el C</w:t>
      </w:r>
      <w:r>
        <w:rPr>
          <w:rFonts w:asciiTheme="minorHAnsi" w:hAnsiTheme="minorHAnsi" w:cstheme="minorHAnsi"/>
        </w:rPr>
        <w:t>ENTA (Cuantificados en dólares).</w:t>
      </w:r>
      <w:r>
        <w:rPr>
          <w:rFonts w:asciiTheme="minorHAnsi" w:hAnsiTheme="minorHAnsi" w:cstheme="minorHAnsi"/>
        </w:rPr>
        <w:br/>
      </w:r>
    </w:p>
    <w:p w:rsidR="004C0872" w:rsidRDefault="004C0872" w:rsidP="004C0872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</w:rPr>
      </w:pPr>
    </w:p>
    <w:p w:rsidR="004C0872" w:rsidRPr="007A5778" w:rsidRDefault="004C0872" w:rsidP="004C0872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right"/>
        <w:rPr>
          <w:rFonts w:cstheme="minorHAnsi"/>
          <w:b/>
        </w:rPr>
      </w:pPr>
      <w:r>
        <w:rPr>
          <w:rFonts w:cstheme="minorHAnsi"/>
          <w:b/>
          <w:highlight w:val="yellow"/>
        </w:rPr>
        <w:t>2</w:t>
      </w:r>
      <w:r w:rsidRPr="00F54110">
        <w:rPr>
          <w:rFonts w:cstheme="minorHAnsi"/>
          <w:b/>
          <w:highlight w:val="yellow"/>
        </w:rPr>
        <w:t>/7</w:t>
      </w:r>
    </w:p>
    <w:p w:rsidR="004C0872" w:rsidRPr="007B7173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lang w:val="es-ES"/>
        </w:rPr>
      </w:pPr>
    </w:p>
    <w:p w:rsidR="004C0872" w:rsidRPr="007B7173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7B7173">
        <w:rPr>
          <w:rFonts w:cstheme="minorHAnsi"/>
          <w:w w:val="102"/>
        </w:rPr>
        <w:lastRenderedPageBreak/>
        <w:t>Presentada ante la Oficina de Información y Respuesta de esta dependencia por parte de</w:t>
      </w:r>
      <w:r w:rsidRPr="007B717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4C0872">
        <w:rPr>
          <w:rFonts w:cstheme="minorHAnsi"/>
          <w:b/>
          <w:w w:val="102"/>
          <w:highlight w:val="black"/>
        </w:rPr>
        <w:t>********************************************</w:t>
      </w:r>
      <w:r w:rsidRPr="007B7173">
        <w:rPr>
          <w:rFonts w:cstheme="minorHAnsi"/>
          <w:b/>
          <w:color w:val="0000CC"/>
          <w:w w:val="102"/>
        </w:rPr>
        <w:t xml:space="preserve">, </w:t>
      </w:r>
      <w:r w:rsidRPr="007B7173">
        <w:rPr>
          <w:rFonts w:cstheme="minorHAnsi"/>
        </w:rPr>
        <w:t xml:space="preserve">y </w:t>
      </w:r>
      <w:r w:rsidRPr="007B7173">
        <w:rPr>
          <w:rFonts w:cstheme="minorHAnsi"/>
          <w:color w:val="C00000"/>
        </w:rPr>
        <w:t>considerando que</w:t>
      </w:r>
      <w:r>
        <w:rPr>
          <w:rFonts w:cstheme="minorHAnsi"/>
          <w:color w:val="C00000"/>
        </w:rPr>
        <w:t xml:space="preserve"> </w:t>
      </w:r>
      <w:r w:rsidRPr="007B7173">
        <w:rPr>
          <w:rFonts w:cstheme="minorHAnsi"/>
          <w:color w:val="C00000"/>
        </w:rPr>
        <w:t xml:space="preserve">parte de la solicitud </w:t>
      </w:r>
      <w:r w:rsidRPr="007B7173">
        <w:rPr>
          <w:rFonts w:cstheme="minorHAnsi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B7173">
        <w:rPr>
          <w:rFonts w:cstheme="minorHAnsi"/>
          <w:smallCaps/>
        </w:rPr>
        <w:t>L</w:t>
      </w:r>
      <w:r w:rsidRPr="007B7173">
        <w:rPr>
          <w:rFonts w:cstheme="minorHAnsi"/>
        </w:rPr>
        <w:t xml:space="preserve">ey, y 19 del Reglamento, </w:t>
      </w:r>
      <w:r w:rsidRPr="007B7173">
        <w:rPr>
          <w:rFonts w:cstheme="minorHAnsi"/>
          <w:w w:val="102"/>
        </w:rPr>
        <w:t>resuelve:</w:t>
      </w:r>
    </w:p>
    <w:p w:rsidR="004C0872" w:rsidRPr="007B7173" w:rsidRDefault="004C0872" w:rsidP="004C0872">
      <w:pPr>
        <w:spacing w:after="0" w:line="240" w:lineRule="auto"/>
        <w:jc w:val="center"/>
        <w:rPr>
          <w:rFonts w:cstheme="minorHAnsi"/>
          <w:b/>
          <w:color w:val="000099"/>
          <w:w w:val="102"/>
        </w:rPr>
      </w:pPr>
    </w:p>
    <w:p w:rsidR="004C0872" w:rsidRPr="007B7173" w:rsidRDefault="004C0872" w:rsidP="004C0872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7B7173">
        <w:rPr>
          <w:rFonts w:cstheme="minorHAnsi"/>
          <w:b/>
          <w:color w:val="0000CC"/>
          <w:w w:val="102"/>
          <w:sz w:val="28"/>
        </w:rPr>
        <w:t>PROPORCIONAR LA INFORMACIÓN PÚBLICA SOLICITADA SOBRE:</w:t>
      </w:r>
    </w:p>
    <w:p w:rsidR="004C0872" w:rsidRPr="007B7173" w:rsidRDefault="004C0872" w:rsidP="004C0872">
      <w:pPr>
        <w:spacing w:after="0" w:line="240" w:lineRule="auto"/>
        <w:jc w:val="center"/>
        <w:rPr>
          <w:rFonts w:cstheme="minorHAnsi"/>
          <w:b/>
          <w:color w:val="0000CC"/>
          <w:w w:val="102"/>
        </w:rPr>
      </w:pPr>
    </w:p>
    <w:p w:rsidR="004C0872" w:rsidRPr="007B7173" w:rsidRDefault="004C0872" w:rsidP="004C0872">
      <w:pPr>
        <w:pStyle w:val="Prrafodelista"/>
        <w:numPr>
          <w:ilvl w:val="0"/>
          <w:numId w:val="39"/>
        </w:numPr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N° de beneficiarios de paquetes agrícolas (hombres y mujeres), Programa PAF,  de los años de implementación.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9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Proveedores de semillas certificadas para paquetes agrícolas: Nombres de empresas o personas naturales, volúmenes de compra según tipo de semillas y precios.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9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Proveedores de fertilizantes para paquetes agrícolas: Nombres de empresas o personas naturales, volúmenes y precios.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9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Información sobre mercado mensual de productores agrícolas en el MAG.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39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Proceso de semilla certificada, productores nacionales-relación CENTA: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0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Número de productores nacionales de semillas a los que el Ministerio de Agricultura y Ganadería compra semillas certificadas para los paquetes agrícolas.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0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Nombres de Cooperativas nacionales productoras  de semillas certificadas a los que el Ministerio de Agricultura y Ganadería, compra semillas (certificadas) para los paquetes agrícolas.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0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Cantidad de semillas certificadas que se compra a productores nacionales, para la entrega de paquetes agrícolas. (Especificar si  toda la semilla entregada en paquetes agrícolas es comprada a productores nacionales, y si no especificar a cuanto equivale lo comprado a productores nacionales del total).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0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Monto en dólares americanos de las semillas certificadas compradas a productores nacionales para la entrega de paquetes agrícolas.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0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Si existen otros proveedores de semillas certificadas para la entrega de paquetes agrícolas que no son nacionales, mencionar cuantos son, sus nombres, la cantidad y el monto en dólares de lo comprado a ellos.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0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Mencionar si el CENTA, provee insumos primarios a productores nacionales para la producción de semillas certificadas.</w:t>
      </w:r>
    </w:p>
    <w:p w:rsidR="004C0872" w:rsidRDefault="004C0872" w:rsidP="004C0872">
      <w:pPr>
        <w:pStyle w:val="Prrafodelista"/>
        <w:widowControl w:val="0"/>
        <w:numPr>
          <w:ilvl w:val="0"/>
          <w:numId w:val="40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Mencionar si hay asesoramiento y apoyo técnico de parte del CENTA a productores nacionales de semillas certificas (es decir productores que son proveedores de semillas certificadas para paquetes agrícolas). Y en que consiste el apoyo que el CENTA da a los productores nacionales de semillas certificadas.</w:t>
      </w:r>
    </w:p>
    <w:p w:rsidR="004C0872" w:rsidRPr="007A5778" w:rsidRDefault="004C0872" w:rsidP="004C0872">
      <w:pPr>
        <w:spacing w:after="0" w:line="240" w:lineRule="auto"/>
        <w:jc w:val="right"/>
        <w:rPr>
          <w:rFonts w:eastAsia="Calibri" w:cstheme="minorHAnsi"/>
          <w:b/>
          <w:color w:val="4F6228" w:themeColor="accent3" w:themeShade="80"/>
          <w:lang w:val="es-ES" w:eastAsia="en-US"/>
        </w:rPr>
      </w:pPr>
      <w:r w:rsidRPr="00F54110">
        <w:rPr>
          <w:rFonts w:cstheme="minorHAnsi"/>
          <w:b/>
          <w:highlight w:val="yellow"/>
        </w:rPr>
        <w:t>3/7</w:t>
      </w:r>
      <w:r w:rsidRPr="007A5778">
        <w:rPr>
          <w:rFonts w:cstheme="minorHAnsi"/>
          <w:b/>
          <w:color w:val="4F6228" w:themeColor="accent3" w:themeShade="80"/>
        </w:rPr>
        <w:br w:type="page"/>
      </w:r>
    </w:p>
    <w:p w:rsidR="004C0872" w:rsidRPr="007B7173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</w:p>
    <w:p w:rsidR="004C0872" w:rsidRPr="007B7173" w:rsidRDefault="004C0872" w:rsidP="004C0872">
      <w:pPr>
        <w:pStyle w:val="Prrafodelista"/>
        <w:widowControl w:val="0"/>
        <w:numPr>
          <w:ilvl w:val="0"/>
          <w:numId w:val="40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Mencionar si el CENTA produce semillas certificadas, para la entrega de paquetes agrícolas; si la respuesta es sí: ¿qué cantidades o porcentaje con respecto al total de semillas para paquetes agrícolas?, ¿Que costos significan para el CENTA (Cuantificados en dólares)</w:t>
      </w:r>
    </w:p>
    <w:p w:rsidR="004C0872" w:rsidRPr="007B7173" w:rsidRDefault="004C0872" w:rsidP="004C0872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</w:rPr>
      </w:pPr>
    </w:p>
    <w:p w:rsidR="004C0872" w:rsidRPr="007B7173" w:rsidRDefault="004C0872" w:rsidP="004C0872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</w:rPr>
      </w:pPr>
      <w:r w:rsidRPr="007B7173">
        <w:rPr>
          <w:rFonts w:cstheme="minorHAnsi"/>
        </w:rPr>
        <w:t>Con relación a la siguiente información:</w:t>
      </w:r>
    </w:p>
    <w:p w:rsidR="004C0872" w:rsidRPr="007B7173" w:rsidRDefault="004C0872" w:rsidP="004C0872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</w:rPr>
      </w:pPr>
    </w:p>
    <w:p w:rsidR="004C0872" w:rsidRDefault="004C0872" w:rsidP="004C0872">
      <w:pPr>
        <w:pStyle w:val="Prrafodelista"/>
        <w:widowControl w:val="0"/>
        <w:numPr>
          <w:ilvl w:val="0"/>
          <w:numId w:val="41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Área cultivada de los siguientes granos básicos: maíz, azúcar, café, frijol, arroz, sorgo, caña de azúcar. Desde 1990-2013.</w:t>
      </w:r>
    </w:p>
    <w:p w:rsidR="004C0872" w:rsidRPr="007B7173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</w:p>
    <w:p w:rsidR="004C0872" w:rsidRDefault="004C0872" w:rsidP="004C0872">
      <w:pPr>
        <w:pStyle w:val="Prrafodelista"/>
        <w:widowControl w:val="0"/>
        <w:numPr>
          <w:ilvl w:val="0"/>
          <w:numId w:val="41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Producción de granos básicos: maíz, azúcar, café, frijol, arroz, sorgo, caña de azúcar. Desde 1990-2013.</w:t>
      </w:r>
    </w:p>
    <w:p w:rsidR="004C0872" w:rsidRPr="007A5778" w:rsidRDefault="004C0872" w:rsidP="004C0872">
      <w:pPr>
        <w:pStyle w:val="Prrafodelista"/>
        <w:rPr>
          <w:rFonts w:asciiTheme="minorHAnsi" w:hAnsiTheme="minorHAnsi" w:cstheme="minorHAnsi"/>
          <w:b/>
          <w:color w:val="4F6228" w:themeColor="accent3" w:themeShade="80"/>
        </w:rPr>
      </w:pPr>
    </w:p>
    <w:p w:rsidR="004C0872" w:rsidRDefault="004C0872" w:rsidP="004C0872">
      <w:pPr>
        <w:pStyle w:val="Prrafodelista"/>
        <w:widowControl w:val="0"/>
        <w:numPr>
          <w:ilvl w:val="0"/>
          <w:numId w:val="41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Sobre los cultivos anteriores, cuanto se produce en determinada área, ¿Quién lo produce?: Pequeña, mediano, gran productor y zonas donde se produce (Mapa).</w:t>
      </w:r>
    </w:p>
    <w:p w:rsidR="004C0872" w:rsidRPr="007A5778" w:rsidRDefault="004C0872" w:rsidP="004C0872">
      <w:pPr>
        <w:pStyle w:val="Prrafodelista"/>
        <w:rPr>
          <w:rFonts w:asciiTheme="minorHAnsi" w:hAnsiTheme="minorHAnsi" w:cstheme="minorHAnsi"/>
          <w:b/>
          <w:color w:val="4F6228" w:themeColor="accent3" w:themeShade="80"/>
        </w:rPr>
      </w:pPr>
    </w:p>
    <w:p w:rsidR="004C0872" w:rsidRDefault="004C0872" w:rsidP="004C0872">
      <w:pPr>
        <w:pStyle w:val="Prrafodelista"/>
        <w:widowControl w:val="0"/>
        <w:numPr>
          <w:ilvl w:val="0"/>
          <w:numId w:val="41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Importaciones granos básicos: maíz, frijol, arroz, trigo, sorgo, café, caña de azúcar.  Desde 1990-2013.</w:t>
      </w:r>
    </w:p>
    <w:p w:rsidR="004C0872" w:rsidRPr="007A5778" w:rsidRDefault="004C0872" w:rsidP="004C0872">
      <w:pPr>
        <w:pStyle w:val="Prrafodelista"/>
        <w:rPr>
          <w:rFonts w:asciiTheme="minorHAnsi" w:hAnsiTheme="minorHAnsi" w:cstheme="minorHAnsi"/>
          <w:b/>
          <w:color w:val="4F6228" w:themeColor="accent3" w:themeShade="80"/>
        </w:rPr>
      </w:pPr>
    </w:p>
    <w:p w:rsidR="004C0872" w:rsidRDefault="004C0872" w:rsidP="004C0872">
      <w:pPr>
        <w:pStyle w:val="Prrafodelista"/>
        <w:widowControl w:val="0"/>
        <w:numPr>
          <w:ilvl w:val="0"/>
          <w:numId w:val="41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Empresas importadoras y volúmenes de importación anuales.</w:t>
      </w:r>
    </w:p>
    <w:p w:rsidR="004C0872" w:rsidRPr="007A5778" w:rsidRDefault="004C0872" w:rsidP="004C0872">
      <w:pPr>
        <w:pStyle w:val="Prrafodelista"/>
        <w:rPr>
          <w:rFonts w:asciiTheme="minorHAnsi" w:hAnsiTheme="minorHAnsi" w:cstheme="minorHAnsi"/>
          <w:b/>
          <w:color w:val="4F6228" w:themeColor="accent3" w:themeShade="80"/>
        </w:rPr>
      </w:pPr>
    </w:p>
    <w:p w:rsidR="004C0872" w:rsidRDefault="004C0872" w:rsidP="004C0872">
      <w:pPr>
        <w:pStyle w:val="Prrafodelista"/>
        <w:widowControl w:val="0"/>
        <w:numPr>
          <w:ilvl w:val="0"/>
          <w:numId w:val="41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Gasto gubernamental en paquetes agrícolas o programa PAF</w:t>
      </w:r>
    </w:p>
    <w:p w:rsidR="004C0872" w:rsidRPr="007A5778" w:rsidRDefault="004C0872" w:rsidP="004C0872">
      <w:pPr>
        <w:pStyle w:val="Prrafodelista"/>
        <w:rPr>
          <w:rFonts w:asciiTheme="minorHAnsi" w:hAnsiTheme="minorHAnsi" w:cstheme="minorHAnsi"/>
          <w:b/>
          <w:color w:val="4F6228" w:themeColor="accent3" w:themeShade="80"/>
        </w:rPr>
      </w:pPr>
    </w:p>
    <w:p w:rsidR="004C0872" w:rsidRDefault="004C0872" w:rsidP="004C0872">
      <w:pPr>
        <w:pStyle w:val="Prrafodelista"/>
        <w:widowControl w:val="0"/>
        <w:numPr>
          <w:ilvl w:val="0"/>
          <w:numId w:val="41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Importaciones de Agroquímicos: Paraquat (gramoxone), metomil (lannate), carbofuran (furadan), clorpirifos-cipermetrina (látigo), clorpirifos, glifosato (round) up, ranger), 2,4 D (hedonal), imidacloprid (blindaje), terbufos (counter), forato y dimetoato. Volúmenes y precios (Montos $) desde 1990-2013.</w:t>
      </w:r>
    </w:p>
    <w:p w:rsidR="004C0872" w:rsidRPr="007A5778" w:rsidRDefault="004C0872" w:rsidP="004C0872">
      <w:pPr>
        <w:pStyle w:val="Prrafodelista"/>
        <w:rPr>
          <w:rFonts w:asciiTheme="minorHAnsi" w:hAnsiTheme="minorHAnsi" w:cstheme="minorHAnsi"/>
          <w:b/>
          <w:color w:val="4F6228" w:themeColor="accent3" w:themeShade="80"/>
        </w:rPr>
      </w:pPr>
    </w:p>
    <w:p w:rsidR="004C0872" w:rsidRPr="007B7173" w:rsidRDefault="004C0872" w:rsidP="004C0872">
      <w:pPr>
        <w:pStyle w:val="Prrafodelista"/>
        <w:widowControl w:val="0"/>
        <w:numPr>
          <w:ilvl w:val="0"/>
          <w:numId w:val="41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>Propiedad de la tierra por género: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Áreas de tierra agrícola o apta para la agricultura en propiedad de hombres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Áreas de tierra agrícola o apta para la agricultura en propiedad de mujeres</w:t>
      </w:r>
    </w:p>
    <w:p w:rsidR="004C0872" w:rsidRDefault="004C0872" w:rsidP="004C0872">
      <w:pPr>
        <w:pStyle w:val="Prrafodelista"/>
        <w:widowControl w:val="0"/>
        <w:numPr>
          <w:ilvl w:val="0"/>
          <w:numId w:val="4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Ubicación en el mapa de El Salvador de estas tierras agrícolas (las que están en propiedad de hombres y las que están en propiedad de mujeres)</w:t>
      </w:r>
    </w:p>
    <w:p w:rsidR="004C0872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</w:p>
    <w:p w:rsidR="004C0872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</w:p>
    <w:p w:rsidR="004C0872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</w:p>
    <w:p w:rsidR="004C0872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</w:p>
    <w:p w:rsidR="004C0872" w:rsidRPr="007B7173" w:rsidRDefault="004C0872" w:rsidP="004C0872">
      <w:pPr>
        <w:spacing w:after="0" w:line="240" w:lineRule="auto"/>
        <w:jc w:val="right"/>
        <w:rPr>
          <w:rFonts w:cstheme="minorHAnsi"/>
          <w:b/>
        </w:rPr>
      </w:pPr>
      <w:r w:rsidRPr="00F54110">
        <w:rPr>
          <w:rFonts w:cstheme="minorHAnsi"/>
          <w:b/>
          <w:highlight w:val="yellow"/>
        </w:rPr>
        <w:t>4/7</w:t>
      </w:r>
    </w:p>
    <w:p w:rsidR="004C0872" w:rsidRPr="007B7173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Theme="minorHAnsi" w:hAnsiTheme="minorHAnsi" w:cstheme="minorHAnsi"/>
          <w:color w:val="4F6228" w:themeColor="accent3" w:themeShade="80"/>
        </w:rPr>
      </w:pPr>
    </w:p>
    <w:p w:rsidR="004C0872" w:rsidRPr="007B7173" w:rsidRDefault="004C0872" w:rsidP="004C0872">
      <w:pPr>
        <w:pStyle w:val="Prrafodelista"/>
        <w:widowControl w:val="0"/>
        <w:numPr>
          <w:ilvl w:val="0"/>
          <w:numId w:val="41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7B7173">
        <w:rPr>
          <w:rFonts w:asciiTheme="minorHAnsi" w:hAnsiTheme="minorHAnsi" w:cstheme="minorHAnsi"/>
          <w:b/>
          <w:color w:val="4F6228" w:themeColor="accent3" w:themeShade="80"/>
        </w:rPr>
        <w:t xml:space="preserve">Empleo de la producción agrícola por género: 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3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Número de mujeres empleadas en el sector agrícola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3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Número de hombres empleados en el sector agrícola</w:t>
      </w:r>
    </w:p>
    <w:p w:rsidR="004C0872" w:rsidRPr="007B7173" w:rsidRDefault="004C0872" w:rsidP="004C0872">
      <w:pPr>
        <w:pStyle w:val="Prrafodelista"/>
        <w:widowControl w:val="0"/>
        <w:numPr>
          <w:ilvl w:val="0"/>
          <w:numId w:val="43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color w:val="4F6228" w:themeColor="accent3" w:themeShade="80"/>
        </w:rPr>
      </w:pPr>
      <w:r w:rsidRPr="007B7173">
        <w:rPr>
          <w:rFonts w:asciiTheme="minorHAnsi" w:hAnsiTheme="minorHAnsi" w:cstheme="minorHAnsi"/>
          <w:color w:val="4F6228" w:themeColor="accent3" w:themeShade="80"/>
        </w:rPr>
        <w:t>Especificar las actividades en las que se desempeñan tanto hombres y mujeres empleados en el sector agrícola: cantidad de hombres y mujeres que trabajan en producción de granos básicos, cantidad de hombres y mujeres que trabajan en la producción de caña de azúcar, cantidad de hombres y mujeres que trabajan en la producción de hortalizas.</w:t>
      </w:r>
    </w:p>
    <w:p w:rsidR="004C0872" w:rsidRPr="007B7173" w:rsidRDefault="004C0872" w:rsidP="004C087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left="360" w:right="62"/>
        <w:jc w:val="both"/>
        <w:rPr>
          <w:rFonts w:asciiTheme="minorHAnsi" w:hAnsiTheme="minorHAnsi" w:cstheme="minorHAnsi"/>
          <w:color w:val="4F6228" w:themeColor="accent3" w:themeShade="80"/>
        </w:rPr>
      </w:pPr>
    </w:p>
    <w:p w:rsidR="004C0872" w:rsidRPr="007B7173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7B7173">
        <w:rPr>
          <w:rFonts w:cstheme="minorHAnsi"/>
          <w:w w:val="102"/>
        </w:rPr>
        <w:t>Se analizó el fondo de lo solicitado determinando con base al art. 62 inciso 2º que la misma ya está disponible al público. Por lo tanto resuelve:</w:t>
      </w:r>
    </w:p>
    <w:p w:rsidR="004C0872" w:rsidRDefault="004C0872" w:rsidP="004C0872">
      <w:pPr>
        <w:spacing w:after="0" w:line="240" w:lineRule="auto"/>
        <w:jc w:val="center"/>
        <w:rPr>
          <w:rFonts w:cstheme="minorHAnsi"/>
          <w:b/>
          <w:color w:val="000099"/>
          <w:sz w:val="28"/>
        </w:rPr>
      </w:pPr>
    </w:p>
    <w:p w:rsidR="004C0872" w:rsidRPr="007B7173" w:rsidRDefault="004C0872" w:rsidP="004C0872">
      <w:pPr>
        <w:spacing w:after="0" w:line="240" w:lineRule="auto"/>
        <w:jc w:val="center"/>
        <w:rPr>
          <w:rFonts w:cstheme="minorHAnsi"/>
          <w:b/>
          <w:color w:val="000099"/>
          <w:sz w:val="28"/>
        </w:rPr>
      </w:pPr>
      <w:r w:rsidRPr="007B7173">
        <w:rPr>
          <w:rFonts w:cstheme="minorHAnsi"/>
          <w:b/>
          <w:color w:val="000099"/>
          <w:sz w:val="28"/>
        </w:rPr>
        <w:t>ORIENTAR LA UBICACIÓN DE LA INFORMACIÓN SOLICITADA</w:t>
      </w:r>
    </w:p>
    <w:p w:rsidR="004C0872" w:rsidRPr="007B7173" w:rsidRDefault="004C0872" w:rsidP="004C0872">
      <w:pPr>
        <w:spacing w:after="0" w:line="240" w:lineRule="auto"/>
        <w:jc w:val="both"/>
        <w:rPr>
          <w:rFonts w:cstheme="minorHAnsi"/>
          <w:w w:val="102"/>
        </w:rPr>
      </w:pPr>
    </w:p>
    <w:p w:rsidR="004C0872" w:rsidRPr="007B7173" w:rsidRDefault="004C0872" w:rsidP="004C0872">
      <w:pPr>
        <w:spacing w:after="0" w:line="240" w:lineRule="auto"/>
        <w:jc w:val="both"/>
        <w:rPr>
          <w:rFonts w:cstheme="minorHAnsi"/>
          <w:w w:val="102"/>
        </w:rPr>
      </w:pPr>
      <w:r w:rsidRPr="007B7173">
        <w:rPr>
          <w:rFonts w:cstheme="minorHAnsi"/>
          <w:w w:val="102"/>
        </w:rPr>
        <w:t xml:space="preserve">La cual puede consultarse, reproducirse o adquirirse en </w:t>
      </w:r>
      <w:r w:rsidRPr="007B7173">
        <w:rPr>
          <w:rFonts w:cstheme="minorHAnsi"/>
        </w:rPr>
        <w:t xml:space="preserve">la </w:t>
      </w:r>
      <w:r w:rsidRPr="007B7173">
        <w:rPr>
          <w:rFonts w:cstheme="minorHAnsi"/>
          <w:b/>
          <w:color w:val="000099"/>
          <w:w w:val="102"/>
        </w:rPr>
        <w:t>página Web del MAG, www.mag.gob.sv</w:t>
      </w:r>
      <w:r w:rsidRPr="007B7173">
        <w:rPr>
          <w:rFonts w:cstheme="minorHAnsi"/>
          <w:b/>
          <w:color w:val="0036A2"/>
        </w:rPr>
        <w:t xml:space="preserve">, </w:t>
      </w:r>
      <w:r w:rsidRPr="007B7173">
        <w:rPr>
          <w:rFonts w:cstheme="minorHAnsi"/>
          <w:w w:val="102"/>
        </w:rPr>
        <w:t>en:</w:t>
      </w:r>
    </w:p>
    <w:p w:rsidR="004C0872" w:rsidRPr="007B7173" w:rsidRDefault="004C0872" w:rsidP="004C0872">
      <w:pPr>
        <w:spacing w:after="0" w:line="240" w:lineRule="auto"/>
        <w:jc w:val="both"/>
        <w:rPr>
          <w:rFonts w:cstheme="minorHAnsi"/>
          <w:w w:val="102"/>
        </w:rPr>
      </w:pPr>
    </w:p>
    <w:p w:rsidR="004C0872" w:rsidRPr="00C311E1" w:rsidRDefault="004C0872" w:rsidP="004C0872">
      <w:pPr>
        <w:pStyle w:val="Prrafodelista"/>
        <w:numPr>
          <w:ilvl w:val="0"/>
          <w:numId w:val="44"/>
        </w:numPr>
        <w:spacing w:after="0" w:line="240" w:lineRule="auto"/>
        <w:ind w:left="360"/>
        <w:jc w:val="both"/>
        <w:rPr>
          <w:rFonts w:asciiTheme="minorHAnsi" w:hAnsiTheme="minorHAnsi" w:cstheme="minorHAnsi"/>
          <w:w w:val="102"/>
        </w:rPr>
      </w:pPr>
      <w:r w:rsidRPr="00C311E1">
        <w:rPr>
          <w:rFonts w:asciiTheme="minorHAnsi" w:hAnsiTheme="minorHAnsi" w:cstheme="minorHAnsi"/>
          <w:w w:val="102"/>
        </w:rPr>
        <w:t>Sección Temas/Estadísticas Agropecuarias/Estadísticas de Producción Agropecuaria</w:t>
      </w:r>
      <w:r>
        <w:rPr>
          <w:rFonts w:asciiTheme="minorHAnsi" w:hAnsiTheme="minorHAnsi" w:cstheme="minorHAnsi"/>
          <w:w w:val="102"/>
        </w:rPr>
        <w:t xml:space="preserve"> (Anuarios Agropecuarios)</w:t>
      </w:r>
      <w:r w:rsidRPr="00C311E1">
        <w:rPr>
          <w:rFonts w:asciiTheme="minorHAnsi" w:hAnsiTheme="minorHAnsi" w:cstheme="minorHAnsi"/>
          <w:w w:val="102"/>
        </w:rPr>
        <w:t xml:space="preserve">: numerales 1, 2 y 3, </w:t>
      </w:r>
      <w:r w:rsidRPr="00291AE9">
        <w:rPr>
          <w:rFonts w:asciiTheme="minorHAnsi" w:hAnsiTheme="minorHAnsi" w:cstheme="minorHAnsi"/>
          <w:w w:val="102"/>
        </w:rPr>
        <w:t>8 (literales a y b) y 9</w:t>
      </w:r>
      <w:r>
        <w:rPr>
          <w:rFonts w:asciiTheme="minorHAnsi" w:hAnsiTheme="minorHAnsi" w:cstheme="minorHAnsi"/>
          <w:w w:val="102"/>
        </w:rPr>
        <w:t xml:space="preserve"> (literales a,</w:t>
      </w:r>
      <w:r w:rsidRPr="00C311E1">
        <w:rPr>
          <w:rFonts w:asciiTheme="minorHAnsi" w:hAnsiTheme="minorHAnsi" w:cstheme="minorHAnsi"/>
          <w:w w:val="102"/>
        </w:rPr>
        <w:t xml:space="preserve"> b</w:t>
      </w:r>
      <w:r>
        <w:rPr>
          <w:rFonts w:asciiTheme="minorHAnsi" w:hAnsiTheme="minorHAnsi" w:cstheme="minorHAnsi"/>
          <w:w w:val="102"/>
        </w:rPr>
        <w:t xml:space="preserve"> y c</w:t>
      </w:r>
      <w:r w:rsidRPr="00C311E1">
        <w:rPr>
          <w:rFonts w:asciiTheme="minorHAnsi" w:hAnsiTheme="minorHAnsi" w:cstheme="minorHAnsi"/>
          <w:w w:val="102"/>
        </w:rPr>
        <w:t>).</w:t>
      </w:r>
    </w:p>
    <w:p w:rsidR="004C0872" w:rsidRPr="007B7173" w:rsidRDefault="004C0872" w:rsidP="004C0872">
      <w:pPr>
        <w:spacing w:after="0" w:line="240" w:lineRule="auto"/>
        <w:jc w:val="both"/>
        <w:rPr>
          <w:rFonts w:cstheme="minorHAnsi"/>
          <w:w w:val="102"/>
        </w:rPr>
      </w:pPr>
    </w:p>
    <w:p w:rsidR="004C0872" w:rsidRPr="00C311E1" w:rsidRDefault="004C0872" w:rsidP="004C0872">
      <w:pPr>
        <w:pStyle w:val="Prrafodelista"/>
        <w:numPr>
          <w:ilvl w:val="0"/>
          <w:numId w:val="44"/>
        </w:numPr>
        <w:spacing w:after="0" w:line="240" w:lineRule="auto"/>
        <w:ind w:left="360"/>
        <w:jc w:val="both"/>
        <w:rPr>
          <w:rFonts w:asciiTheme="minorHAnsi" w:hAnsiTheme="minorHAnsi" w:cstheme="minorHAnsi"/>
          <w:w w:val="102"/>
        </w:rPr>
      </w:pPr>
      <w:r w:rsidRPr="00C311E1">
        <w:rPr>
          <w:rFonts w:asciiTheme="minorHAnsi" w:hAnsiTheme="minorHAnsi" w:cstheme="minorHAnsi"/>
          <w:w w:val="102"/>
        </w:rPr>
        <w:t>Sección Gobierno Abierto (icono celeste): en los componentes Marco de Gestión Estratégica y Marco Presupuestario en los subcomponentes Memorias de Labores, Informes, Estados F</w:t>
      </w:r>
      <w:r>
        <w:rPr>
          <w:rFonts w:asciiTheme="minorHAnsi" w:hAnsiTheme="minorHAnsi" w:cstheme="minorHAnsi"/>
          <w:w w:val="102"/>
        </w:rPr>
        <w:t>inancieros y presupuesto actual (numeral 6 de la petición).</w:t>
      </w:r>
    </w:p>
    <w:p w:rsidR="004C0872" w:rsidRPr="007B7173" w:rsidRDefault="004C0872" w:rsidP="004C0872">
      <w:pPr>
        <w:spacing w:after="0" w:line="240" w:lineRule="auto"/>
        <w:jc w:val="both"/>
        <w:rPr>
          <w:rFonts w:cstheme="minorHAnsi"/>
          <w:w w:val="102"/>
        </w:rPr>
      </w:pPr>
    </w:p>
    <w:p w:rsidR="004C0872" w:rsidRPr="00C311E1" w:rsidRDefault="004C0872" w:rsidP="004C0872">
      <w:pPr>
        <w:pStyle w:val="Prrafodelista"/>
        <w:numPr>
          <w:ilvl w:val="0"/>
          <w:numId w:val="44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C311E1">
        <w:rPr>
          <w:rFonts w:asciiTheme="minorHAnsi" w:hAnsiTheme="minorHAnsi" w:cstheme="minorHAnsi"/>
          <w:w w:val="102"/>
        </w:rPr>
        <w:t xml:space="preserve">Sobre los numerales 5 y 7 </w:t>
      </w:r>
      <w:r>
        <w:rPr>
          <w:rFonts w:asciiTheme="minorHAnsi" w:hAnsiTheme="minorHAnsi" w:cstheme="minorHAnsi"/>
          <w:w w:val="102"/>
        </w:rPr>
        <w:t xml:space="preserve">de la petición, </w:t>
      </w:r>
      <w:r w:rsidRPr="00C311E1">
        <w:rPr>
          <w:rFonts w:asciiTheme="minorHAnsi" w:hAnsiTheme="minorHAnsi" w:cstheme="minorHAnsi"/>
          <w:w w:val="102"/>
        </w:rPr>
        <w:t xml:space="preserve">puede adquirirse la Información en </w:t>
      </w:r>
      <w:r w:rsidRPr="00C311E1">
        <w:rPr>
          <w:rFonts w:asciiTheme="minorHAnsi" w:hAnsiTheme="minorHAnsi" w:cstheme="minorHAnsi"/>
        </w:rPr>
        <w:t xml:space="preserve">la </w:t>
      </w:r>
      <w:r w:rsidRPr="00C311E1">
        <w:rPr>
          <w:rFonts w:asciiTheme="minorHAnsi" w:hAnsiTheme="minorHAnsi" w:cstheme="minorHAnsi"/>
          <w:b/>
          <w:color w:val="0000CC"/>
        </w:rPr>
        <w:t xml:space="preserve">División de Registro y Fiscalización de la Dirección General de Sanidad </w:t>
      </w:r>
      <w:r w:rsidRPr="00C311E1">
        <w:rPr>
          <w:rFonts w:asciiTheme="minorHAnsi" w:hAnsiTheme="minorHAnsi" w:cstheme="minorHAnsi"/>
          <w:b/>
          <w:color w:val="C00000"/>
        </w:rPr>
        <w:t>Vegetal</w:t>
      </w:r>
      <w:r w:rsidRPr="00C311E1">
        <w:rPr>
          <w:rFonts w:asciiTheme="minorHAnsi" w:hAnsiTheme="minorHAnsi" w:cstheme="minorHAnsi"/>
          <w:b/>
          <w:color w:val="0000CC"/>
        </w:rPr>
        <w:t xml:space="preserve"> del MAG</w:t>
      </w:r>
      <w:r w:rsidRPr="00C311E1">
        <w:rPr>
          <w:rFonts w:asciiTheme="minorHAnsi" w:hAnsiTheme="minorHAnsi" w:cstheme="minorHAnsi"/>
        </w:rPr>
        <w:t xml:space="preserve">, como </w:t>
      </w:r>
      <w:r w:rsidRPr="00C311E1">
        <w:rPr>
          <w:rFonts w:asciiTheme="minorHAnsi" w:hAnsiTheme="minorHAnsi" w:cstheme="minorHAnsi"/>
          <w:u w:val="single"/>
        </w:rPr>
        <w:t>Informe Mensual de Importaciones Agrícolas y Fertilizantes y Listado de Productos Agrícolas y Fertilizantes Registrados</w:t>
      </w:r>
      <w:r w:rsidRPr="00C311E1">
        <w:rPr>
          <w:rFonts w:asciiTheme="minorHAnsi" w:hAnsiTheme="minorHAnsi" w:cstheme="minorHAnsi"/>
        </w:rPr>
        <w:t xml:space="preserve">, los cuales tienen un costo de </w:t>
      </w:r>
      <w:r w:rsidRPr="00C311E1">
        <w:rPr>
          <w:rFonts w:asciiTheme="minorHAnsi" w:hAnsiTheme="minorHAnsi" w:cstheme="minorHAnsi"/>
          <w:b/>
          <w:color w:val="C00000"/>
        </w:rPr>
        <w:t>$5.65 y$16.95 respectivamente</w:t>
      </w:r>
      <w:r>
        <w:rPr>
          <w:rFonts w:asciiTheme="minorHAnsi" w:hAnsiTheme="minorHAnsi" w:cstheme="minorHAnsi"/>
          <w:b/>
          <w:color w:val="C00000"/>
        </w:rPr>
        <w:t xml:space="preserve"> </w:t>
      </w:r>
      <w:r w:rsidRPr="00C311E1">
        <w:rPr>
          <w:rFonts w:asciiTheme="minorHAnsi" w:hAnsiTheme="minorHAnsi" w:cstheme="minorHAnsi"/>
        </w:rPr>
        <w:t xml:space="preserve">según el </w:t>
      </w:r>
      <w:r w:rsidRPr="00C311E1">
        <w:rPr>
          <w:rFonts w:asciiTheme="minorHAnsi" w:hAnsiTheme="minorHAnsi" w:cstheme="minorHAnsi"/>
          <w:b/>
          <w:color w:val="0000CC"/>
        </w:rPr>
        <w:t>Acuerdo N° 77 del 8 febrero de 2013</w:t>
      </w:r>
      <w:r w:rsidRPr="00C311E1">
        <w:rPr>
          <w:rFonts w:asciiTheme="minorHAnsi" w:hAnsiTheme="minorHAnsi" w:cstheme="minorHAnsi"/>
        </w:rPr>
        <w:t xml:space="preserve"> en el cual se autorizan precios para la venta de bienes y servicios por medio del Fondo de Actividades Especiales de la Dirección General de Sanidad Vegetal y Animal de este Ministerio (</w:t>
      </w:r>
      <w:r w:rsidRPr="00C311E1">
        <w:rPr>
          <w:rFonts w:asciiTheme="minorHAnsi" w:hAnsiTheme="minorHAnsi" w:cstheme="minorHAnsi"/>
          <w:color w:val="C00000"/>
        </w:rPr>
        <w:t>ver numeral 8 y 10 del Acuerdo)</w:t>
      </w:r>
      <w:r w:rsidRPr="00C311E1">
        <w:rPr>
          <w:rFonts w:asciiTheme="minorHAnsi" w:hAnsiTheme="minorHAnsi" w:cstheme="minorHAnsi"/>
        </w:rPr>
        <w:t xml:space="preserve"> y </w:t>
      </w:r>
      <w:r w:rsidRPr="00C311E1">
        <w:rPr>
          <w:rFonts w:asciiTheme="minorHAnsi" w:hAnsiTheme="minorHAnsi" w:cstheme="minorHAnsi"/>
          <w:u w:val="single"/>
        </w:rPr>
        <w:t>del cual se remite copia de dicho Acuerdo</w:t>
      </w:r>
      <w:r w:rsidRPr="00C311E1">
        <w:rPr>
          <w:rFonts w:asciiTheme="minorHAnsi" w:hAnsiTheme="minorHAnsi" w:cstheme="minorHAnsi"/>
        </w:rPr>
        <w:t>, en tal sentido es competencia de la DGSV proporcionar lo solicitado porque es un Servicio de esa entidad.</w:t>
      </w:r>
    </w:p>
    <w:p w:rsidR="004C0872" w:rsidRPr="007B7173" w:rsidRDefault="004C0872" w:rsidP="004C0872">
      <w:pPr>
        <w:spacing w:after="0" w:line="240" w:lineRule="auto"/>
        <w:jc w:val="both"/>
        <w:rPr>
          <w:rFonts w:cstheme="minorHAnsi"/>
          <w:w w:val="102"/>
        </w:rPr>
      </w:pPr>
    </w:p>
    <w:p w:rsidR="004C0872" w:rsidRPr="00736FDE" w:rsidRDefault="004C0872" w:rsidP="004C0872">
      <w:pPr>
        <w:spacing w:after="0" w:line="240" w:lineRule="auto"/>
        <w:jc w:val="right"/>
        <w:rPr>
          <w:rFonts w:cstheme="minorHAnsi"/>
          <w:b/>
        </w:rPr>
      </w:pPr>
      <w:r w:rsidRPr="00F54110">
        <w:rPr>
          <w:rFonts w:cstheme="minorHAnsi"/>
          <w:b/>
          <w:highlight w:val="yellow"/>
        </w:rPr>
        <w:t>5/7</w:t>
      </w:r>
    </w:p>
    <w:p w:rsidR="004C0872" w:rsidRDefault="004C0872" w:rsidP="004C0872">
      <w:pPr>
        <w:spacing w:after="0" w:line="240" w:lineRule="auto"/>
        <w:rPr>
          <w:rFonts w:cstheme="minorHAnsi"/>
        </w:rPr>
      </w:pPr>
    </w:p>
    <w:p w:rsidR="004C0872" w:rsidRDefault="004C0872" w:rsidP="004C0872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:rsidR="004C0872" w:rsidRDefault="004C0872" w:rsidP="004C087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C0872" w:rsidRDefault="004C0872" w:rsidP="004C0872">
      <w:pPr>
        <w:pStyle w:val="Default"/>
        <w:jc w:val="both"/>
        <w:rPr>
          <w:rFonts w:asciiTheme="minorHAnsi" w:hAnsiTheme="minorHAnsi" w:cstheme="minorHAnsi"/>
          <w:w w:val="102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 relación a los numerales 13</w:t>
      </w:r>
      <w:r w:rsidRPr="007B7173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r>
        <w:rPr>
          <w:rFonts w:asciiTheme="minorHAnsi" w:hAnsiTheme="minorHAnsi" w:cstheme="minorHAnsi"/>
          <w:color w:val="auto"/>
          <w:sz w:val="22"/>
          <w:szCs w:val="22"/>
        </w:rPr>
        <w:t>14</w:t>
      </w:r>
      <w:r w:rsidRPr="007B7173">
        <w:rPr>
          <w:rFonts w:asciiTheme="minorHAnsi" w:hAnsiTheme="minorHAnsi" w:cstheme="minorHAnsi"/>
          <w:color w:val="auto"/>
          <w:sz w:val="22"/>
          <w:szCs w:val="22"/>
        </w:rPr>
        <w:t xml:space="preserve"> ambos en sus literales c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y d</w:t>
      </w:r>
      <w:r>
        <w:rPr>
          <w:rFonts w:asciiTheme="minorHAnsi" w:hAnsiTheme="minorHAnsi" w:cstheme="minorHAnsi"/>
        </w:rPr>
        <w:t>, la información relacionada a mapas desagregados por género, y</w:t>
      </w:r>
      <w:r w:rsidRPr="00CA622D">
        <w:rPr>
          <w:rFonts w:asciiTheme="minorHAnsi" w:hAnsiTheme="minorHAnsi" w:cstheme="minorHAnsi"/>
          <w:sz w:val="22"/>
          <w:szCs w:val="22"/>
        </w:rPr>
        <w:t xml:space="preserve"> considerando que la Ley de Acceso a la Información Pública dispone en el art. 73 que nos encontramos ante un caso de información INEXISTENTE, lo que  impide  brindar lo  requerido  por  el  peticionario, esta dependencia </w:t>
      </w:r>
      <w:r w:rsidRPr="00CA622D">
        <w:rPr>
          <w:rFonts w:asciiTheme="minorHAnsi" w:hAnsiTheme="minorHAnsi" w:cstheme="minorHAnsi"/>
          <w:w w:val="102"/>
          <w:sz w:val="22"/>
          <w:szCs w:val="22"/>
        </w:rPr>
        <w:t>resuelve:</w:t>
      </w:r>
    </w:p>
    <w:p w:rsidR="004C0872" w:rsidRDefault="004C0872" w:rsidP="004C0872">
      <w:pPr>
        <w:pStyle w:val="Default"/>
        <w:jc w:val="both"/>
        <w:rPr>
          <w:rFonts w:asciiTheme="minorHAnsi" w:hAnsiTheme="minorHAnsi" w:cstheme="minorHAnsi"/>
          <w:w w:val="102"/>
          <w:sz w:val="22"/>
          <w:szCs w:val="22"/>
        </w:rPr>
      </w:pPr>
    </w:p>
    <w:p w:rsidR="004C0872" w:rsidRPr="00486D16" w:rsidRDefault="004C0872" w:rsidP="004C0872">
      <w:pPr>
        <w:pStyle w:val="Default"/>
        <w:jc w:val="center"/>
        <w:rPr>
          <w:rFonts w:asciiTheme="minorHAnsi" w:hAnsiTheme="minorHAnsi" w:cstheme="minorHAnsi"/>
          <w:b/>
          <w:color w:val="0000CC"/>
          <w:w w:val="102"/>
          <w:sz w:val="28"/>
          <w:szCs w:val="22"/>
        </w:rPr>
      </w:pPr>
      <w:r w:rsidRPr="00486D16">
        <w:rPr>
          <w:rFonts w:asciiTheme="minorHAnsi" w:hAnsiTheme="minorHAnsi" w:cstheme="minorHAnsi"/>
          <w:b/>
          <w:color w:val="0000CC"/>
          <w:w w:val="102"/>
          <w:sz w:val="28"/>
          <w:szCs w:val="22"/>
        </w:rPr>
        <w:t>DENEGAR LA INFORMACION POR INEXISTENTE.</w:t>
      </w:r>
    </w:p>
    <w:p w:rsidR="004C0872" w:rsidRPr="007B7173" w:rsidRDefault="004C0872" w:rsidP="004C0872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</w:rPr>
      </w:pPr>
    </w:p>
    <w:p w:rsidR="004C0872" w:rsidRPr="00736FDE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736FDE">
        <w:rPr>
          <w:rFonts w:cstheme="minorHAnsi"/>
        </w:rPr>
        <w:t>Respecto al</w:t>
      </w:r>
      <w:r>
        <w:rPr>
          <w:rFonts w:cstheme="minorHAnsi"/>
        </w:rPr>
        <w:t xml:space="preserve"> </w:t>
      </w:r>
      <w:r w:rsidRPr="00736FDE">
        <w:rPr>
          <w:rFonts w:cstheme="minorHAnsi"/>
          <w:b/>
          <w:color w:val="0000CC"/>
        </w:rPr>
        <w:t>numeral 6 sobre las Exportaciones de granos básicos: maíz, frijol, arroz, trigo, sorgo, café, caña de azúcar.  Desde 1990-2013 y empresas exportadoras y volúmenes de exportaciones anuales,</w:t>
      </w:r>
      <w:r>
        <w:rPr>
          <w:rFonts w:cstheme="minorHAnsi"/>
          <w:b/>
          <w:color w:val="0000CC"/>
        </w:rPr>
        <w:t xml:space="preserve"> </w:t>
      </w:r>
      <w:r w:rsidRPr="00736FDE">
        <w:rPr>
          <w:rFonts w:cstheme="minorHAnsi"/>
        </w:rPr>
        <w:t xml:space="preserve">se </w:t>
      </w:r>
      <w:r w:rsidRPr="00736FDE">
        <w:rPr>
          <w:rFonts w:cstheme="minorHAnsi"/>
          <w:w w:val="102"/>
        </w:rPr>
        <w:t>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4C0872" w:rsidRPr="00736FDE" w:rsidRDefault="004C0872" w:rsidP="004C0872">
      <w:pPr>
        <w:spacing w:after="0" w:line="240" w:lineRule="auto"/>
        <w:jc w:val="both"/>
        <w:rPr>
          <w:rFonts w:cstheme="minorHAnsi"/>
          <w:w w:val="102"/>
        </w:rPr>
      </w:pPr>
    </w:p>
    <w:p w:rsidR="004C0872" w:rsidRDefault="004C0872" w:rsidP="004C0872">
      <w:pPr>
        <w:spacing w:after="0" w:line="240" w:lineRule="auto"/>
        <w:jc w:val="center"/>
        <w:rPr>
          <w:rFonts w:cstheme="minorHAnsi"/>
          <w:b/>
          <w:color w:val="000099"/>
          <w:w w:val="102"/>
          <w:sz w:val="28"/>
        </w:rPr>
      </w:pPr>
      <w:r w:rsidRPr="002B0F64">
        <w:rPr>
          <w:rFonts w:cstheme="minorHAnsi"/>
          <w:b/>
          <w:color w:val="000099"/>
          <w:w w:val="102"/>
          <w:sz w:val="28"/>
        </w:rPr>
        <w:t>DENEGAR LA SOLICITUD DE ACCESO A LA INFORMACIÓN SOLICITADA POR NO SER ESTA INSTITUCIÓN COMPETENTE PARA CONOCER DE LA MISMA.</w:t>
      </w:r>
    </w:p>
    <w:p w:rsidR="004C0872" w:rsidRDefault="004C0872" w:rsidP="004C0872">
      <w:pPr>
        <w:spacing w:after="0" w:line="240" w:lineRule="auto"/>
        <w:jc w:val="right"/>
        <w:rPr>
          <w:rFonts w:cstheme="minorHAnsi"/>
          <w:b/>
          <w:color w:val="000099"/>
          <w:w w:val="102"/>
          <w:sz w:val="28"/>
        </w:rPr>
      </w:pPr>
    </w:p>
    <w:p w:rsidR="004C0872" w:rsidRPr="00736FDE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736FDE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4C0872" w:rsidRPr="00736FDE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4C0872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CC"/>
          <w:lang w:eastAsia="en-US"/>
        </w:rPr>
      </w:pPr>
      <w:r w:rsidRPr="00736FDE">
        <w:rPr>
          <w:rFonts w:cstheme="minorHAnsi"/>
          <w:w w:val="102"/>
        </w:rPr>
        <w:t xml:space="preserve">Su petición deberá dirigirse al </w:t>
      </w:r>
      <w:r w:rsidRPr="00736FDE">
        <w:rPr>
          <w:rFonts w:cstheme="minorHAnsi"/>
          <w:b/>
          <w:color w:val="000099"/>
          <w:w w:val="102"/>
        </w:rPr>
        <w:t>Banco Central de Reserva</w:t>
      </w:r>
      <w:r w:rsidRPr="00736FDE">
        <w:rPr>
          <w:rFonts w:cstheme="minorHAnsi"/>
          <w:w w:val="102"/>
        </w:rPr>
        <w:t xml:space="preserve"> por ser la institución facultada para conocer solicitudes de dicha índole, la dirección de la </w:t>
      </w:r>
      <w:r w:rsidRPr="00736FDE">
        <w:rPr>
          <w:rFonts w:cstheme="minorHAnsi"/>
          <w:b/>
          <w:color w:val="000099"/>
          <w:w w:val="102"/>
        </w:rPr>
        <w:t>Oficina de Información y Respuesta</w:t>
      </w:r>
      <w:r w:rsidRPr="00736FDE">
        <w:rPr>
          <w:rFonts w:cstheme="minorHAnsi"/>
          <w:w w:val="102"/>
        </w:rPr>
        <w:t xml:space="preserve"> a la que debe dirigirse es </w:t>
      </w:r>
      <w:r w:rsidRPr="00736FDE">
        <w:rPr>
          <w:rFonts w:cstheme="minorHAnsi"/>
          <w:i/>
          <w:w w:val="102"/>
        </w:rPr>
        <w:t>Alameda Juan Pablo II entre 15 y 17 Av. Nte.  San Salvador</w:t>
      </w:r>
      <w:r w:rsidRPr="00736FDE">
        <w:rPr>
          <w:rFonts w:cstheme="minorHAnsi"/>
          <w:w w:val="102"/>
        </w:rPr>
        <w:t xml:space="preserve">. Puede contactar a la Oficial de Información </w:t>
      </w:r>
      <w:r w:rsidRPr="00736FDE">
        <w:rPr>
          <w:rFonts w:cstheme="minorHAnsi"/>
          <w:b/>
          <w:color w:val="002060"/>
          <w:w w:val="102"/>
        </w:rPr>
        <w:t>Flor Idalia Romero de Fernández</w:t>
      </w:r>
      <w:r>
        <w:rPr>
          <w:rFonts w:cstheme="minorHAnsi"/>
          <w:b/>
          <w:color w:val="002060"/>
          <w:w w:val="102"/>
        </w:rPr>
        <w:t xml:space="preserve"> </w:t>
      </w:r>
      <w:r w:rsidRPr="00736FDE">
        <w:rPr>
          <w:rFonts w:cstheme="minorHAnsi"/>
          <w:w w:val="102"/>
        </w:rPr>
        <w:t xml:space="preserve">al teléfono </w:t>
      </w:r>
      <w:r w:rsidRPr="00736FDE">
        <w:rPr>
          <w:rFonts w:cstheme="minorHAnsi"/>
          <w:b/>
          <w:color w:val="000099"/>
          <w:w w:val="102"/>
        </w:rPr>
        <w:t>2281-8030</w:t>
      </w:r>
      <w:r w:rsidRPr="00736FDE">
        <w:rPr>
          <w:rFonts w:cstheme="minorHAnsi"/>
          <w:w w:val="102"/>
        </w:rPr>
        <w:t xml:space="preserve"> o al correo electrónico</w:t>
      </w:r>
      <w:r>
        <w:rPr>
          <w:rFonts w:cstheme="minorHAnsi"/>
          <w:w w:val="102"/>
        </w:rPr>
        <w:t xml:space="preserve"> </w:t>
      </w:r>
      <w:hyperlink r:id="rId8" w:history="1">
        <w:r w:rsidRPr="00736FDE">
          <w:rPr>
            <w:rFonts w:eastAsia="Calibri" w:cstheme="minorHAnsi"/>
            <w:color w:val="0000FF" w:themeColor="hyperlink"/>
            <w:u w:val="single"/>
            <w:lang w:eastAsia="en-US"/>
          </w:rPr>
          <w:t>oficial.informacion@bcr.gob.sv</w:t>
        </w:r>
      </w:hyperlink>
      <w:r w:rsidRPr="00736FDE">
        <w:rPr>
          <w:rFonts w:eastAsia="Calibri" w:cstheme="minorHAnsi"/>
          <w:color w:val="000000"/>
          <w:lang w:eastAsia="en-US"/>
        </w:rPr>
        <w:t xml:space="preserve">; o en el sitio web de esa institución </w:t>
      </w:r>
      <w:hyperlink r:id="rId9" w:history="1">
        <w:r w:rsidRPr="00B9257D">
          <w:rPr>
            <w:rStyle w:val="Hipervnculo"/>
            <w:rFonts w:eastAsia="Calibri" w:cstheme="minorHAnsi"/>
            <w:b/>
            <w:lang w:eastAsia="en-US"/>
          </w:rPr>
          <w:t>www.bcr.gob.sv</w:t>
        </w:r>
      </w:hyperlink>
      <w:r w:rsidRPr="00736FDE">
        <w:rPr>
          <w:rFonts w:eastAsia="Calibri" w:cstheme="minorHAnsi"/>
          <w:b/>
          <w:color w:val="0000CC"/>
          <w:lang w:eastAsia="en-US"/>
        </w:rPr>
        <w:t>.</w:t>
      </w:r>
    </w:p>
    <w:p w:rsidR="004C0872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CC"/>
          <w:lang w:eastAsia="en-US"/>
        </w:rPr>
      </w:pPr>
    </w:p>
    <w:p w:rsidR="004C0872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Así mismo e</w:t>
      </w:r>
      <w:r w:rsidRPr="00E3715E">
        <w:rPr>
          <w:rFonts w:eastAsia="Calibri" w:cstheme="minorHAnsi"/>
          <w:lang w:eastAsia="en-US"/>
        </w:rPr>
        <w:t>s</w:t>
      </w:r>
      <w:r>
        <w:rPr>
          <w:rFonts w:eastAsia="Calibri" w:cstheme="minorHAnsi"/>
          <w:lang w:eastAsia="en-US"/>
        </w:rPr>
        <w:t>te Ministerio considera conveniente sugerir al peticionario que para ampliar la información sobre el empleo agrícola y de semillas certificadas contacte a las siguientes oficinas de Información y Respuesta de las siguientes dependencias del Ejecutivo:</w:t>
      </w:r>
    </w:p>
    <w:p w:rsidR="004C0872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en-US"/>
        </w:rPr>
      </w:pPr>
    </w:p>
    <w:p w:rsidR="004C0872" w:rsidRPr="007A5778" w:rsidRDefault="004C0872" w:rsidP="004C0872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A5778">
        <w:rPr>
          <w:rFonts w:asciiTheme="minorHAnsi" w:hAnsiTheme="minorHAnsi" w:cstheme="minorHAnsi"/>
          <w:b/>
          <w:color w:val="000099"/>
          <w:w w:val="102"/>
          <w:szCs w:val="24"/>
        </w:rPr>
        <w:t>Centro Nacional de Tecnología Agropecuaria y Forestal “Enrique Álvarez Córdova”- CENTA,</w:t>
      </w:r>
      <w:r w:rsidRPr="007A5778">
        <w:rPr>
          <w:rFonts w:asciiTheme="minorHAnsi" w:hAnsiTheme="minorHAnsi" w:cstheme="minorHAnsi"/>
          <w:w w:val="102"/>
          <w:szCs w:val="24"/>
        </w:rPr>
        <w:t xml:space="preserve"> por ser la institución facultada para conocer solicitudes de dicha índole, la dirección de la </w:t>
      </w:r>
      <w:r w:rsidRPr="007A5778">
        <w:rPr>
          <w:rFonts w:asciiTheme="minorHAnsi" w:hAnsiTheme="minorHAnsi" w:cstheme="minorHAnsi"/>
          <w:b/>
          <w:color w:val="000099"/>
          <w:w w:val="102"/>
          <w:szCs w:val="24"/>
        </w:rPr>
        <w:t>Oficina de Información y Respuesta</w:t>
      </w:r>
      <w:r w:rsidRPr="007A5778">
        <w:rPr>
          <w:rFonts w:asciiTheme="minorHAnsi" w:hAnsiTheme="minorHAnsi" w:cstheme="minorHAnsi"/>
          <w:w w:val="102"/>
          <w:szCs w:val="24"/>
        </w:rPr>
        <w:t xml:space="preserve"> a la que debe dirigirse es </w:t>
      </w:r>
      <w:r w:rsidRPr="007A5778">
        <w:rPr>
          <w:rFonts w:asciiTheme="minorHAnsi" w:hAnsiTheme="minorHAnsi" w:cstheme="minorHAnsi"/>
          <w:i/>
          <w:color w:val="000000"/>
          <w:szCs w:val="24"/>
        </w:rPr>
        <w:t>Km 33 y medio carretera a Santa Ana, Ciudad Arce, La Libertad</w:t>
      </w:r>
      <w:r w:rsidRPr="007A5778">
        <w:rPr>
          <w:rFonts w:asciiTheme="minorHAnsi" w:hAnsiTheme="minorHAnsi" w:cstheme="minorHAnsi"/>
          <w:w w:val="102"/>
          <w:szCs w:val="24"/>
        </w:rPr>
        <w:t xml:space="preserve">. Puede contactar a la Oficial de Información </w:t>
      </w:r>
      <w:r w:rsidRPr="007A5778">
        <w:rPr>
          <w:rFonts w:asciiTheme="minorHAnsi" w:hAnsiTheme="minorHAnsi" w:cstheme="minorHAnsi"/>
          <w:b/>
          <w:color w:val="000099"/>
          <w:w w:val="102"/>
          <w:szCs w:val="24"/>
        </w:rPr>
        <w:t>Ing. Silvia Margoth Mejía</w:t>
      </w:r>
      <w:r w:rsidRPr="007A5778">
        <w:rPr>
          <w:rFonts w:asciiTheme="minorHAnsi" w:hAnsiTheme="minorHAnsi" w:cstheme="minorHAnsi"/>
          <w:w w:val="102"/>
          <w:szCs w:val="24"/>
        </w:rPr>
        <w:t xml:space="preserve"> al teléfono </w:t>
      </w:r>
      <w:r w:rsidRPr="007A5778">
        <w:rPr>
          <w:rFonts w:asciiTheme="minorHAnsi" w:hAnsiTheme="minorHAnsi" w:cstheme="minorHAnsi"/>
          <w:b/>
          <w:color w:val="000099"/>
          <w:w w:val="102"/>
          <w:szCs w:val="24"/>
        </w:rPr>
        <w:t xml:space="preserve">2316-4603 y 2302-0291 </w:t>
      </w:r>
      <w:r w:rsidRPr="007A5778">
        <w:rPr>
          <w:rFonts w:asciiTheme="minorHAnsi" w:hAnsiTheme="minorHAnsi" w:cstheme="minorHAnsi"/>
          <w:w w:val="102"/>
          <w:szCs w:val="24"/>
        </w:rPr>
        <w:t>o al correo electrónico</w:t>
      </w:r>
      <w:hyperlink r:id="rId10" w:history="1">
        <w:r w:rsidRPr="007A5778">
          <w:rPr>
            <w:rStyle w:val="Hipervnculo"/>
            <w:rFonts w:asciiTheme="minorHAnsi" w:hAnsiTheme="minorHAnsi" w:cstheme="minorHAnsi"/>
            <w:b/>
            <w:w w:val="102"/>
            <w:szCs w:val="24"/>
          </w:rPr>
          <w:t>oir@centa.gob.sv</w:t>
        </w:r>
      </w:hyperlink>
      <w:r w:rsidRPr="007A5778">
        <w:rPr>
          <w:rFonts w:asciiTheme="minorHAnsi" w:hAnsiTheme="minorHAnsi" w:cstheme="minorHAnsi"/>
          <w:color w:val="000000"/>
          <w:szCs w:val="24"/>
        </w:rPr>
        <w:t>.</w:t>
      </w:r>
    </w:p>
    <w:p w:rsidR="004C0872" w:rsidRPr="00F54110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b/>
          <w:color w:val="000000"/>
          <w:szCs w:val="24"/>
          <w:lang w:eastAsia="en-US"/>
        </w:rPr>
      </w:pPr>
      <w:r w:rsidRPr="00F54110">
        <w:rPr>
          <w:rFonts w:eastAsia="Calibri" w:cstheme="minorHAnsi"/>
          <w:b/>
          <w:color w:val="000000"/>
          <w:szCs w:val="24"/>
          <w:highlight w:val="yellow"/>
          <w:lang w:eastAsia="en-US"/>
        </w:rPr>
        <w:t>6/7</w:t>
      </w:r>
    </w:p>
    <w:p w:rsidR="004C0872" w:rsidRPr="007A5778" w:rsidRDefault="004C0872" w:rsidP="004C0872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7A5778">
        <w:rPr>
          <w:rFonts w:asciiTheme="minorHAnsi" w:hAnsiTheme="minorHAnsi" w:cstheme="minorHAnsi"/>
          <w:b/>
          <w:color w:val="000099"/>
          <w:w w:val="102"/>
        </w:rPr>
        <w:lastRenderedPageBreak/>
        <w:t>Ministerio de Trabajo y Previsión Social</w:t>
      </w:r>
      <w:r w:rsidRPr="007A5778">
        <w:rPr>
          <w:rFonts w:asciiTheme="minorHAnsi" w:hAnsiTheme="minorHAnsi" w:cstheme="minorHAnsi"/>
          <w:w w:val="102"/>
        </w:rPr>
        <w:t xml:space="preserve"> por ser la institución facultada para conocer solicitudes de dicha índole, la dirección de la </w:t>
      </w:r>
      <w:r w:rsidRPr="007A5778">
        <w:rPr>
          <w:rFonts w:asciiTheme="minorHAnsi" w:hAnsiTheme="minorHAnsi" w:cstheme="minorHAnsi"/>
          <w:b/>
          <w:color w:val="000099"/>
          <w:w w:val="102"/>
        </w:rPr>
        <w:t>Oficina de Información y Respuesta</w:t>
      </w:r>
      <w:r w:rsidRPr="007A5778">
        <w:rPr>
          <w:rFonts w:asciiTheme="minorHAnsi" w:hAnsiTheme="minorHAnsi" w:cstheme="minorHAnsi"/>
          <w:w w:val="102"/>
        </w:rPr>
        <w:t xml:space="preserve"> a la que debe dirigirse es </w:t>
      </w:r>
      <w:r w:rsidRPr="007A5778">
        <w:rPr>
          <w:rFonts w:asciiTheme="minorHAnsi" w:hAnsiTheme="minorHAnsi" w:cstheme="minorHAnsi"/>
          <w:i/>
          <w:w w:val="102"/>
        </w:rPr>
        <w:t>17 Av. Norte, Edificio 3 Complejo Plan Maestro, Centro de Gobierno, San Salvador</w:t>
      </w:r>
      <w:r w:rsidRPr="007A5778">
        <w:rPr>
          <w:rFonts w:asciiTheme="minorHAnsi" w:hAnsiTheme="minorHAnsi" w:cstheme="minorHAnsi"/>
          <w:w w:val="102"/>
        </w:rPr>
        <w:t xml:space="preserve">. Puede contactar a la Oficial de Información </w:t>
      </w:r>
      <w:r w:rsidRPr="007A5778">
        <w:rPr>
          <w:rFonts w:asciiTheme="minorHAnsi" w:hAnsiTheme="minorHAnsi" w:cstheme="minorHAnsi"/>
          <w:b/>
          <w:color w:val="000099"/>
          <w:w w:val="102"/>
        </w:rPr>
        <w:t>Yeny</w:t>
      </w:r>
      <w:r>
        <w:rPr>
          <w:rFonts w:asciiTheme="minorHAnsi" w:hAnsiTheme="minorHAnsi" w:cstheme="minorHAnsi"/>
          <w:b/>
          <w:color w:val="000099"/>
          <w:w w:val="102"/>
        </w:rPr>
        <w:t xml:space="preserve"> </w:t>
      </w:r>
      <w:r w:rsidRPr="007A5778">
        <w:rPr>
          <w:rFonts w:asciiTheme="minorHAnsi" w:hAnsiTheme="minorHAnsi" w:cstheme="minorHAnsi"/>
          <w:b/>
          <w:color w:val="000099"/>
          <w:w w:val="102"/>
        </w:rPr>
        <w:t>Banessa García Reyes</w:t>
      </w:r>
      <w:r>
        <w:rPr>
          <w:rFonts w:asciiTheme="minorHAnsi" w:hAnsiTheme="minorHAnsi" w:cstheme="minorHAnsi"/>
          <w:b/>
          <w:color w:val="000099"/>
          <w:w w:val="102"/>
        </w:rPr>
        <w:t xml:space="preserve"> </w:t>
      </w:r>
      <w:r w:rsidRPr="007A5778">
        <w:rPr>
          <w:rFonts w:asciiTheme="minorHAnsi" w:hAnsiTheme="minorHAnsi" w:cstheme="minorHAnsi"/>
          <w:w w:val="102"/>
        </w:rPr>
        <w:t xml:space="preserve">al teléfono </w:t>
      </w:r>
      <w:r w:rsidRPr="007A5778">
        <w:rPr>
          <w:rFonts w:asciiTheme="minorHAnsi" w:hAnsiTheme="minorHAnsi" w:cstheme="minorHAnsi"/>
          <w:b/>
          <w:color w:val="000099"/>
          <w:w w:val="102"/>
        </w:rPr>
        <w:t>2529-3730</w:t>
      </w:r>
      <w:r w:rsidRPr="007A5778">
        <w:rPr>
          <w:rFonts w:asciiTheme="minorHAnsi" w:hAnsiTheme="minorHAnsi" w:cstheme="minorHAnsi"/>
          <w:w w:val="102"/>
        </w:rPr>
        <w:t xml:space="preserve"> o al correo electrónico</w:t>
      </w:r>
      <w:hyperlink r:id="rId11" w:history="1">
        <w:r w:rsidRPr="007A5778">
          <w:rPr>
            <w:rStyle w:val="Hipervnculo"/>
            <w:rFonts w:asciiTheme="minorHAnsi" w:hAnsiTheme="minorHAnsi" w:cstheme="minorHAnsi"/>
          </w:rPr>
          <w:t>oficialinformacion@mtps.gob.sv</w:t>
        </w:r>
      </w:hyperlink>
      <w:r w:rsidRPr="007A5778">
        <w:rPr>
          <w:rFonts w:asciiTheme="minorHAnsi" w:hAnsiTheme="minorHAnsi" w:cstheme="minorHAnsi"/>
          <w:color w:val="000000"/>
        </w:rPr>
        <w:t>.</w:t>
      </w:r>
    </w:p>
    <w:p w:rsidR="004C0872" w:rsidRPr="00E55333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Cs w:val="24"/>
          <w:lang w:eastAsia="en-US"/>
        </w:rPr>
      </w:pPr>
    </w:p>
    <w:p w:rsidR="004C0872" w:rsidRPr="00E55333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</w:p>
    <w:p w:rsidR="004C0872" w:rsidRPr="000C3441" w:rsidRDefault="004C0872" w:rsidP="004C0872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color w:val="0000CC"/>
        </w:rPr>
      </w:pPr>
    </w:p>
    <w:p w:rsidR="00753596" w:rsidRDefault="00753596" w:rsidP="00753596">
      <w:pPr>
        <w:spacing w:after="0" w:line="360" w:lineRule="auto"/>
        <w:jc w:val="both"/>
        <w:rPr>
          <w:rFonts w:ascii="Times New Roman" w:hAnsi="Times New Roman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7535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12"/>
      <w:footerReference w:type="default" r:id="rId13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4CF" w:rsidRDefault="009A04CF" w:rsidP="00823710">
      <w:pPr>
        <w:spacing w:after="0" w:line="240" w:lineRule="auto"/>
      </w:pPr>
      <w:r>
        <w:separator/>
      </w:r>
    </w:p>
  </w:endnote>
  <w:endnote w:type="continuationSeparator" w:id="1">
    <w:p w:rsidR="009A04CF" w:rsidRDefault="009A04C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4CF" w:rsidRDefault="009A04CF" w:rsidP="00823710">
      <w:pPr>
        <w:spacing w:after="0" w:line="240" w:lineRule="auto"/>
      </w:pPr>
      <w:r>
        <w:separator/>
      </w:r>
    </w:p>
  </w:footnote>
  <w:footnote w:type="continuationSeparator" w:id="1">
    <w:p w:rsidR="009A04CF" w:rsidRDefault="009A04C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C76BA"/>
    <w:multiLevelType w:val="hybridMultilevel"/>
    <w:tmpl w:val="F7C61B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81AA0"/>
    <w:multiLevelType w:val="hybridMultilevel"/>
    <w:tmpl w:val="251C25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155AA8"/>
    <w:multiLevelType w:val="hybridMultilevel"/>
    <w:tmpl w:val="2CECD2F4"/>
    <w:lvl w:ilvl="0" w:tplc="4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4482B"/>
    <w:multiLevelType w:val="hybridMultilevel"/>
    <w:tmpl w:val="C2B29AE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317E7"/>
    <w:multiLevelType w:val="hybridMultilevel"/>
    <w:tmpl w:val="6DA8342A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1A7D9B"/>
    <w:multiLevelType w:val="hybridMultilevel"/>
    <w:tmpl w:val="FF46D05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6B5418"/>
    <w:multiLevelType w:val="hybridMultilevel"/>
    <w:tmpl w:val="DC4A9DB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572F46"/>
    <w:multiLevelType w:val="hybridMultilevel"/>
    <w:tmpl w:val="789A18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80456"/>
    <w:multiLevelType w:val="hybridMultilevel"/>
    <w:tmpl w:val="1AF6C88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AA16B3D"/>
    <w:multiLevelType w:val="hybridMultilevel"/>
    <w:tmpl w:val="B210BC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9"/>
  </w:num>
  <w:num w:numId="4">
    <w:abstractNumId w:val="40"/>
  </w:num>
  <w:num w:numId="5">
    <w:abstractNumId w:val="34"/>
  </w:num>
  <w:num w:numId="6">
    <w:abstractNumId w:val="1"/>
  </w:num>
  <w:num w:numId="7">
    <w:abstractNumId w:val="44"/>
  </w:num>
  <w:num w:numId="8">
    <w:abstractNumId w:val="23"/>
  </w:num>
  <w:num w:numId="9">
    <w:abstractNumId w:val="5"/>
  </w:num>
  <w:num w:numId="10">
    <w:abstractNumId w:val="13"/>
  </w:num>
  <w:num w:numId="11">
    <w:abstractNumId w:val="32"/>
  </w:num>
  <w:num w:numId="12">
    <w:abstractNumId w:val="41"/>
  </w:num>
  <w:num w:numId="13">
    <w:abstractNumId w:val="2"/>
  </w:num>
  <w:num w:numId="14">
    <w:abstractNumId w:val="35"/>
  </w:num>
  <w:num w:numId="15">
    <w:abstractNumId w:val="30"/>
  </w:num>
  <w:num w:numId="16">
    <w:abstractNumId w:val="28"/>
  </w:num>
  <w:num w:numId="17">
    <w:abstractNumId w:val="26"/>
  </w:num>
  <w:num w:numId="18">
    <w:abstractNumId w:val="14"/>
  </w:num>
  <w:num w:numId="19">
    <w:abstractNumId w:val="10"/>
  </w:num>
  <w:num w:numId="20">
    <w:abstractNumId w:val="0"/>
  </w:num>
  <w:num w:numId="21">
    <w:abstractNumId w:val="17"/>
  </w:num>
  <w:num w:numId="22">
    <w:abstractNumId w:val="22"/>
  </w:num>
  <w:num w:numId="23">
    <w:abstractNumId w:val="31"/>
  </w:num>
  <w:num w:numId="24">
    <w:abstractNumId w:val="25"/>
  </w:num>
  <w:num w:numId="25">
    <w:abstractNumId w:val="42"/>
  </w:num>
  <w:num w:numId="26">
    <w:abstractNumId w:val="6"/>
  </w:num>
  <w:num w:numId="27">
    <w:abstractNumId w:val="3"/>
  </w:num>
  <w:num w:numId="28">
    <w:abstractNumId w:val="21"/>
  </w:num>
  <w:num w:numId="29">
    <w:abstractNumId w:val="20"/>
  </w:num>
  <w:num w:numId="30">
    <w:abstractNumId w:val="18"/>
  </w:num>
  <w:num w:numId="31">
    <w:abstractNumId w:val="37"/>
  </w:num>
  <w:num w:numId="32">
    <w:abstractNumId w:val="43"/>
  </w:num>
  <w:num w:numId="33">
    <w:abstractNumId w:val="36"/>
  </w:num>
  <w:num w:numId="34">
    <w:abstractNumId w:val="15"/>
  </w:num>
  <w:num w:numId="35">
    <w:abstractNumId w:val="4"/>
  </w:num>
  <w:num w:numId="36">
    <w:abstractNumId w:val="33"/>
  </w:num>
  <w:num w:numId="37">
    <w:abstractNumId w:val="19"/>
  </w:num>
  <w:num w:numId="38">
    <w:abstractNumId w:val="16"/>
  </w:num>
  <w:num w:numId="39">
    <w:abstractNumId w:val="7"/>
  </w:num>
  <w:num w:numId="40">
    <w:abstractNumId w:val="27"/>
  </w:num>
  <w:num w:numId="41">
    <w:abstractNumId w:val="38"/>
  </w:num>
  <w:num w:numId="42">
    <w:abstractNumId w:val="8"/>
  </w:num>
  <w:num w:numId="43">
    <w:abstractNumId w:val="24"/>
  </w:num>
  <w:num w:numId="44">
    <w:abstractNumId w:val="12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9A04CF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icialinformacion@mtps.gob.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ir@centa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cr.gob.s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2136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2017-02-10T22:34:00Z</dcterms:created>
  <dcterms:modified xsi:type="dcterms:W3CDTF">2017-02-10T22:34:00Z</dcterms:modified>
</cp:coreProperties>
</file>