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  <w:bookmarkStart w:id="0" w:name="_GoBack"/>
      <w:bookmarkEnd w:id="0"/>
      <w:r w:rsidRPr="00E036F1">
        <w:rPr>
          <w:rFonts w:cs="Arial"/>
          <w:w w:val="102"/>
          <w:sz w:val="20"/>
          <w:szCs w:val="20"/>
        </w:rPr>
        <w:t xml:space="preserve">Santa Tecla, a </w:t>
      </w:r>
      <w:r w:rsidRPr="00E036F1">
        <w:rPr>
          <w:rFonts w:cs="Arial"/>
          <w:spacing w:val="1"/>
          <w:w w:val="102"/>
          <w:sz w:val="20"/>
          <w:szCs w:val="20"/>
        </w:rPr>
        <w:t>l</w:t>
      </w:r>
      <w:r w:rsidRPr="00E036F1">
        <w:rPr>
          <w:rFonts w:cs="Arial"/>
          <w:w w:val="102"/>
          <w:sz w:val="20"/>
          <w:szCs w:val="20"/>
        </w:rPr>
        <w:t xml:space="preserve">as </w:t>
      </w:r>
      <w:r w:rsidRPr="00E036F1">
        <w:rPr>
          <w:rFonts w:cs="Arial"/>
          <w:color w:val="C00000"/>
          <w:w w:val="102"/>
          <w:sz w:val="20"/>
          <w:szCs w:val="20"/>
        </w:rPr>
        <w:t xml:space="preserve">diez horas con treinta minutos </w:t>
      </w:r>
      <w:r w:rsidRPr="00E036F1">
        <w:rPr>
          <w:rFonts w:cs="Arial"/>
          <w:w w:val="102"/>
          <w:sz w:val="20"/>
          <w:szCs w:val="20"/>
        </w:rPr>
        <w:t>d</w:t>
      </w:r>
      <w:r w:rsidRPr="00E036F1">
        <w:rPr>
          <w:rFonts w:cs="Arial"/>
          <w:spacing w:val="-4"/>
          <w:w w:val="102"/>
          <w:sz w:val="20"/>
          <w:szCs w:val="20"/>
        </w:rPr>
        <w:t>e</w:t>
      </w:r>
      <w:r w:rsidRPr="00E036F1">
        <w:rPr>
          <w:rFonts w:cs="Arial"/>
          <w:w w:val="102"/>
          <w:sz w:val="20"/>
          <w:szCs w:val="20"/>
        </w:rPr>
        <w:t>l d</w:t>
      </w:r>
      <w:r w:rsidRPr="00E036F1">
        <w:rPr>
          <w:rFonts w:cs="Arial"/>
          <w:spacing w:val="1"/>
          <w:w w:val="102"/>
          <w:sz w:val="20"/>
          <w:szCs w:val="20"/>
        </w:rPr>
        <w:t>í</w:t>
      </w:r>
      <w:r w:rsidRPr="00E036F1">
        <w:rPr>
          <w:rFonts w:cs="Arial"/>
          <w:w w:val="102"/>
          <w:sz w:val="20"/>
          <w:szCs w:val="20"/>
        </w:rPr>
        <w:t xml:space="preserve">a </w:t>
      </w:r>
      <w:r w:rsidRPr="00E036F1">
        <w:rPr>
          <w:rFonts w:cs="Arial"/>
          <w:b/>
          <w:color w:val="0000CC"/>
          <w:w w:val="102"/>
          <w:sz w:val="20"/>
          <w:szCs w:val="20"/>
        </w:rPr>
        <w:t>18 de octubre de 2013</w:t>
      </w:r>
      <w:r w:rsidRPr="00E036F1">
        <w:rPr>
          <w:rFonts w:cs="Arial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Pr="00E036F1">
        <w:rPr>
          <w:rFonts w:cs="Arial"/>
          <w:b/>
          <w:color w:val="0000CC"/>
          <w:w w:val="102"/>
          <w:sz w:val="20"/>
          <w:szCs w:val="20"/>
        </w:rPr>
        <w:t>Nº 151-2013</w:t>
      </w:r>
      <w:r w:rsidRPr="00E036F1">
        <w:rPr>
          <w:rFonts w:cs="Arial"/>
          <w:w w:val="102"/>
          <w:sz w:val="20"/>
          <w:szCs w:val="20"/>
        </w:rPr>
        <w:t xml:space="preserve"> sobre:</w:t>
      </w: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  <w:r w:rsidRPr="00E036F1">
        <w:rPr>
          <w:rFonts w:cs="Arial"/>
          <w:noProof/>
          <w:w w:val="102"/>
          <w:sz w:val="20"/>
          <w:szCs w:val="20"/>
        </w:rPr>
        <w:drawing>
          <wp:inline distT="0" distB="0" distL="0" distR="0">
            <wp:extent cx="5596403" cy="561975"/>
            <wp:effectExtent l="19050" t="0" r="4297" b="0"/>
            <wp:docPr id="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989" cy="56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  <w:r w:rsidRPr="00E036F1">
        <w:rPr>
          <w:rFonts w:cs="Arial"/>
          <w:w w:val="102"/>
          <w:sz w:val="20"/>
          <w:szCs w:val="20"/>
        </w:rPr>
        <w:t>Presentada ante la Oficina de Información y Respuesta de esta dependencia por parte de</w:t>
      </w:r>
      <w:r w:rsidRPr="00E036F1">
        <w:rPr>
          <w:rFonts w:cs="Arial"/>
          <w:sz w:val="20"/>
          <w:szCs w:val="20"/>
        </w:rPr>
        <w:t xml:space="preserve">: </w:t>
      </w:r>
      <w:r w:rsidRPr="00E036F1">
        <w:rPr>
          <w:rFonts w:cs="Arial"/>
          <w:b/>
          <w:w w:val="102"/>
          <w:sz w:val="20"/>
          <w:szCs w:val="20"/>
          <w:highlight w:val="black"/>
        </w:rPr>
        <w:t>*******************************</w:t>
      </w:r>
      <w:r w:rsidRPr="00E036F1">
        <w:rPr>
          <w:rFonts w:cs="Arial"/>
          <w:b/>
          <w:color w:val="0000CC"/>
          <w:w w:val="102"/>
          <w:sz w:val="20"/>
          <w:szCs w:val="20"/>
        </w:rPr>
        <w:t xml:space="preserve">, </w:t>
      </w:r>
      <w:r w:rsidRPr="00E036F1">
        <w:rPr>
          <w:rFonts w:cs="Arial"/>
          <w:w w:val="102"/>
          <w:sz w:val="20"/>
          <w:szCs w:val="20"/>
        </w:rPr>
        <w:t>luego de analizado el fondo de lo solicitado y haber revisado el marco jurídico institucional, ha identificado lo siguiente:</w:t>
      </w: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w w:val="102"/>
          <w:sz w:val="20"/>
          <w:szCs w:val="20"/>
        </w:rPr>
      </w:pP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CC"/>
          <w:w w:val="102"/>
          <w:sz w:val="20"/>
          <w:szCs w:val="20"/>
        </w:rPr>
      </w:pPr>
      <w:r w:rsidRPr="00E036F1">
        <w:rPr>
          <w:rFonts w:cs="Arial"/>
          <w:i/>
          <w:sz w:val="20"/>
          <w:szCs w:val="20"/>
        </w:rPr>
        <w:t xml:space="preserve">Con relación a los </w:t>
      </w:r>
      <w:r w:rsidRPr="00E036F1">
        <w:rPr>
          <w:rFonts w:cs="Arial"/>
          <w:b/>
          <w:i/>
          <w:color w:val="0000CC"/>
          <w:w w:val="102"/>
          <w:sz w:val="20"/>
          <w:szCs w:val="20"/>
        </w:rPr>
        <w:t>costos de producción de flores y fresas en Apaneca, forma de plantar y asesoría técnica para el cultivo de flores y fresas en Apaneca</w:t>
      </w:r>
      <w:r w:rsidRPr="00E036F1">
        <w:rPr>
          <w:rFonts w:cs="Arial"/>
          <w:i/>
          <w:sz w:val="20"/>
          <w:szCs w:val="20"/>
        </w:rPr>
        <w:t>,</w:t>
      </w:r>
      <w:r w:rsidRPr="00E036F1">
        <w:rPr>
          <w:rFonts w:cs="Arial"/>
          <w:sz w:val="20"/>
          <w:szCs w:val="20"/>
        </w:rPr>
        <w:t xml:space="preserve"> se </w:t>
      </w:r>
      <w:r w:rsidRPr="00E036F1">
        <w:rPr>
          <w:rFonts w:cs="Arial"/>
          <w:w w:val="102"/>
          <w:sz w:val="20"/>
          <w:szCs w:val="20"/>
        </w:rPr>
        <w:t>analizó el fondo de lo solicitado</w:t>
      </w:r>
      <w:r w:rsidRPr="00E036F1">
        <w:rPr>
          <w:rFonts w:cs="Arial"/>
          <w:sz w:val="20"/>
          <w:szCs w:val="20"/>
        </w:rPr>
        <w:t xml:space="preserve"> realizado una búsqueda de la información en el área</w:t>
      </w:r>
      <w:r w:rsidRPr="00E036F1">
        <w:rPr>
          <w:rFonts w:cs="Arial"/>
          <w:color w:val="0033CC"/>
          <w:sz w:val="20"/>
          <w:szCs w:val="20"/>
          <w:shd w:val="clear" w:color="auto" w:fill="FFFFFF" w:themeFill="background1"/>
        </w:rPr>
        <w:t xml:space="preserve">, </w:t>
      </w:r>
      <w:r w:rsidRPr="00E036F1">
        <w:rPr>
          <w:rFonts w:cs="Arial"/>
          <w:sz w:val="20"/>
          <w:szCs w:val="20"/>
          <w:shd w:val="clear" w:color="auto" w:fill="FFFFFF" w:themeFill="background1"/>
        </w:rPr>
        <w:t xml:space="preserve">la cual no se </w:t>
      </w:r>
      <w:r w:rsidRPr="00E036F1">
        <w:rPr>
          <w:rFonts w:cs="Arial"/>
          <w:sz w:val="20"/>
          <w:szCs w:val="20"/>
        </w:rPr>
        <w:t xml:space="preserve">localiza en nuestros registros, por no contar con la misma, </w:t>
      </w:r>
      <w:r w:rsidRPr="00E036F1">
        <w:rPr>
          <w:rFonts w:cs="Arial"/>
          <w:color w:val="C00000"/>
          <w:sz w:val="20"/>
          <w:szCs w:val="20"/>
        </w:rPr>
        <w:t xml:space="preserve">al no procesarse, registrarse esos datos porque no se realizan estudios sobre lo solicitado en esta institución por el momento. </w:t>
      </w:r>
      <w:r w:rsidRPr="00E036F1">
        <w:rPr>
          <w:rFonts w:cs="Arial"/>
          <w:sz w:val="20"/>
          <w:szCs w:val="20"/>
        </w:rPr>
        <w:t xml:space="preserve">Y considerando que la Ley de Acceso a la Información Pública dispone en el art. 73 que nos encontramos ante un caso de información INEXISTENTE, lo que  impide  brindar lo  requerido  por  el  peticionario, esta dependencia </w:t>
      </w:r>
      <w:r w:rsidRPr="00E036F1">
        <w:rPr>
          <w:rFonts w:cs="Arial"/>
          <w:w w:val="102"/>
          <w:sz w:val="20"/>
          <w:szCs w:val="20"/>
        </w:rPr>
        <w:t>resuelve:</w:t>
      </w:r>
      <w:r w:rsidRPr="00E036F1">
        <w:rPr>
          <w:rFonts w:cs="Arial"/>
          <w:b/>
          <w:i/>
          <w:color w:val="0000CC"/>
          <w:w w:val="102"/>
          <w:sz w:val="20"/>
          <w:szCs w:val="20"/>
        </w:rPr>
        <w:t>denegar la información por inexistente.</w:t>
      </w:r>
    </w:p>
    <w:p w:rsidR="00E036F1" w:rsidRP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w w:val="102"/>
          <w:sz w:val="20"/>
          <w:szCs w:val="20"/>
        </w:rPr>
      </w:pPr>
    </w:p>
    <w:p w:rsidR="00E036F1" w:rsidRPr="00E036F1" w:rsidRDefault="00E036F1" w:rsidP="00E036F1">
      <w:pPr>
        <w:spacing w:after="0" w:line="240" w:lineRule="auto"/>
        <w:jc w:val="both"/>
        <w:rPr>
          <w:rFonts w:cs="Arial"/>
          <w:w w:val="102"/>
          <w:sz w:val="20"/>
          <w:szCs w:val="20"/>
        </w:rPr>
      </w:pPr>
      <w:r w:rsidRPr="00E036F1">
        <w:rPr>
          <w:rFonts w:cs="Arial"/>
          <w:color w:val="C00000"/>
          <w:w w:val="102"/>
          <w:sz w:val="20"/>
          <w:szCs w:val="20"/>
          <w:lang w:val="es-ES"/>
        </w:rPr>
        <w:t>No obstante se remiten datos de 2 productores que están en proceso de ser beneficiarios de un Proyecto de éste Ministerio, asimismo, en</w:t>
      </w:r>
      <w:r w:rsidRPr="00E036F1">
        <w:rPr>
          <w:rFonts w:cs="Arial"/>
          <w:color w:val="C00000"/>
          <w:w w:val="102"/>
          <w:sz w:val="20"/>
          <w:szCs w:val="20"/>
        </w:rPr>
        <w:t xml:space="preserve"> el marco jurídico institucional se ha identificado también</w:t>
      </w:r>
      <w:r w:rsidRPr="00E036F1">
        <w:rPr>
          <w:rFonts w:cs="Arial"/>
          <w:w w:val="102"/>
          <w:sz w:val="20"/>
          <w:szCs w:val="20"/>
        </w:rPr>
        <w:t xml:space="preserve"> que con base a lo establecido en los arts. 65, 68 inc. 2o. y 72 de la Ley de Acceso a la Información Pública y el art. 49 del Reglamento de dicha Ley que la información solicitada podrá ser dirigida a la siguiente instituciónpara conocer solicitudes de dicha índole:</w:t>
      </w: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color w:val="000099"/>
          <w:w w:val="102"/>
          <w:sz w:val="20"/>
          <w:szCs w:val="20"/>
        </w:rPr>
      </w:pPr>
    </w:p>
    <w:p w:rsidR="00E036F1" w:rsidRPr="00E036F1" w:rsidRDefault="00E036F1" w:rsidP="00E036F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 w:rsidRPr="00E036F1">
        <w:rPr>
          <w:rFonts w:cs="Arial"/>
          <w:b/>
          <w:color w:val="000099"/>
          <w:w w:val="102"/>
          <w:sz w:val="20"/>
          <w:szCs w:val="20"/>
        </w:rPr>
        <w:t>Centro Nacional de Tecnología Agropecuaria y Forestal “Enrique Álvarez Córdova”- CENTA,</w:t>
      </w:r>
      <w:r w:rsidRPr="00E036F1">
        <w:rPr>
          <w:rFonts w:cs="Arial"/>
          <w:w w:val="102"/>
          <w:sz w:val="20"/>
          <w:szCs w:val="20"/>
        </w:rPr>
        <w:t xml:space="preserve"> la dirección de la </w:t>
      </w:r>
      <w:r w:rsidRPr="00E036F1">
        <w:rPr>
          <w:rFonts w:cs="Arial"/>
          <w:b/>
          <w:color w:val="000099"/>
          <w:w w:val="102"/>
          <w:sz w:val="20"/>
          <w:szCs w:val="20"/>
        </w:rPr>
        <w:t>Oficina de Información y Respuesta</w:t>
      </w:r>
      <w:r w:rsidRPr="00E036F1">
        <w:rPr>
          <w:rFonts w:cs="Arial"/>
          <w:w w:val="102"/>
          <w:sz w:val="20"/>
          <w:szCs w:val="20"/>
        </w:rPr>
        <w:t xml:space="preserve"> a la que debe dirigirse es </w:t>
      </w:r>
      <w:r w:rsidRPr="00E036F1">
        <w:rPr>
          <w:rFonts w:cs="Arial"/>
          <w:i/>
          <w:color w:val="000000"/>
          <w:sz w:val="20"/>
          <w:szCs w:val="20"/>
        </w:rPr>
        <w:t>Km 33 y medio carretera a Santa Ana, Ciudad Arce, La Libertad</w:t>
      </w:r>
      <w:r w:rsidRPr="00E036F1">
        <w:rPr>
          <w:rFonts w:cs="Arial"/>
          <w:w w:val="102"/>
          <w:sz w:val="20"/>
          <w:szCs w:val="20"/>
        </w:rPr>
        <w:t xml:space="preserve">. Puede contactar a la Oficial de Información </w:t>
      </w:r>
      <w:r w:rsidRPr="00E036F1">
        <w:rPr>
          <w:rFonts w:cs="Arial"/>
          <w:b/>
          <w:color w:val="000099"/>
          <w:w w:val="102"/>
          <w:sz w:val="20"/>
          <w:szCs w:val="20"/>
        </w:rPr>
        <w:t>Ing. Silvia Margoth Mejía</w:t>
      </w:r>
      <w:r w:rsidRPr="00E036F1">
        <w:rPr>
          <w:rFonts w:cs="Arial"/>
          <w:w w:val="102"/>
          <w:sz w:val="20"/>
          <w:szCs w:val="20"/>
        </w:rPr>
        <w:t xml:space="preserve"> al teléfono </w:t>
      </w:r>
      <w:r w:rsidRPr="00E036F1">
        <w:rPr>
          <w:rFonts w:cs="Arial"/>
          <w:b/>
          <w:color w:val="000099"/>
          <w:w w:val="102"/>
          <w:sz w:val="20"/>
          <w:szCs w:val="20"/>
        </w:rPr>
        <w:t xml:space="preserve">2316-4603 y 2302-0291 </w:t>
      </w:r>
      <w:r w:rsidRPr="00E036F1">
        <w:rPr>
          <w:rFonts w:cs="Arial"/>
          <w:w w:val="102"/>
          <w:sz w:val="20"/>
          <w:szCs w:val="20"/>
        </w:rPr>
        <w:t>o al correo electrónico</w:t>
      </w:r>
      <w:r w:rsidRPr="00E036F1">
        <w:rPr>
          <w:rFonts w:cs="Arial"/>
          <w:b/>
          <w:color w:val="000099"/>
          <w:w w:val="102"/>
          <w:sz w:val="20"/>
          <w:szCs w:val="20"/>
        </w:rPr>
        <w:t>oir@centa.gob.sv</w:t>
      </w:r>
      <w:r w:rsidRPr="00E036F1">
        <w:rPr>
          <w:rFonts w:cs="Arial"/>
          <w:color w:val="000000"/>
          <w:sz w:val="20"/>
          <w:szCs w:val="20"/>
        </w:rPr>
        <w:t>.</w:t>
      </w: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036F1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036F1" w:rsidRPr="005477F6" w:rsidRDefault="00E036F1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09B" w:rsidRDefault="006C209B" w:rsidP="00823710">
      <w:pPr>
        <w:spacing w:after="0" w:line="240" w:lineRule="auto"/>
      </w:pPr>
      <w:r>
        <w:separator/>
      </w:r>
    </w:p>
  </w:endnote>
  <w:endnote w:type="continuationSeparator" w:id="1">
    <w:p w:rsidR="006C209B" w:rsidRDefault="006C209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09B" w:rsidRDefault="006C209B" w:rsidP="00823710">
      <w:pPr>
        <w:spacing w:after="0" w:line="240" w:lineRule="auto"/>
      </w:pPr>
      <w:r>
        <w:separator/>
      </w:r>
    </w:p>
  </w:footnote>
  <w:footnote w:type="continuationSeparator" w:id="1">
    <w:p w:rsidR="006C209B" w:rsidRDefault="006C209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6"/>
  </w:num>
  <w:num w:numId="4">
    <w:abstractNumId w:val="27"/>
  </w:num>
  <w:num w:numId="5">
    <w:abstractNumId w:val="23"/>
  </w:num>
  <w:num w:numId="6">
    <w:abstractNumId w:val="1"/>
  </w:num>
  <w:num w:numId="7">
    <w:abstractNumId w:val="31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8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29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5"/>
  </w:num>
  <w:num w:numId="32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209B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2017-02-10T21:50:00Z</dcterms:created>
  <dcterms:modified xsi:type="dcterms:W3CDTF">2017-02-10T21:50:00Z</dcterms:modified>
</cp:coreProperties>
</file>