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6B" w:rsidRDefault="00E3766B" w:rsidP="00E3766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CA0975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  <w:r w:rsidR="00A05D71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N</w:t>
      </w:r>
      <w:r w:rsidR="00640AA6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° </w:t>
      </w:r>
      <w:r w:rsidR="00AD458D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2</w:t>
      </w:r>
      <w:r w:rsidR="003A104C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9</w:t>
      </w:r>
      <w:r w:rsidR="00BE1F5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8</w:t>
      </w:r>
      <w:r w:rsidR="0065633F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-2016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8B44FD" w:rsidRDefault="00714AA6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B44FD">
        <w:rPr>
          <w:rFonts w:asciiTheme="minorHAnsi" w:eastAsia="Arial Unicode MS" w:hAnsiTheme="minorHAnsi" w:cs="Arial Unicode MS"/>
        </w:rPr>
        <w:t xml:space="preserve">Santa Tecla, </w:t>
      </w:r>
      <w:r w:rsidR="008B44FD">
        <w:rPr>
          <w:rFonts w:asciiTheme="minorHAnsi" w:eastAsia="Arial Unicode MS" w:hAnsiTheme="minorHAnsi" w:cs="Arial Unicode MS"/>
        </w:rPr>
        <w:t>d</w:t>
      </w:r>
      <w:r w:rsidR="00B70104" w:rsidRPr="008B44FD">
        <w:rPr>
          <w:rFonts w:asciiTheme="minorHAnsi" w:eastAsia="Arial Unicode MS" w:hAnsiTheme="minorHAnsi" w:cs="Arial Unicode MS"/>
        </w:rPr>
        <w:t xml:space="preserve">epartamento de La Libertad </w:t>
      </w:r>
      <w:r w:rsidRPr="008B44FD">
        <w:rPr>
          <w:rFonts w:asciiTheme="minorHAnsi" w:eastAsia="Arial Unicode MS" w:hAnsiTheme="minorHAnsi" w:cs="Arial Unicode MS"/>
        </w:rPr>
        <w:t>a las</w:t>
      </w:r>
      <w:r w:rsidR="00C244D4" w:rsidRPr="008B44FD">
        <w:rPr>
          <w:rFonts w:asciiTheme="minorHAnsi" w:eastAsia="Arial Unicode MS" w:hAnsiTheme="minorHAnsi" w:cs="Arial Unicode MS"/>
        </w:rPr>
        <w:t xml:space="preserve"> </w:t>
      </w:r>
      <w:r w:rsidR="008B44FD" w:rsidRPr="008B44FD">
        <w:rPr>
          <w:rFonts w:asciiTheme="minorHAnsi" w:eastAsia="Arial Unicode MS" w:hAnsiTheme="minorHAnsi" w:cs="Arial Unicode MS"/>
          <w:color w:val="000099"/>
        </w:rPr>
        <w:t>dieciséis</w:t>
      </w:r>
      <w:r w:rsidR="00BE1F55" w:rsidRPr="008B44FD">
        <w:rPr>
          <w:rFonts w:asciiTheme="minorHAnsi" w:eastAsia="Arial Unicode MS" w:hAnsiTheme="minorHAnsi" w:cs="Arial Unicode MS"/>
          <w:color w:val="000099"/>
        </w:rPr>
        <w:t xml:space="preserve"> horas </w:t>
      </w:r>
      <w:r w:rsidR="00BE1F55" w:rsidRPr="008B44FD">
        <w:rPr>
          <w:rFonts w:asciiTheme="minorHAnsi" w:eastAsia="Arial Unicode MS" w:hAnsiTheme="minorHAnsi" w:cs="Arial Unicode MS"/>
        </w:rPr>
        <w:t>de</w:t>
      </w:r>
      <w:r w:rsidRPr="008B44FD">
        <w:rPr>
          <w:rFonts w:asciiTheme="minorHAnsi" w:eastAsia="Arial Unicode MS" w:hAnsiTheme="minorHAnsi" w:cs="Arial Unicode MS"/>
        </w:rPr>
        <w:t xml:space="preserve">l día </w:t>
      </w:r>
      <w:r w:rsidR="008B44FD" w:rsidRPr="008B44FD">
        <w:rPr>
          <w:rFonts w:asciiTheme="minorHAnsi" w:eastAsia="Arial Unicode MS" w:hAnsiTheme="minorHAnsi" w:cs="Arial Unicode MS"/>
          <w:color w:val="000099"/>
        </w:rPr>
        <w:t>ocho</w:t>
      </w:r>
      <w:r w:rsidR="00BE1F55" w:rsidRPr="008B44FD">
        <w:rPr>
          <w:rFonts w:asciiTheme="minorHAnsi" w:eastAsia="Arial Unicode MS" w:hAnsiTheme="minorHAnsi" w:cs="Arial Unicode MS"/>
          <w:color w:val="000099"/>
        </w:rPr>
        <w:t xml:space="preserve"> </w:t>
      </w:r>
      <w:r w:rsidR="00AD458D" w:rsidRPr="008B44FD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B44FD" w:rsidRPr="008B44FD">
        <w:rPr>
          <w:rFonts w:asciiTheme="minorHAnsi" w:eastAsia="Arial Unicode MS" w:hAnsiTheme="minorHAnsi" w:cs="Arial Unicode MS"/>
          <w:color w:val="000099"/>
        </w:rPr>
        <w:t>diciembre</w:t>
      </w:r>
      <w:r w:rsidR="00AD458D" w:rsidRPr="008B44F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</w:rPr>
        <w:t>de 201</w:t>
      </w:r>
      <w:r w:rsidR="00CA0975" w:rsidRPr="008B44FD">
        <w:rPr>
          <w:rFonts w:asciiTheme="minorHAnsi" w:eastAsia="Arial Unicode MS" w:hAnsiTheme="minorHAnsi" w:cs="Arial Unicode MS"/>
        </w:rPr>
        <w:t>6</w:t>
      </w:r>
      <w:r w:rsidRPr="008B44F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8B44FD">
        <w:rPr>
          <w:rFonts w:asciiTheme="minorHAnsi" w:eastAsia="Arial Unicode MS" w:hAnsiTheme="minorHAnsi" w:cs="Arial Unicode MS"/>
        </w:rPr>
        <w:t xml:space="preserve"> </w:t>
      </w:r>
      <w:r w:rsidRPr="008B44FD">
        <w:rPr>
          <w:rFonts w:asciiTheme="minorHAnsi" w:eastAsia="Arial Unicode MS" w:hAnsiTheme="minorHAnsi" w:cs="Arial Unicode MS"/>
          <w:b/>
          <w:color w:val="000099"/>
        </w:rPr>
        <w:t>N</w:t>
      </w:r>
      <w:r w:rsidR="00AD458D" w:rsidRPr="008B44FD">
        <w:rPr>
          <w:rFonts w:asciiTheme="minorHAnsi" w:eastAsia="Arial Unicode MS" w:hAnsiTheme="minorHAnsi" w:cs="Arial Unicode MS"/>
          <w:b/>
          <w:color w:val="000099"/>
        </w:rPr>
        <w:t>°</w:t>
      </w:r>
      <w:r w:rsidR="00883CEF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D458D" w:rsidRPr="008B44FD">
        <w:rPr>
          <w:rFonts w:asciiTheme="minorHAnsi" w:eastAsia="Arial Unicode MS" w:hAnsiTheme="minorHAnsi" w:cs="Arial Unicode MS"/>
          <w:b/>
          <w:color w:val="000099"/>
        </w:rPr>
        <w:t>2</w:t>
      </w:r>
      <w:r w:rsidR="003A104C" w:rsidRPr="008B44FD">
        <w:rPr>
          <w:rFonts w:asciiTheme="minorHAnsi" w:eastAsia="Arial Unicode MS" w:hAnsiTheme="minorHAnsi" w:cs="Arial Unicode MS"/>
          <w:b/>
          <w:color w:val="000099"/>
        </w:rPr>
        <w:t>9</w:t>
      </w:r>
      <w:r w:rsidR="00BE1F55" w:rsidRPr="008B44FD">
        <w:rPr>
          <w:rFonts w:asciiTheme="minorHAnsi" w:eastAsia="Arial Unicode MS" w:hAnsiTheme="minorHAnsi" w:cs="Arial Unicode MS"/>
          <w:b/>
          <w:color w:val="000099"/>
        </w:rPr>
        <w:t>8</w:t>
      </w:r>
      <w:r w:rsidR="00E757D8" w:rsidRPr="008B44F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</w:rPr>
        <w:t>sobre:</w:t>
      </w:r>
    </w:p>
    <w:p w:rsidR="008B44FD" w:rsidRPr="00983906" w:rsidRDefault="008B44FD" w:rsidP="008B44FD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2"/>
          <w:szCs w:val="24"/>
          <w:lang w:eastAsia="en-US"/>
        </w:rPr>
      </w:pPr>
    </w:p>
    <w:p w:rsidR="008B44FD" w:rsidRPr="008B44FD" w:rsidRDefault="008B44F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B44FD">
        <w:rPr>
          <w:rFonts w:asciiTheme="minorHAnsi" w:eastAsia="Arial Unicode MS" w:hAnsiTheme="minorHAnsi" w:cs="Arial Unicode MS"/>
          <w:color w:val="000099"/>
        </w:rPr>
        <w:t>1. Copia</w:t>
      </w:r>
      <w:r w:rsidR="00965158">
        <w:rPr>
          <w:rFonts w:asciiTheme="minorHAnsi" w:eastAsia="Arial Unicode MS" w:hAnsiTheme="minorHAnsi" w:cs="Arial Unicode MS"/>
          <w:color w:val="000099"/>
        </w:rPr>
        <w:t>s</w:t>
      </w:r>
      <w:r w:rsidRPr="008B44FD"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  <w:color w:val="000099"/>
        </w:rPr>
        <w:t>certificada</w:t>
      </w:r>
      <w:r w:rsidR="00965158">
        <w:rPr>
          <w:rFonts w:asciiTheme="minorHAnsi" w:eastAsia="Arial Unicode MS" w:hAnsiTheme="minorHAnsi" w:cs="Arial Unicode MS"/>
          <w:color w:val="000099"/>
        </w:rPr>
        <w:t>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  <w:color w:val="000099"/>
        </w:rPr>
        <w:t>de las renuncia</w:t>
      </w:r>
      <w:r w:rsidR="00883CEF">
        <w:rPr>
          <w:rFonts w:asciiTheme="minorHAnsi" w:eastAsia="Arial Unicode MS" w:hAnsiTheme="minorHAnsi" w:cs="Arial Unicode MS"/>
          <w:color w:val="000099"/>
        </w:rPr>
        <w:t>s</w:t>
      </w:r>
      <w:r w:rsidRPr="008B44FD">
        <w:rPr>
          <w:rFonts w:asciiTheme="minorHAnsi" w:eastAsia="Arial Unicode MS" w:hAnsiTheme="minorHAnsi" w:cs="Arial Unicode MS"/>
          <w:color w:val="000099"/>
        </w:rPr>
        <w:t xml:space="preserve"> presentadas como regente por el Señor </w:t>
      </w:r>
      <w:proofErr w:type="spellStart"/>
      <w:r w:rsidR="00615D6B" w:rsidRPr="00615D6B">
        <w:rPr>
          <w:rFonts w:asciiTheme="minorHAnsi" w:eastAsia="Arial Unicode MS" w:hAnsiTheme="minorHAnsi" w:cs="Arial Unicode MS"/>
          <w:color w:val="000099"/>
          <w:highlight w:val="darkBlue"/>
        </w:rPr>
        <w:t>xxxxxxxxxx</w:t>
      </w:r>
      <w:proofErr w:type="spellEnd"/>
      <w:r w:rsidRPr="00615D6B">
        <w:rPr>
          <w:rFonts w:asciiTheme="minorHAnsi" w:eastAsia="Arial Unicode MS" w:hAnsiTheme="minorHAnsi" w:cs="Arial Unicode MS"/>
          <w:color w:val="000099"/>
          <w:highlight w:val="darkBlue"/>
        </w:rPr>
        <w:t>,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  <w:color w:val="000099"/>
        </w:rPr>
        <w:t>ante la oficina de Registro y Fiscalización Veterinaria de la Dirección General de Ganadería del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  <w:color w:val="000099"/>
        </w:rPr>
        <w:t>MAG, en marzo de 2013, en las cuales se expresaba que dejaba de fungir como regente de los</w:t>
      </w:r>
      <w:r>
        <w:rPr>
          <w:rFonts w:asciiTheme="minorHAnsi" w:eastAsia="Arial Unicode MS" w:hAnsiTheme="minorHAnsi" w:cs="Arial Unicode MS"/>
          <w:color w:val="000099"/>
        </w:rPr>
        <w:t xml:space="preserve"> e</w:t>
      </w:r>
      <w:r w:rsidRPr="008B44FD">
        <w:rPr>
          <w:rFonts w:asciiTheme="minorHAnsi" w:eastAsia="Arial Unicode MS" w:hAnsiTheme="minorHAnsi" w:cs="Arial Unicode MS"/>
          <w:color w:val="000099"/>
        </w:rPr>
        <w:t>stablecimientos a) Máxima Tecnología y b) Carlos Samayoa López.</w:t>
      </w:r>
    </w:p>
    <w:p w:rsidR="008B44FD" w:rsidRPr="00983906" w:rsidRDefault="008B44F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8B44FD" w:rsidRPr="008B44FD" w:rsidRDefault="008B44F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B44FD">
        <w:rPr>
          <w:rFonts w:asciiTheme="minorHAnsi" w:eastAsia="Arial Unicode MS" w:hAnsiTheme="minorHAnsi" w:cs="Arial Unicode MS"/>
          <w:color w:val="000099"/>
        </w:rPr>
        <w:t>2. Copia</w:t>
      </w:r>
      <w:r>
        <w:rPr>
          <w:rFonts w:asciiTheme="minorHAnsi" w:eastAsia="Arial Unicode MS" w:hAnsiTheme="minorHAnsi" w:cs="Arial Unicode MS"/>
          <w:color w:val="000099"/>
        </w:rPr>
        <w:t xml:space="preserve"> certificada</w:t>
      </w:r>
      <w:r w:rsidRPr="008B44FD">
        <w:rPr>
          <w:rFonts w:asciiTheme="minorHAnsi" w:eastAsia="Arial Unicode MS" w:hAnsiTheme="minorHAnsi" w:cs="Arial Unicode MS"/>
          <w:color w:val="000099"/>
        </w:rPr>
        <w:t xml:space="preserve"> de los productos registrados y el número de importaciones realizadas de los mismos, por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  <w:color w:val="000099"/>
        </w:rPr>
        <w:t>cada una de los establecimientos antes mencionados, durante el periodo comprendido de 2012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8B44FD">
        <w:rPr>
          <w:rFonts w:asciiTheme="minorHAnsi" w:eastAsia="Arial Unicode MS" w:hAnsiTheme="minorHAnsi" w:cs="Arial Unicode MS"/>
          <w:color w:val="000099"/>
        </w:rPr>
        <w:t>al 2013.</w:t>
      </w:r>
    </w:p>
    <w:p w:rsidR="00602F43" w:rsidRPr="00983906" w:rsidRDefault="00602F43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8B44FD" w:rsidRDefault="00BE0B9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B44FD">
        <w:rPr>
          <w:rFonts w:asciiTheme="minorHAnsi" w:eastAsia="Arial Unicode MS" w:hAnsiTheme="minorHAnsi" w:cs="Arial Unicode MS"/>
        </w:rPr>
        <w:t>P</w:t>
      </w:r>
      <w:r w:rsidR="00EE4B7D" w:rsidRPr="008B44FD">
        <w:rPr>
          <w:rFonts w:asciiTheme="minorHAnsi" w:eastAsia="Arial Unicode MS" w:hAnsiTheme="minorHAnsi" w:cs="Arial Unicode MS"/>
        </w:rPr>
        <w:t xml:space="preserve">resentada ante la Oficina de Información y Respuesta </w:t>
      </w:r>
      <w:r w:rsidR="00FE751A" w:rsidRPr="008B44FD">
        <w:rPr>
          <w:rFonts w:asciiTheme="minorHAnsi" w:eastAsia="Arial Unicode MS" w:hAnsiTheme="minorHAnsi" w:cs="Arial Unicode MS"/>
        </w:rPr>
        <w:t xml:space="preserve">de esta dependencia por parte </w:t>
      </w:r>
      <w:proofErr w:type="spellStart"/>
      <w:r w:rsidR="00E3766B" w:rsidRPr="00E3766B">
        <w:rPr>
          <w:rFonts w:asciiTheme="minorHAnsi" w:eastAsia="Arial Unicode MS" w:hAnsiTheme="minorHAnsi" w:cs="Arial Unicode MS"/>
          <w:b/>
          <w:color w:val="0000CC"/>
          <w:highlight w:val="darkBlue"/>
        </w:rPr>
        <w:t>xxxxxxxxxxxxxxxxxx</w:t>
      </w:r>
      <w:proofErr w:type="spellEnd"/>
      <w:r w:rsidR="00AD458D" w:rsidRPr="008B44FD">
        <w:rPr>
          <w:rFonts w:asciiTheme="minorHAnsi" w:eastAsia="Arial Unicode MS" w:hAnsiTheme="minorHAnsi" w:cs="Arial Unicode MS"/>
        </w:rPr>
        <w:t xml:space="preserve">, </w:t>
      </w:r>
      <w:r w:rsidR="008B44FD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8B44FD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8B44FD" w:rsidRPr="00326E1B">
        <w:rPr>
          <w:rFonts w:asciiTheme="minorHAnsi" w:eastAsia="Arial Unicode MS" w:hAnsiTheme="minorHAnsi" w:cs="Arial Unicode MS"/>
        </w:rPr>
        <w:t xml:space="preserve">: </w:t>
      </w:r>
    </w:p>
    <w:p w:rsidR="008B44FD" w:rsidRPr="00983906" w:rsidRDefault="008B44F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8B44FD" w:rsidRDefault="008B44FD" w:rsidP="008B44FD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 INFORMACIÓN SOLICITADA</w:t>
      </w:r>
    </w:p>
    <w:p w:rsidR="008B44FD" w:rsidRPr="007B46B6" w:rsidRDefault="008B44FD" w:rsidP="008B44FD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7B4E72" w:rsidRDefault="008B44FD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>
        <w:rPr>
          <w:rFonts w:asciiTheme="minorHAnsi" w:eastAsia="Arial Unicode MS" w:hAnsiTheme="minorHAnsi" w:cs="Arial Unicode MS"/>
        </w:rPr>
        <w:t>e adjunta</w:t>
      </w:r>
      <w:r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a la presente resolución </w:t>
      </w:r>
      <w:r w:rsidR="007B4E72">
        <w:rPr>
          <w:rFonts w:asciiTheme="minorHAnsi" w:eastAsia="Arial Unicode MS" w:hAnsiTheme="minorHAnsi" w:cs="Arial Unicode MS"/>
        </w:rPr>
        <w:t>las copias certificadas de las dos renuncias a las que hace referencia en su petición de información.</w:t>
      </w:r>
    </w:p>
    <w:p w:rsidR="008B44FD" w:rsidRPr="00983906" w:rsidRDefault="007B4E72" w:rsidP="008B44F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8B44FD" w:rsidRDefault="008B44FD" w:rsidP="008B44F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="Arial Unicode MS"/>
        </w:rPr>
        <w:t xml:space="preserve">La información anterior </w:t>
      </w:r>
      <w:r w:rsidRPr="002A1847">
        <w:rPr>
          <w:rFonts w:asciiTheme="minorHAnsi" w:eastAsia="Arial Unicode MS" w:hAnsiTheme="minorHAnsi" w:cs="Arial Unicode MS"/>
          <w:b/>
          <w:i/>
          <w:color w:val="000099"/>
        </w:rPr>
        <w:t>se entregará solamente a su persona</w:t>
      </w:r>
      <w:r>
        <w:rPr>
          <w:rFonts w:asciiTheme="minorHAnsi" w:eastAsia="Arial Unicode MS" w:hAnsiTheme="minorHAnsi" w:cs="Arial Unicode MS"/>
        </w:rPr>
        <w:t xml:space="preserve">, porque lo </w:t>
      </w:r>
      <w:r>
        <w:rPr>
          <w:rFonts w:asciiTheme="minorHAnsi" w:hAnsiTheme="minorHAnsi" w:cstheme="minorHAnsi"/>
        </w:rPr>
        <w:t>solicitado</w:t>
      </w:r>
      <w:r w:rsidRPr="00D327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está</w:t>
      </w:r>
      <w:r w:rsidRPr="00425ACA">
        <w:rPr>
          <w:rFonts w:asciiTheme="minorHAnsi" w:hAnsiTheme="minorHAnsi" w:cstheme="minorHAnsi"/>
        </w:rPr>
        <w:t xml:space="preserve"> contemplado entre las excepciones que cita el art. 24 de la Ley de Acceso a la Información Pública y en el art. 39 del Reglamento de la misma Ley como </w:t>
      </w:r>
      <w:r w:rsidRPr="006A3C17">
        <w:rPr>
          <w:rFonts w:asciiTheme="minorHAnsi" w:hAnsiTheme="minorHAnsi" w:cstheme="minorHAnsi"/>
          <w:b/>
          <w:i/>
          <w:color w:val="000099"/>
        </w:rPr>
        <w:t>información confidencial</w:t>
      </w:r>
      <w:r w:rsidRPr="00425ACA">
        <w:rPr>
          <w:rFonts w:asciiTheme="minorHAnsi" w:hAnsiTheme="minorHAnsi" w:cstheme="minorHAnsi"/>
        </w:rPr>
        <w:t>, y que dicha información tendrá ese carácter por tiempo indefinido. Por tanto, con base al</w:t>
      </w:r>
      <w:r>
        <w:rPr>
          <w:rFonts w:asciiTheme="minorHAnsi" w:hAnsiTheme="minorHAnsi" w:cstheme="minorHAnsi"/>
        </w:rPr>
        <w:t xml:space="preserve"> </w:t>
      </w:r>
      <w:r w:rsidRPr="00425ACA">
        <w:rPr>
          <w:rFonts w:asciiTheme="minorHAnsi" w:hAnsiTheme="minorHAnsi" w:cstheme="minorHAnsi"/>
        </w:rPr>
        <w:t>art. 25</w:t>
      </w:r>
      <w:r>
        <w:rPr>
          <w:rFonts w:asciiTheme="minorHAnsi" w:hAnsiTheme="minorHAnsi" w:cstheme="minorHAnsi"/>
        </w:rPr>
        <w:t xml:space="preserve"> d</w:t>
      </w:r>
      <w:r w:rsidRPr="00425ACA">
        <w:rPr>
          <w:rFonts w:asciiTheme="minorHAnsi" w:hAnsiTheme="minorHAnsi" w:cstheme="minorHAnsi"/>
        </w:rPr>
        <w:t xml:space="preserve">e la Ley, este Ministerio </w:t>
      </w:r>
      <w:r>
        <w:rPr>
          <w:rFonts w:asciiTheme="minorHAnsi" w:hAnsiTheme="minorHAnsi" w:cstheme="minorHAnsi"/>
        </w:rPr>
        <w:t>podrá entregarla a un tercero siempre que medie el consentimiento expreso y libre del titular de la misma a través de un poder general administrativo con cláusula especial, de lo contrario su persona deberá presentarse a retirar los datos solicitados.</w:t>
      </w:r>
      <w:r w:rsidRPr="00425ACA">
        <w:rPr>
          <w:rFonts w:asciiTheme="minorHAnsi" w:hAnsiTheme="minorHAnsi" w:cstheme="minorHAnsi"/>
        </w:rPr>
        <w:t xml:space="preserve"> </w:t>
      </w:r>
    </w:p>
    <w:p w:rsidR="008B44FD" w:rsidRDefault="008B44F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99"/>
          <w:sz w:val="23"/>
          <w:szCs w:val="23"/>
        </w:rPr>
      </w:pPr>
    </w:p>
    <w:p w:rsidR="00983906" w:rsidRPr="007B4E72" w:rsidRDefault="00983906" w:rsidP="00983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requerimiento sobre: </w:t>
      </w:r>
      <w:r w:rsidRPr="000407F4">
        <w:rPr>
          <w:rFonts w:asciiTheme="minorHAnsi" w:eastAsia="Arial Unicode MS" w:hAnsiTheme="minorHAnsi" w:cs="Arial Unicode MS"/>
          <w:i/>
          <w:color w:val="000099"/>
        </w:rPr>
        <w:t>Copia certificada de los productos registrados y el número de importaciones realizadas de los mismos, por cada una de los establecimientos antes mencionados, durante el periodo comprendido de 2012 al 2013</w:t>
      </w:r>
      <w:r>
        <w:rPr>
          <w:rFonts w:asciiTheme="minorHAnsi" w:eastAsia="Arial Unicode MS" w:hAnsiTheme="minorHAnsi" w:cs="Arial Unicode MS"/>
          <w:color w:val="000099"/>
        </w:rPr>
        <w:t xml:space="preserve">; </w:t>
      </w:r>
      <w:r>
        <w:rPr>
          <w:rFonts w:asciiTheme="minorHAnsi" w:hAnsiTheme="minorHAnsi" w:cstheme="minorHAnsi"/>
        </w:rPr>
        <w:t>al</w:t>
      </w:r>
      <w:r w:rsidRPr="007B4E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respecto se </w:t>
      </w:r>
      <w:r w:rsidRPr="007B4E72">
        <w:rPr>
          <w:rFonts w:asciiTheme="minorHAnsi" w:hAnsiTheme="minorHAnsi" w:cstheme="minorHAnsi"/>
        </w:rPr>
        <w:t>analizó el fondo de lo solicitado determinando con base al Art. 74, literal “b” que la misma ya está disponible al público. Por lo tanto resuelve:</w:t>
      </w:r>
    </w:p>
    <w:p w:rsidR="00C85863" w:rsidRPr="008B44FD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CC"/>
          <w:w w:val="102"/>
          <w:sz w:val="16"/>
          <w:szCs w:val="23"/>
          <w:highlight w:val="yellow"/>
        </w:rPr>
      </w:pPr>
      <w:bookmarkStart w:id="0" w:name="_GoBack"/>
      <w:bookmarkEnd w:id="0"/>
    </w:p>
    <w:p w:rsidR="00C85863" w:rsidRPr="00983906" w:rsidRDefault="00C85863" w:rsidP="000407F4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3"/>
        </w:rPr>
      </w:pPr>
      <w:r w:rsidRPr="00983906">
        <w:rPr>
          <w:rFonts w:eastAsia="Arial Unicode MS" w:cs="Calibri"/>
          <w:b/>
          <w:color w:val="000099"/>
          <w:sz w:val="24"/>
          <w:szCs w:val="23"/>
        </w:rPr>
        <w:t>ORIENTAR LA UBICACIÓN DE LA INFORMACIÓN SOLICITADA:</w:t>
      </w:r>
    </w:p>
    <w:p w:rsidR="009207F4" w:rsidRDefault="0046324D" w:rsidP="000407F4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0407F4">
        <w:rPr>
          <w:rFonts w:asciiTheme="minorHAnsi" w:hAnsiTheme="minorHAnsi" w:cstheme="minorHAnsi"/>
        </w:rPr>
        <w:t xml:space="preserve">La información </w:t>
      </w:r>
      <w:r w:rsidR="00C85863" w:rsidRPr="000407F4">
        <w:rPr>
          <w:rFonts w:asciiTheme="minorHAnsi" w:hAnsiTheme="minorHAnsi" w:cstheme="minorHAnsi"/>
        </w:rPr>
        <w:t xml:space="preserve">puede adquirirse en la </w:t>
      </w:r>
      <w:r w:rsidR="00C85863" w:rsidRPr="000407F4">
        <w:rPr>
          <w:rFonts w:asciiTheme="minorHAnsi" w:hAnsiTheme="minorHAnsi" w:cstheme="minorHAnsi"/>
          <w:color w:val="C00000"/>
        </w:rPr>
        <w:t>D</w:t>
      </w:r>
      <w:r w:rsidR="00F95A60" w:rsidRPr="000407F4">
        <w:rPr>
          <w:rFonts w:asciiTheme="minorHAnsi" w:hAnsiTheme="minorHAnsi" w:cstheme="minorHAnsi"/>
          <w:color w:val="C00000"/>
        </w:rPr>
        <w:t>i</w:t>
      </w:r>
      <w:r w:rsidR="00C85863" w:rsidRPr="000407F4">
        <w:rPr>
          <w:rFonts w:asciiTheme="minorHAnsi" w:hAnsiTheme="minorHAnsi" w:cstheme="minorHAnsi"/>
          <w:color w:val="C00000"/>
        </w:rPr>
        <w:t xml:space="preserve">visión de </w:t>
      </w:r>
      <w:r w:rsidR="0037198F" w:rsidRPr="000407F4">
        <w:rPr>
          <w:rFonts w:asciiTheme="minorHAnsi" w:hAnsiTheme="minorHAnsi" w:cstheme="minorHAnsi"/>
          <w:color w:val="C00000"/>
        </w:rPr>
        <w:t xml:space="preserve">Cuarentena Animal y Registro Veterinario </w:t>
      </w:r>
      <w:r w:rsidR="00C85863" w:rsidRPr="000407F4">
        <w:rPr>
          <w:rFonts w:asciiTheme="minorHAnsi" w:hAnsiTheme="minorHAnsi" w:cstheme="minorHAnsi"/>
          <w:color w:val="C00000"/>
        </w:rPr>
        <w:t xml:space="preserve">de este Ministerio, como </w:t>
      </w:r>
      <w:r w:rsidR="000407F4" w:rsidRPr="000407F4">
        <w:rPr>
          <w:rFonts w:asciiTheme="minorHAnsi" w:hAnsiTheme="minorHAnsi" w:cstheme="minorHAnsi"/>
          <w:b/>
          <w:color w:val="C00000"/>
        </w:rPr>
        <w:t>Informe Mensual de Importaciones de Productos Veterinarios y para Alimentación Animal (en medio escrito o magnético),</w:t>
      </w:r>
      <w:r w:rsidR="000407F4" w:rsidRPr="000407F4">
        <w:rPr>
          <w:rFonts w:asciiTheme="minorHAnsi" w:hAnsiTheme="minorHAnsi" w:cstheme="minorHAnsi"/>
          <w:color w:val="C00000"/>
        </w:rPr>
        <w:t xml:space="preserve"> en él se describen todas las importaciones realizadas en el período que solicite;  este </w:t>
      </w:r>
      <w:r w:rsidR="00C85863" w:rsidRPr="000407F4">
        <w:rPr>
          <w:rFonts w:asciiTheme="minorHAnsi" w:hAnsiTheme="minorHAnsi" w:cstheme="minorHAnsi"/>
          <w:color w:val="C00000"/>
        </w:rPr>
        <w:t xml:space="preserve">tiene un costo de </w:t>
      </w:r>
      <w:r w:rsidR="00C85863" w:rsidRPr="000407F4">
        <w:rPr>
          <w:rFonts w:asciiTheme="minorHAnsi" w:hAnsiTheme="minorHAnsi" w:cstheme="minorHAnsi"/>
          <w:b/>
          <w:color w:val="C00000"/>
        </w:rPr>
        <w:t>$</w:t>
      </w:r>
      <w:r w:rsidR="000407F4" w:rsidRPr="000407F4">
        <w:rPr>
          <w:rFonts w:asciiTheme="minorHAnsi" w:hAnsiTheme="minorHAnsi" w:cstheme="minorHAnsi"/>
          <w:b/>
          <w:color w:val="C00000"/>
        </w:rPr>
        <w:t>5.65</w:t>
      </w:r>
      <w:r w:rsidR="00C85863" w:rsidRPr="000407F4">
        <w:rPr>
          <w:rFonts w:asciiTheme="minorHAnsi" w:hAnsiTheme="minorHAnsi" w:cstheme="minorHAnsi"/>
          <w:b/>
          <w:color w:val="C00000"/>
        </w:rPr>
        <w:t xml:space="preserve"> USD </w:t>
      </w:r>
      <w:r w:rsidR="000407F4" w:rsidRPr="000407F4">
        <w:rPr>
          <w:rFonts w:asciiTheme="minorHAnsi" w:hAnsiTheme="minorHAnsi" w:cstheme="minorHAnsi"/>
          <w:b/>
          <w:color w:val="C00000"/>
        </w:rPr>
        <w:t>por mes</w:t>
      </w:r>
      <w:r w:rsidR="000407F4" w:rsidRPr="000407F4">
        <w:rPr>
          <w:rFonts w:asciiTheme="minorHAnsi" w:hAnsiTheme="minorHAnsi" w:cstheme="minorHAnsi"/>
        </w:rPr>
        <w:t xml:space="preserve">, </w:t>
      </w:r>
      <w:r w:rsidR="00C85863" w:rsidRPr="000407F4">
        <w:rPr>
          <w:rFonts w:asciiTheme="minorHAnsi" w:hAnsiTheme="minorHAnsi" w:cstheme="minorHAnsi"/>
        </w:rPr>
        <w:t xml:space="preserve">según Acuerdo </w:t>
      </w:r>
      <w:r w:rsidRPr="000407F4">
        <w:rPr>
          <w:rFonts w:asciiTheme="minorHAnsi" w:hAnsiTheme="minorHAnsi" w:cstheme="minorHAnsi"/>
        </w:rPr>
        <w:t xml:space="preserve">Ejecutivo en el Ramo de Agricultura y Ganadería </w:t>
      </w:r>
      <w:r w:rsidR="00C85863" w:rsidRPr="000407F4">
        <w:rPr>
          <w:rFonts w:asciiTheme="minorHAnsi" w:hAnsiTheme="minorHAnsi" w:cstheme="minorHAnsi"/>
        </w:rPr>
        <w:t>N° 77 del 8 febrero de 2013</w:t>
      </w:r>
      <w:r w:rsidRPr="000407F4">
        <w:rPr>
          <w:rFonts w:asciiTheme="minorHAnsi" w:hAnsiTheme="minorHAnsi" w:cstheme="minorHAnsi"/>
        </w:rPr>
        <w:t>,</w:t>
      </w:r>
      <w:r w:rsidR="00C85863" w:rsidRPr="000407F4">
        <w:rPr>
          <w:rFonts w:asciiTheme="minorHAnsi" w:hAnsiTheme="minorHAnsi" w:cstheme="minorHAnsi"/>
        </w:rPr>
        <w:t xml:space="preserve"> </w:t>
      </w:r>
      <w:r w:rsidRPr="000407F4">
        <w:rPr>
          <w:rFonts w:asciiTheme="minorHAnsi" w:hAnsiTheme="minorHAnsi" w:cstheme="minorHAnsi"/>
        </w:rPr>
        <w:t xml:space="preserve">mediante </w:t>
      </w:r>
      <w:r w:rsidR="00C85863" w:rsidRPr="000407F4">
        <w:rPr>
          <w:rFonts w:asciiTheme="minorHAnsi" w:hAnsiTheme="minorHAnsi" w:cstheme="minorHAnsi"/>
        </w:rPr>
        <w:t xml:space="preserve">el cual se autorizan precios para la venta de bienes y servicios por medio del Fondo de Actividades Especiales de la Dirección General de Sanidad Vegetal y Animal de este </w:t>
      </w:r>
      <w:r w:rsidR="000407F4" w:rsidRPr="000407F4">
        <w:rPr>
          <w:rFonts w:asciiTheme="minorHAnsi" w:hAnsiTheme="minorHAnsi" w:cstheme="minorHAnsi"/>
        </w:rPr>
        <w:t>m</w:t>
      </w:r>
      <w:r w:rsidR="00C85863" w:rsidRPr="000407F4">
        <w:rPr>
          <w:rFonts w:asciiTheme="minorHAnsi" w:hAnsiTheme="minorHAnsi" w:cstheme="minorHAnsi"/>
        </w:rPr>
        <w:t xml:space="preserve">inisterio </w:t>
      </w:r>
      <w:r w:rsidR="00C85863" w:rsidRPr="008D6B0A">
        <w:rPr>
          <w:rFonts w:asciiTheme="minorHAnsi" w:hAnsiTheme="minorHAnsi" w:cstheme="minorHAnsi"/>
          <w:b/>
          <w:color w:val="C00000"/>
        </w:rPr>
        <w:t>(</w:t>
      </w:r>
      <w:r w:rsidR="00F95A60" w:rsidRPr="008D6B0A">
        <w:rPr>
          <w:rFonts w:asciiTheme="minorHAnsi" w:hAnsiTheme="minorHAnsi" w:cstheme="minorHAnsi"/>
          <w:b/>
          <w:color w:val="C00000"/>
        </w:rPr>
        <w:t>v</w:t>
      </w:r>
      <w:r w:rsidR="00C85863" w:rsidRPr="008D6B0A">
        <w:rPr>
          <w:rFonts w:asciiTheme="minorHAnsi" w:hAnsiTheme="minorHAnsi" w:cstheme="minorHAnsi"/>
          <w:b/>
          <w:color w:val="C00000"/>
        </w:rPr>
        <w:t xml:space="preserve">er </w:t>
      </w:r>
      <w:r w:rsidR="00F95A60" w:rsidRPr="008D6B0A">
        <w:rPr>
          <w:rFonts w:asciiTheme="minorHAnsi" w:hAnsiTheme="minorHAnsi" w:cstheme="minorHAnsi"/>
          <w:b/>
          <w:color w:val="C00000"/>
        </w:rPr>
        <w:t xml:space="preserve">literal </w:t>
      </w:r>
      <w:r w:rsidR="000407F4" w:rsidRPr="008D6B0A">
        <w:rPr>
          <w:rFonts w:asciiTheme="minorHAnsi" w:hAnsiTheme="minorHAnsi" w:cstheme="minorHAnsi"/>
          <w:b/>
          <w:color w:val="C00000"/>
        </w:rPr>
        <w:t>C</w:t>
      </w:r>
      <w:r w:rsidR="00F95A60" w:rsidRPr="008D6B0A">
        <w:rPr>
          <w:rFonts w:asciiTheme="minorHAnsi" w:hAnsiTheme="minorHAnsi" w:cstheme="minorHAnsi"/>
          <w:b/>
          <w:color w:val="C00000"/>
        </w:rPr>
        <w:t xml:space="preserve">, </w:t>
      </w:r>
      <w:r w:rsidR="00C85863" w:rsidRPr="008D6B0A">
        <w:rPr>
          <w:rFonts w:asciiTheme="minorHAnsi" w:hAnsiTheme="minorHAnsi" w:cstheme="minorHAnsi"/>
          <w:b/>
          <w:color w:val="C00000"/>
        </w:rPr>
        <w:t xml:space="preserve">numeral </w:t>
      </w:r>
      <w:r w:rsidR="000407F4" w:rsidRPr="008D6B0A">
        <w:rPr>
          <w:rFonts w:asciiTheme="minorHAnsi" w:hAnsiTheme="minorHAnsi" w:cstheme="minorHAnsi"/>
          <w:b/>
          <w:color w:val="C00000"/>
        </w:rPr>
        <w:t>11</w:t>
      </w:r>
      <w:r w:rsidR="00C85863" w:rsidRPr="008D6B0A">
        <w:rPr>
          <w:rFonts w:asciiTheme="minorHAnsi" w:hAnsiTheme="minorHAnsi" w:cstheme="minorHAnsi"/>
          <w:b/>
          <w:color w:val="C00000"/>
        </w:rPr>
        <w:t>),</w:t>
      </w:r>
      <w:r w:rsidR="00C85863" w:rsidRPr="000407F4">
        <w:rPr>
          <w:rFonts w:asciiTheme="minorHAnsi" w:hAnsiTheme="minorHAnsi" w:cstheme="minorHAnsi"/>
        </w:rPr>
        <w:t xml:space="preserve"> se remite copia de dicho Acuerdo, en tal sentido es competencia de esa unidad proporcionar lo solicitado porque es un </w:t>
      </w:r>
      <w:r w:rsidR="00F95A60" w:rsidRPr="000407F4">
        <w:rPr>
          <w:rFonts w:asciiTheme="minorHAnsi" w:hAnsiTheme="minorHAnsi" w:cstheme="minorHAnsi"/>
        </w:rPr>
        <w:t>servicio que presta esa entidad</w:t>
      </w:r>
      <w:r w:rsidR="009207F4" w:rsidRPr="000407F4">
        <w:rPr>
          <w:rFonts w:asciiTheme="minorHAnsi" w:hAnsiTheme="minorHAnsi" w:cstheme="minorHAnsi"/>
        </w:rPr>
        <w:t>,</w:t>
      </w:r>
      <w:r w:rsidR="00F95A60" w:rsidRPr="000407F4">
        <w:rPr>
          <w:rFonts w:asciiTheme="minorHAnsi" w:hAnsiTheme="minorHAnsi" w:cstheme="minorHAnsi"/>
        </w:rPr>
        <w:t xml:space="preserve"> puede llamar a los teléfonos </w:t>
      </w:r>
      <w:r w:rsidR="00F95A60" w:rsidRPr="008D6B0A">
        <w:rPr>
          <w:rFonts w:asciiTheme="minorHAnsi" w:hAnsiTheme="minorHAnsi" w:cstheme="minorHAnsi"/>
          <w:b/>
          <w:color w:val="C00000"/>
        </w:rPr>
        <w:t>(503) 2210-177</w:t>
      </w:r>
      <w:r w:rsidR="00890A10" w:rsidRPr="008D6B0A">
        <w:rPr>
          <w:rFonts w:asciiTheme="minorHAnsi" w:hAnsiTheme="minorHAnsi" w:cstheme="minorHAnsi"/>
          <w:b/>
          <w:color w:val="C00000"/>
        </w:rPr>
        <w:t xml:space="preserve">3 </w:t>
      </w:r>
      <w:r w:rsidR="00F95A60" w:rsidRPr="008D6B0A">
        <w:rPr>
          <w:rFonts w:asciiTheme="minorHAnsi" w:hAnsiTheme="minorHAnsi" w:cstheme="minorHAnsi"/>
          <w:b/>
          <w:color w:val="C00000"/>
        </w:rPr>
        <w:t>y (503) 2210-</w:t>
      </w:r>
      <w:r w:rsidR="00890A10" w:rsidRPr="008D6B0A">
        <w:rPr>
          <w:rFonts w:asciiTheme="minorHAnsi" w:hAnsiTheme="minorHAnsi" w:cstheme="minorHAnsi"/>
          <w:b/>
          <w:color w:val="C00000"/>
        </w:rPr>
        <w:t>1946</w:t>
      </w:r>
      <w:r w:rsidR="009207F4" w:rsidRPr="008D6B0A">
        <w:rPr>
          <w:rFonts w:asciiTheme="minorHAnsi" w:hAnsiTheme="minorHAnsi" w:cstheme="minorHAnsi"/>
          <w:b/>
          <w:color w:val="C00000"/>
        </w:rPr>
        <w:t>, escribir a los siguientes correos electrónicos:</w:t>
      </w:r>
      <w:r w:rsidR="001C03BE" w:rsidRPr="008D6B0A">
        <w:rPr>
          <w:rFonts w:asciiTheme="minorHAnsi" w:hAnsiTheme="minorHAnsi" w:cstheme="minorHAnsi"/>
          <w:b/>
          <w:color w:val="C00000"/>
        </w:rPr>
        <w:t xml:space="preserve"> </w:t>
      </w:r>
      <w:r w:rsidR="004018F2" w:rsidRPr="008D6B0A">
        <w:rPr>
          <w:rFonts w:asciiTheme="minorHAnsi" w:hAnsiTheme="minorHAnsi" w:cstheme="minorHAnsi"/>
          <w:b/>
          <w:color w:val="C00000"/>
        </w:rPr>
        <w:t>regfisvet.dgg@mag.gob.sv, naoko.quijano@mag.gob.sv</w:t>
      </w:r>
      <w:r w:rsidR="009207F4" w:rsidRPr="000407F4">
        <w:rPr>
          <w:rFonts w:asciiTheme="minorHAnsi" w:hAnsiTheme="minorHAnsi" w:cstheme="minorHAnsi"/>
        </w:rPr>
        <w:t>; o visitar las oficinas ubicadas en Final 1ª Avenida Norte y Avenida Manuel Gallardo, Santa Tecla, La Libertad, El Salvador CA, (atrás de las canchas del Colegio Santa Cecilia y FESA).</w:t>
      </w:r>
    </w:p>
    <w:p w:rsidR="008D6B0A" w:rsidRDefault="008D6B0A" w:rsidP="000407F4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obstante</w:t>
      </w:r>
      <w:r w:rsidR="00B14BB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continuación entregamos información general de los productos registrados por las empresas de las que solicit</w:t>
      </w:r>
      <w:r w:rsidR="00B14BBC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 xml:space="preserve">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65158" w:rsidTr="00965158">
        <w:tc>
          <w:tcPr>
            <w:tcW w:w="44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65158" w:rsidRPr="00B14BBC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14BBC">
              <w:rPr>
                <w:rFonts w:asciiTheme="minorHAnsi" w:hAnsiTheme="minorHAnsi" w:cstheme="minorHAnsi"/>
                <w:b/>
                <w:sz w:val="20"/>
                <w:szCs w:val="18"/>
              </w:rPr>
              <w:t>PRODUCTO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65158" w:rsidRPr="00B14BBC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B14BBC">
              <w:rPr>
                <w:rFonts w:asciiTheme="minorHAnsi" w:hAnsiTheme="minorHAnsi" w:cstheme="minorHAnsi"/>
                <w:b/>
                <w:sz w:val="20"/>
                <w:szCs w:val="18"/>
              </w:rPr>
              <w:t>EMPRESA</w:t>
            </w: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ADOXINE</w:t>
            </w:r>
          </w:p>
        </w:tc>
        <w:tc>
          <w:tcPr>
            <w:tcW w:w="4489" w:type="dxa"/>
            <w:vMerge w:val="restart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b/>
                <w:sz w:val="18"/>
                <w:szCs w:val="18"/>
              </w:rPr>
              <w:t>MAXIMA TECNOLOGÍA</w:t>
            </w: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FISH ADD</w:t>
            </w:r>
          </w:p>
        </w:tc>
        <w:tc>
          <w:tcPr>
            <w:tcW w:w="4489" w:type="dxa"/>
            <w:vMerge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FISH AD LIQUIDO</w:t>
            </w:r>
          </w:p>
        </w:tc>
        <w:tc>
          <w:tcPr>
            <w:tcW w:w="4489" w:type="dxa"/>
            <w:vMerge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tcBorders>
              <w:bottom w:val="double" w:sz="4" w:space="0" w:color="auto"/>
            </w:tcBorders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GOLDEN CALF</w:t>
            </w:r>
          </w:p>
        </w:tc>
        <w:tc>
          <w:tcPr>
            <w:tcW w:w="4489" w:type="dxa"/>
            <w:vMerge/>
            <w:tcBorders>
              <w:bottom w:val="double" w:sz="4" w:space="0" w:color="auto"/>
            </w:tcBorders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tcBorders>
              <w:top w:val="double" w:sz="4" w:space="0" w:color="auto"/>
            </w:tcBorders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TECXAFIL 15 LIQUIDO</w:t>
            </w:r>
          </w:p>
        </w:tc>
        <w:tc>
          <w:tcPr>
            <w:tcW w:w="4489" w:type="dxa"/>
            <w:vMerge w:val="restart"/>
            <w:tcBorders>
              <w:top w:val="double" w:sz="4" w:space="0" w:color="auto"/>
            </w:tcBorders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b/>
                <w:sz w:val="18"/>
                <w:szCs w:val="18"/>
              </w:rPr>
              <w:t>JOSE CARLOS SAMAYOA LOPEZ</w:t>
            </w: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TECXAFIL 20 LIQUIDO</w:t>
            </w:r>
          </w:p>
        </w:tc>
        <w:tc>
          <w:tcPr>
            <w:tcW w:w="4489" w:type="dxa"/>
            <w:vMerge/>
          </w:tcPr>
          <w:p w:rsidR="00965158" w:rsidRPr="00965158" w:rsidRDefault="00965158" w:rsidP="000407F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TECXAFIL 20 POLVO</w:t>
            </w:r>
          </w:p>
        </w:tc>
        <w:tc>
          <w:tcPr>
            <w:tcW w:w="4489" w:type="dxa"/>
            <w:vMerge/>
          </w:tcPr>
          <w:p w:rsidR="00965158" w:rsidRPr="00965158" w:rsidRDefault="00965158" w:rsidP="000407F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TECXAFIL 40 POLVO</w:t>
            </w:r>
          </w:p>
        </w:tc>
        <w:tc>
          <w:tcPr>
            <w:tcW w:w="4489" w:type="dxa"/>
            <w:vMerge/>
          </w:tcPr>
          <w:p w:rsidR="00965158" w:rsidRPr="00965158" w:rsidRDefault="00965158" w:rsidP="000407F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TECXAPLUS 39496</w:t>
            </w:r>
          </w:p>
        </w:tc>
        <w:tc>
          <w:tcPr>
            <w:tcW w:w="4489" w:type="dxa"/>
            <w:vMerge/>
          </w:tcPr>
          <w:p w:rsidR="00965158" w:rsidRPr="00965158" w:rsidRDefault="00965158" w:rsidP="000407F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158" w:rsidTr="00965158">
        <w:tc>
          <w:tcPr>
            <w:tcW w:w="4489" w:type="dxa"/>
            <w:vAlign w:val="center"/>
          </w:tcPr>
          <w:p w:rsidR="00965158" w:rsidRPr="00965158" w:rsidRDefault="00965158" w:rsidP="00965158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65158">
              <w:rPr>
                <w:rFonts w:asciiTheme="minorHAnsi" w:hAnsiTheme="minorHAnsi" w:cstheme="minorHAnsi"/>
                <w:sz w:val="18"/>
                <w:szCs w:val="18"/>
              </w:rPr>
              <w:t>TECXNATUR 39497</w:t>
            </w:r>
          </w:p>
        </w:tc>
        <w:tc>
          <w:tcPr>
            <w:tcW w:w="4489" w:type="dxa"/>
            <w:vMerge/>
          </w:tcPr>
          <w:p w:rsidR="00965158" w:rsidRPr="00965158" w:rsidRDefault="00965158" w:rsidP="000407F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36346" w:rsidRPr="008B44FD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  <w:highlight w:val="yellow"/>
        </w:rPr>
      </w:pPr>
    </w:p>
    <w:p w:rsidR="00C36346" w:rsidRPr="008B44FD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  <w:highlight w:val="yellow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  <w:highlight w:val="yellow"/>
        </w:rPr>
      </w:pPr>
    </w:p>
    <w:p w:rsidR="00983906" w:rsidRDefault="0098390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  <w:highlight w:val="yellow"/>
        </w:rPr>
      </w:pPr>
    </w:p>
    <w:p w:rsidR="00983906" w:rsidRPr="008B44FD" w:rsidRDefault="0098390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  <w:highlight w:val="yellow"/>
        </w:rPr>
      </w:pPr>
    </w:p>
    <w:p w:rsidR="00FE751A" w:rsidRPr="008D6B0A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z w:val="23"/>
          <w:szCs w:val="23"/>
        </w:rPr>
      </w:pPr>
      <w:r w:rsidRPr="008D6B0A">
        <w:rPr>
          <w:rFonts w:cs="Calibri"/>
          <w:b/>
          <w:color w:val="000099"/>
          <w:sz w:val="23"/>
          <w:szCs w:val="23"/>
        </w:rPr>
        <w:t>Ana Patricia Sánchez de Cruz</w:t>
      </w:r>
    </w:p>
    <w:p w:rsidR="00FE751A" w:rsidRPr="008D6B0A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8D6B0A">
        <w:rPr>
          <w:rFonts w:cs="Calibri"/>
          <w:b/>
          <w:color w:val="000099"/>
          <w:sz w:val="23"/>
          <w:szCs w:val="23"/>
        </w:rPr>
        <w:t>Oficial de Información MAG OIR</w:t>
      </w:r>
    </w:p>
    <w:p w:rsidR="00AC795E" w:rsidRPr="00C85863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sectPr w:rsidR="00AC795E" w:rsidRPr="00C8586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BB" w:rsidRDefault="00A904BB" w:rsidP="00F425A5">
      <w:pPr>
        <w:spacing w:after="0" w:line="240" w:lineRule="auto"/>
      </w:pPr>
      <w:r>
        <w:separator/>
      </w:r>
    </w:p>
  </w:endnote>
  <w:endnote w:type="continuationSeparator" w:id="0">
    <w:p w:rsidR="00A904BB" w:rsidRDefault="00A904B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983906" w:rsidP="00983906">
    <w:pPr>
      <w:pStyle w:val="Piedepgina"/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E638D3" wp14:editId="5C1EC613">
          <wp:simplePos x="0" y="0"/>
          <wp:positionH relativeFrom="column">
            <wp:posOffset>-889635</wp:posOffset>
          </wp:positionH>
          <wp:positionV relativeFrom="paragraph">
            <wp:posOffset>1220470</wp:posOffset>
          </wp:positionV>
          <wp:extent cx="7515225" cy="342900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9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C5213F" wp14:editId="6999372A">
              <wp:simplePos x="0" y="0"/>
              <wp:positionH relativeFrom="column">
                <wp:posOffset>-193675</wp:posOffset>
              </wp:positionH>
              <wp:positionV relativeFrom="paragraph">
                <wp:posOffset>338455</wp:posOffset>
              </wp:positionV>
              <wp:extent cx="6057900" cy="838200"/>
              <wp:effectExtent l="0" t="0" r="19050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FE751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B2565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65633F" w:rsidRPr="006A4190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A4190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B2565" w:rsidRDefault="0065633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1B2565" w:rsidRPr="00C819BC">
                              <w:rPr>
                                <w:rStyle w:val="Hipervnculo"/>
                                <w:rFonts w:cs="Times New Roman"/>
                                <w:b/>
                                <w:sz w:val="16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65633F" w:rsidRPr="001B2565" w:rsidRDefault="001B2565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  <w:szCs w:val="18"/>
                            </w:rPr>
                          </w:pP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begin"/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instrText>PAGE  \* Arabic  \* MERGEFORMAT</w:instrTex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separate"/>
                          </w:r>
                          <w:r w:rsidR="00615D6B" w:rsidRPr="00615D6B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>2</w: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end"/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begin"/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instrText>NUMPAGES  \* Arabic  \* MERGEFORMAT</w:instrTex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separate"/>
                          </w:r>
                          <w:r w:rsidR="00615D6B" w:rsidRPr="00615D6B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6"/>
                              <w:szCs w:val="18"/>
                              <w:lang w:val="es-ES"/>
                            </w:rPr>
                            <w:t>2</w:t>
                          </w:r>
                          <w:r w:rsidRPr="001B2565">
                            <w:rPr>
                              <w:rFonts w:cs="Times New Roman"/>
                              <w:b/>
                              <w:color w:val="C00000"/>
                              <w:sz w:val="16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25pt;margin-top:26.65pt;width:477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">
              <v:textbox>
                <w:txbxContent>
                  <w:p w:rsidR="0065633F" w:rsidRPr="00C1337B" w:rsidRDefault="00FE751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1B2565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65633F" w:rsidRPr="006A4190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A4190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B2565" w:rsidRDefault="0065633F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4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1B2565" w:rsidRPr="00C819BC">
                        <w:rPr>
                          <w:rStyle w:val="Hipervnculo"/>
                          <w:rFonts w:cs="Times New Roman"/>
                          <w:b/>
                          <w:sz w:val="16"/>
                          <w:szCs w:val="18"/>
                        </w:rPr>
                        <w:t>WWW.MAG.GOB.SV</w:t>
                      </w:r>
                    </w:hyperlink>
                  </w:p>
                  <w:p w:rsidR="0065633F" w:rsidRPr="001B2565" w:rsidRDefault="001B2565" w:rsidP="006A4190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  <w:szCs w:val="18"/>
                      </w:rPr>
                    </w:pP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  <w:lang w:val="es-ES"/>
                      </w:rPr>
                      <w:t xml:space="preserve">Página </w: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begin"/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instrText>PAGE  \* Arabic  \* MERGEFORMAT</w:instrTex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separate"/>
                    </w:r>
                    <w:r w:rsidR="00615D6B" w:rsidRPr="00615D6B">
                      <w:rPr>
                        <w:rFonts w:cs="Times New Roman"/>
                        <w:b/>
                        <w:noProof/>
                        <w:color w:val="C00000"/>
                        <w:sz w:val="16"/>
                        <w:szCs w:val="18"/>
                        <w:lang w:val="es-ES"/>
                      </w:rPr>
                      <w:t>2</w: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end"/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  <w:lang w:val="es-ES"/>
                      </w:rPr>
                      <w:t xml:space="preserve"> de </w: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begin"/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instrText>NUMPAGES  \* Arabic  \* MERGEFORMAT</w:instrTex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separate"/>
                    </w:r>
                    <w:r w:rsidR="00615D6B" w:rsidRPr="00615D6B">
                      <w:rPr>
                        <w:rFonts w:cs="Times New Roman"/>
                        <w:b/>
                        <w:noProof/>
                        <w:color w:val="C00000"/>
                        <w:sz w:val="16"/>
                        <w:szCs w:val="18"/>
                        <w:lang w:val="es-ES"/>
                      </w:rPr>
                      <w:t>2</w:t>
                    </w:r>
                    <w:r w:rsidRPr="001B2565">
                      <w:rPr>
                        <w:rFonts w:cs="Times New Roman"/>
                        <w:b/>
                        <w:color w:val="C00000"/>
                        <w:sz w:val="16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819BC" w:rsidRPr="00DB7A91">
      <w:rPr>
        <w:sz w:val="18"/>
        <w:szCs w:val="16"/>
      </w:rPr>
      <w:t>Si después de analizar lo anteriormente expuesto decide interponer un recurso de apelación puede hacerlo según lo dispuesto en el Art 82 y 83 de la LAIP</w:t>
    </w:r>
    <w:r w:rsidR="00C819BC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BB" w:rsidRDefault="00A904BB" w:rsidP="00F425A5">
      <w:pPr>
        <w:spacing w:after="0" w:line="240" w:lineRule="auto"/>
      </w:pPr>
      <w:r>
        <w:separator/>
      </w:r>
    </w:p>
  </w:footnote>
  <w:footnote w:type="continuationSeparator" w:id="0">
    <w:p w:rsidR="00A904BB" w:rsidRDefault="00A904B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07F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565"/>
    <w:rsid w:val="001B2604"/>
    <w:rsid w:val="001B2C53"/>
    <w:rsid w:val="001B3E47"/>
    <w:rsid w:val="001B7D8B"/>
    <w:rsid w:val="001C03BE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3EBD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198F"/>
    <w:rsid w:val="00386009"/>
    <w:rsid w:val="003906A6"/>
    <w:rsid w:val="00390A7C"/>
    <w:rsid w:val="003964C9"/>
    <w:rsid w:val="003A104C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18F2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5B8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93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5D6B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00C3"/>
    <w:rsid w:val="0066118E"/>
    <w:rsid w:val="006627AC"/>
    <w:rsid w:val="00663531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A6E5F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0A82"/>
    <w:rsid w:val="0078685F"/>
    <w:rsid w:val="007943F4"/>
    <w:rsid w:val="007A1EB9"/>
    <w:rsid w:val="007A2359"/>
    <w:rsid w:val="007A3CB8"/>
    <w:rsid w:val="007A64C6"/>
    <w:rsid w:val="007B0068"/>
    <w:rsid w:val="007B361B"/>
    <w:rsid w:val="007B4E72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635E"/>
    <w:rsid w:val="007F7DF5"/>
    <w:rsid w:val="00812151"/>
    <w:rsid w:val="008204B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3CEF"/>
    <w:rsid w:val="00885210"/>
    <w:rsid w:val="008864A7"/>
    <w:rsid w:val="00890A10"/>
    <w:rsid w:val="00895122"/>
    <w:rsid w:val="00897033"/>
    <w:rsid w:val="008A0BA2"/>
    <w:rsid w:val="008A26BF"/>
    <w:rsid w:val="008B44FD"/>
    <w:rsid w:val="008B5FB5"/>
    <w:rsid w:val="008B6113"/>
    <w:rsid w:val="008C24CA"/>
    <w:rsid w:val="008C2A6D"/>
    <w:rsid w:val="008C2B47"/>
    <w:rsid w:val="008D2B73"/>
    <w:rsid w:val="008D5945"/>
    <w:rsid w:val="008D6B0A"/>
    <w:rsid w:val="008E3EF5"/>
    <w:rsid w:val="008F68EE"/>
    <w:rsid w:val="00900AB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65158"/>
    <w:rsid w:val="00970DBA"/>
    <w:rsid w:val="00974B88"/>
    <w:rsid w:val="00977DFD"/>
    <w:rsid w:val="00983906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904B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458D"/>
    <w:rsid w:val="00AD5D31"/>
    <w:rsid w:val="00AE1616"/>
    <w:rsid w:val="00AE234C"/>
    <w:rsid w:val="00AF1559"/>
    <w:rsid w:val="00AF31FA"/>
    <w:rsid w:val="00AF7620"/>
    <w:rsid w:val="00B129CE"/>
    <w:rsid w:val="00B14BBC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8F5"/>
    <w:rsid w:val="00BC4EEC"/>
    <w:rsid w:val="00BD04DA"/>
    <w:rsid w:val="00BD054B"/>
    <w:rsid w:val="00BD0653"/>
    <w:rsid w:val="00BD5989"/>
    <w:rsid w:val="00BD6665"/>
    <w:rsid w:val="00BE0B9D"/>
    <w:rsid w:val="00BE1F55"/>
    <w:rsid w:val="00BF233C"/>
    <w:rsid w:val="00BF5A29"/>
    <w:rsid w:val="00C11D10"/>
    <w:rsid w:val="00C12112"/>
    <w:rsid w:val="00C1229C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9BC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BBE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2AFD"/>
    <w:rsid w:val="00DF4A79"/>
    <w:rsid w:val="00E01B68"/>
    <w:rsid w:val="00E058DD"/>
    <w:rsid w:val="00E05D2E"/>
    <w:rsid w:val="00E0601C"/>
    <w:rsid w:val="00E13EA4"/>
    <w:rsid w:val="00E2659E"/>
    <w:rsid w:val="00E36D6A"/>
    <w:rsid w:val="00E3766B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C39B4"/>
    <w:rsid w:val="00ED00B0"/>
    <w:rsid w:val="00ED21B7"/>
    <w:rsid w:val="00ED2C1B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70DA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0774E-BD43-4279-9E79-13E87E72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13</cp:revision>
  <cp:lastPrinted>2016-12-08T22:43:00Z</cp:lastPrinted>
  <dcterms:created xsi:type="dcterms:W3CDTF">2016-12-08T22:09:00Z</dcterms:created>
  <dcterms:modified xsi:type="dcterms:W3CDTF">2016-12-08T22:50:00Z</dcterms:modified>
</cp:coreProperties>
</file>