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78" w:rsidRDefault="00913778" w:rsidP="0091377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34D74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</w:pPr>
      <w:r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 xml:space="preserve">RESOLUCIÓN </w:t>
      </w:r>
      <w:r w:rsidR="00A6281C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 xml:space="preserve">EN RESPUESTA A </w:t>
      </w:r>
      <w:r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SOLICITUD</w:t>
      </w:r>
      <w:r w:rsidR="00A6281C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 xml:space="preserve"> DE INFORMACIÓN </w:t>
      </w:r>
      <w:r w:rsidR="00A05D71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N</w:t>
      </w:r>
      <w:r w:rsidR="00640AA6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°</w:t>
      </w:r>
      <w:r w:rsidR="00112A1B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2</w:t>
      </w:r>
      <w:r w:rsidR="008A023C" w:rsidRPr="00634D74">
        <w:rPr>
          <w:rFonts w:asciiTheme="minorHAnsi" w:hAnsiTheme="minorHAnsi" w:cstheme="minorHAnsi"/>
          <w:b/>
          <w:color w:val="000099"/>
          <w:sz w:val="24"/>
          <w:szCs w:val="24"/>
          <w:lang w:eastAsia="en-US"/>
        </w:rPr>
        <w:t>89</w:t>
      </w:r>
      <w:r w:rsidR="0065633F"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-2016</w:t>
      </w:r>
    </w:p>
    <w:p w:rsidR="00B13CD4" w:rsidRPr="008A023C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8"/>
        </w:rPr>
      </w:pPr>
    </w:p>
    <w:p w:rsidR="00982A15" w:rsidRPr="008A023C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  <w:r w:rsidRPr="008A023C">
        <w:rPr>
          <w:rFonts w:asciiTheme="minorHAnsi" w:hAnsiTheme="minorHAnsi" w:cstheme="minorHAnsi"/>
          <w:szCs w:val="24"/>
          <w:lang w:val="x-none" w:eastAsia="en-US"/>
        </w:rPr>
        <w:t xml:space="preserve">Santa Tecla, </w:t>
      </w:r>
      <w:r w:rsidR="00EF5FC4" w:rsidRPr="008A023C">
        <w:rPr>
          <w:rFonts w:asciiTheme="minorHAnsi" w:hAnsiTheme="minorHAnsi" w:cstheme="minorHAnsi"/>
          <w:szCs w:val="24"/>
          <w:lang w:val="x-none" w:eastAsia="en-US"/>
        </w:rPr>
        <w:t>D</w:t>
      </w:r>
      <w:r w:rsidR="00B70104" w:rsidRPr="008A023C">
        <w:rPr>
          <w:rFonts w:asciiTheme="minorHAnsi" w:hAnsiTheme="minorHAnsi" w:cstheme="minorHAnsi"/>
          <w:szCs w:val="24"/>
          <w:lang w:val="x-none" w:eastAsia="en-US"/>
        </w:rPr>
        <w:t xml:space="preserve">epartamento de La Libertad </w:t>
      </w:r>
      <w:r w:rsidR="00E16FD9" w:rsidRPr="008A023C">
        <w:rPr>
          <w:rFonts w:asciiTheme="minorHAnsi" w:hAnsiTheme="minorHAnsi" w:cstheme="minorHAnsi"/>
          <w:szCs w:val="24"/>
          <w:lang w:val="x-none" w:eastAsia="en-US"/>
        </w:rPr>
        <w:t xml:space="preserve">a las </w:t>
      </w:r>
      <w:r w:rsidR="008A023C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quince </w:t>
      </w:r>
      <w:r w:rsidR="00E16FD9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horas con treinta y uno</w:t>
      </w:r>
      <w:r w:rsidR="00112A1B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minutos </w:t>
      </w:r>
      <w:r w:rsidR="0067718D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del d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ía </w:t>
      </w:r>
      <w:r w:rsidR="008A023C" w:rsidRPr="008A023C">
        <w:rPr>
          <w:rFonts w:asciiTheme="minorHAnsi" w:hAnsiTheme="minorHAnsi" w:cstheme="minorHAnsi"/>
          <w:color w:val="000099"/>
          <w:szCs w:val="24"/>
          <w:lang w:eastAsia="en-US"/>
        </w:rPr>
        <w:t xml:space="preserve">treinta </w:t>
      </w:r>
      <w:r w:rsidR="00D4056E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de </w:t>
      </w:r>
      <w:r w:rsidR="00112A1B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noviembre</w:t>
      </w:r>
      <w:r w:rsidR="004320D5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de 201</w:t>
      </w:r>
      <w:r w:rsidR="00CA0975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6</w:t>
      </w:r>
      <w:r w:rsidRPr="008A023C">
        <w:rPr>
          <w:rFonts w:asciiTheme="minorHAnsi" w:hAnsiTheme="minorHAnsi" w:cstheme="minorHAnsi"/>
          <w:szCs w:val="24"/>
          <w:lang w:val="x-none" w:eastAsia="en-US"/>
        </w:rPr>
        <w:t>, el Ministerio de Agricultura y Ganadería luego de haber recibido y admitido la solicitud de información</w:t>
      </w:r>
      <w:r w:rsidR="009C6B93" w:rsidRPr="008A023C">
        <w:rPr>
          <w:rFonts w:asciiTheme="minorHAnsi" w:hAnsiTheme="minorHAnsi" w:cstheme="minorHAnsi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b/>
          <w:color w:val="000099"/>
          <w:szCs w:val="24"/>
          <w:lang w:val="x-none" w:eastAsia="en-US"/>
        </w:rPr>
        <w:t xml:space="preserve">No. </w:t>
      </w:r>
      <w:r w:rsidR="00EF5FC4" w:rsidRPr="008A023C">
        <w:rPr>
          <w:rFonts w:asciiTheme="minorHAnsi" w:hAnsiTheme="minorHAnsi" w:cstheme="minorHAnsi"/>
          <w:b/>
          <w:color w:val="000099"/>
          <w:szCs w:val="24"/>
          <w:lang w:val="x-none" w:eastAsia="en-US"/>
        </w:rPr>
        <w:t>2</w:t>
      </w:r>
      <w:r w:rsidR="00E16FD9" w:rsidRPr="008A023C">
        <w:rPr>
          <w:rFonts w:asciiTheme="minorHAnsi" w:hAnsiTheme="minorHAnsi" w:cstheme="minorHAnsi"/>
          <w:b/>
          <w:color w:val="000099"/>
          <w:szCs w:val="24"/>
          <w:lang w:val="x-none" w:eastAsia="en-US"/>
        </w:rPr>
        <w:t>8</w:t>
      </w:r>
      <w:r w:rsidR="008A023C" w:rsidRPr="008A023C">
        <w:rPr>
          <w:rFonts w:asciiTheme="minorHAnsi" w:hAnsiTheme="minorHAnsi" w:cstheme="minorHAnsi"/>
          <w:b/>
          <w:color w:val="000099"/>
          <w:szCs w:val="24"/>
          <w:lang w:eastAsia="en-US"/>
        </w:rPr>
        <w:t>9</w:t>
      </w:r>
      <w:r w:rsidR="00EF5FC4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="00E757D8"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szCs w:val="24"/>
          <w:lang w:val="x-none" w:eastAsia="en-US"/>
        </w:rPr>
        <w:t>sobre:</w:t>
      </w:r>
    </w:p>
    <w:p w:rsidR="00B13CD4" w:rsidRPr="008A023C" w:rsidRDefault="00B13CD4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8A023C" w:rsidRPr="008A023C" w:rsidRDefault="008A023C" w:rsidP="008A023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 w:eastAsia="en-US"/>
        </w:rPr>
      </w:pP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¿Cuáles son los requisitos o el proceso a seguir en el MAG para obtener permisos en el sector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 xml:space="preserve"> </w:t>
      </w:r>
      <w:r w:rsidRPr="008A023C">
        <w:rPr>
          <w:rFonts w:asciiTheme="minorHAnsi" w:hAnsiTheme="minorHAnsi" w:cstheme="minorHAnsi"/>
          <w:color w:val="000099"/>
          <w:szCs w:val="24"/>
          <w:lang w:val="x-none" w:eastAsia="en-US"/>
        </w:rPr>
        <w:t>avícola, específicamente montar una granja avícola?</w:t>
      </w:r>
    </w:p>
    <w:p w:rsidR="008A023C" w:rsidRPr="008A023C" w:rsidRDefault="008A023C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 w:eastAsia="en-US"/>
        </w:rPr>
      </w:pPr>
    </w:p>
    <w:p w:rsidR="00112A1B" w:rsidRPr="008A023C" w:rsidRDefault="00BE0B9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  <w:r w:rsidRPr="008A023C">
        <w:rPr>
          <w:rFonts w:asciiTheme="minorHAnsi" w:hAnsiTheme="minorHAnsi" w:cstheme="minorHAnsi"/>
          <w:szCs w:val="24"/>
          <w:lang w:val="x-none" w:eastAsia="en-US"/>
        </w:rPr>
        <w:t>P</w:t>
      </w:r>
      <w:r w:rsidR="00EE4B7D" w:rsidRPr="008A023C">
        <w:rPr>
          <w:rFonts w:asciiTheme="minorHAnsi" w:hAnsiTheme="minorHAnsi" w:cstheme="minorHAnsi"/>
          <w:szCs w:val="24"/>
          <w:lang w:val="x-none" w:eastAsia="en-US"/>
        </w:rPr>
        <w:t>resentada ante la Oficina de Información y Respuesta de esta dependencia por parte de</w:t>
      </w:r>
      <w:r w:rsidR="00913778">
        <w:rPr>
          <w:rFonts w:asciiTheme="minorHAnsi" w:hAnsiTheme="minorHAnsi" w:cstheme="minorHAnsi"/>
          <w:szCs w:val="24"/>
          <w:lang w:eastAsia="en-US"/>
        </w:rPr>
        <w:t xml:space="preserve"> </w:t>
      </w:r>
      <w:proofErr w:type="spellStart"/>
      <w:r w:rsidR="00913778" w:rsidRPr="00913778">
        <w:rPr>
          <w:rFonts w:asciiTheme="minorHAnsi" w:hAnsiTheme="minorHAnsi" w:cstheme="minorHAnsi"/>
          <w:szCs w:val="24"/>
          <w:highlight w:val="darkBlue"/>
          <w:lang w:eastAsia="en-US"/>
        </w:rPr>
        <w:t>xxxxxxxxxxx</w:t>
      </w:r>
      <w:bookmarkStart w:id="0" w:name="_GoBack"/>
      <w:bookmarkEnd w:id="0"/>
      <w:proofErr w:type="spellEnd"/>
      <w:r w:rsidR="00913778">
        <w:rPr>
          <w:rFonts w:asciiTheme="minorHAnsi" w:hAnsiTheme="minorHAnsi" w:cstheme="minorHAnsi"/>
          <w:szCs w:val="24"/>
          <w:lang w:eastAsia="en-US"/>
        </w:rPr>
        <w:t xml:space="preserve"> </w:t>
      </w:r>
      <w:r w:rsidR="00EF5FC4" w:rsidRPr="008A023C">
        <w:rPr>
          <w:rFonts w:asciiTheme="minorHAnsi" w:hAnsiTheme="minorHAnsi" w:cstheme="minorHAnsi"/>
          <w:szCs w:val="24"/>
          <w:lang w:val="x-none" w:eastAsia="en-US"/>
        </w:rPr>
        <w:t>,</w:t>
      </w:r>
      <w:r w:rsidR="00547BFB" w:rsidRPr="008A023C">
        <w:rPr>
          <w:rFonts w:asciiTheme="minorHAnsi" w:hAnsiTheme="minorHAnsi" w:cstheme="minorHAnsi"/>
          <w:szCs w:val="24"/>
          <w:lang w:val="x-none" w:eastAsia="en-US"/>
        </w:rPr>
        <w:t xml:space="preserve"> </w:t>
      </w:r>
      <w:r w:rsidR="00B5477D" w:rsidRPr="008A023C">
        <w:rPr>
          <w:rFonts w:asciiTheme="minorHAnsi" w:hAnsiTheme="minorHAnsi" w:cstheme="minorHAnsi"/>
          <w:szCs w:val="24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112A1B" w:rsidRPr="008A023C">
        <w:rPr>
          <w:rFonts w:asciiTheme="minorHAnsi" w:hAnsiTheme="minorHAnsi" w:cstheme="minorHAnsi"/>
          <w:szCs w:val="24"/>
          <w:lang w:val="x-none" w:eastAsia="en-US"/>
        </w:rPr>
        <w:t>resuelve</w:t>
      </w:r>
      <w:r w:rsidR="00B5477D" w:rsidRPr="008A023C">
        <w:rPr>
          <w:rFonts w:asciiTheme="minorHAnsi" w:hAnsiTheme="minorHAnsi" w:cstheme="minorHAnsi"/>
          <w:szCs w:val="24"/>
          <w:lang w:val="x-none" w:eastAsia="en-US"/>
        </w:rPr>
        <w:t xml:space="preserve">: </w:t>
      </w:r>
    </w:p>
    <w:p w:rsidR="00126A4D" w:rsidRPr="00634D74" w:rsidRDefault="00B5477D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</w:pPr>
      <w:r w:rsidRPr="00634D74">
        <w:rPr>
          <w:rFonts w:asciiTheme="minorHAnsi" w:hAnsiTheme="minorHAnsi" w:cstheme="minorHAnsi"/>
          <w:b/>
          <w:color w:val="000099"/>
          <w:sz w:val="24"/>
          <w:szCs w:val="24"/>
          <w:lang w:val="x-none" w:eastAsia="en-US"/>
        </w:rPr>
        <w:t>PROPORCIONAR LA INFORMACIÓN PÚBLICA SOLICITADA</w:t>
      </w:r>
    </w:p>
    <w:p w:rsidR="00126A4D" w:rsidRPr="008A023C" w:rsidRDefault="00126A4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E16FD9" w:rsidRDefault="008A023C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A continuación describo la respuesta brindada por la Dirección General de Ganadería</w:t>
      </w:r>
      <w:r w:rsidR="00A71529">
        <w:rPr>
          <w:rFonts w:asciiTheme="minorHAnsi" w:hAnsiTheme="minorHAnsi" w:cstheme="minorHAnsi"/>
          <w:szCs w:val="24"/>
          <w:lang w:eastAsia="en-US"/>
        </w:rPr>
        <w:t xml:space="preserve"> de este ministerio:</w:t>
      </w:r>
    </w:p>
    <w:p w:rsidR="000B5DD7" w:rsidRDefault="000B5DD7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Pr="00A71529" w:rsidRDefault="00B13CE1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 xml:space="preserve">La 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Unidad de Sanidad Avícola de la División de Servicios</w:t>
      </w:r>
      <w:r>
        <w:rPr>
          <w:rFonts w:asciiTheme="minorHAnsi" w:hAnsiTheme="minorHAnsi" w:cstheme="minorHAnsi"/>
          <w:szCs w:val="24"/>
          <w:lang w:eastAsia="en-US"/>
        </w:rPr>
        <w:t xml:space="preserve"> 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Veterinarios, bajo el REGLAMENTO PARA LA PREVENCION, CONTROL Y ERRADICACION DE</w:t>
      </w:r>
      <w:r>
        <w:rPr>
          <w:rFonts w:asciiTheme="minorHAnsi" w:hAnsiTheme="minorHAnsi" w:cstheme="minorHAnsi"/>
          <w:szCs w:val="24"/>
          <w:lang w:eastAsia="en-US"/>
        </w:rPr>
        <w:t xml:space="preserve"> 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LA INFLUENZA AVIAR DE BAJA PATOGENICIDAD establece para la inscripción de granjas</w:t>
      </w:r>
      <w:r>
        <w:rPr>
          <w:rFonts w:asciiTheme="minorHAnsi" w:hAnsiTheme="minorHAnsi" w:cstheme="minorHAnsi"/>
          <w:szCs w:val="24"/>
          <w:lang w:eastAsia="en-US"/>
        </w:rPr>
        <w:t xml:space="preserve"> 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avícolas</w:t>
      </w:r>
      <w:r w:rsidR="000B5DD7">
        <w:rPr>
          <w:rFonts w:asciiTheme="minorHAnsi" w:hAnsiTheme="minorHAnsi" w:cstheme="minorHAnsi"/>
          <w:szCs w:val="24"/>
          <w:lang w:eastAsia="en-US"/>
        </w:rPr>
        <w:t xml:space="preserve"> lo siguiente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:</w:t>
      </w:r>
    </w:p>
    <w:p w:rsidR="000B5DD7" w:rsidRDefault="000B5DD7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Pr="00A71529" w:rsidRDefault="000B5DD7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“</w:t>
      </w:r>
      <w:r w:rsidR="00A71529" w:rsidRPr="00A71529">
        <w:rPr>
          <w:rFonts w:asciiTheme="minorHAnsi" w:hAnsiTheme="minorHAnsi" w:cstheme="minorHAnsi"/>
          <w:szCs w:val="24"/>
          <w:lang w:eastAsia="en-US"/>
        </w:rPr>
        <w:t>CAPITULO VIII</w:t>
      </w:r>
    </w:p>
    <w:p w:rsidR="00A71529" w:rsidRP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A71529">
        <w:rPr>
          <w:rFonts w:asciiTheme="minorHAnsi" w:hAnsiTheme="minorHAnsi" w:cstheme="minorHAnsi"/>
          <w:szCs w:val="24"/>
          <w:lang w:eastAsia="en-US"/>
        </w:rPr>
        <w:t>INSCRIPCION DE GRANJAS E INCUBADORAS</w:t>
      </w:r>
    </w:p>
    <w:p w:rsidR="00A71529" w:rsidRP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0B5DD7">
        <w:rPr>
          <w:rFonts w:asciiTheme="minorHAnsi" w:hAnsiTheme="minorHAnsi" w:cstheme="minorHAnsi"/>
          <w:b/>
          <w:szCs w:val="24"/>
          <w:lang w:eastAsia="en-US"/>
        </w:rPr>
        <w:t>Art.13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 Las granjas que cuenten con </w:t>
      </w:r>
      <w:r w:rsidRPr="000B5DD7">
        <w:rPr>
          <w:rFonts w:asciiTheme="minorHAnsi" w:hAnsiTheme="minorHAnsi" w:cstheme="minorHAnsi"/>
          <w:b/>
          <w:szCs w:val="24"/>
          <w:lang w:eastAsia="en-US"/>
        </w:rPr>
        <w:t>quinientas aves o más</w:t>
      </w:r>
      <w:r w:rsidRPr="00A71529">
        <w:rPr>
          <w:rFonts w:asciiTheme="minorHAnsi" w:hAnsiTheme="minorHAnsi" w:cstheme="minorHAnsi"/>
          <w:szCs w:val="24"/>
          <w:lang w:eastAsia="en-US"/>
        </w:rPr>
        <w:t>, de cualquier especie y</w:t>
      </w:r>
      <w:r w:rsidR="000B5DD7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finalidad, deberán ser inscritas en el registro que para tal efecto llevará el MAG.</w:t>
      </w:r>
    </w:p>
    <w:p w:rsidR="00A71529" w:rsidRP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0B5DD7">
        <w:rPr>
          <w:rFonts w:asciiTheme="minorHAnsi" w:hAnsiTheme="minorHAnsi" w:cstheme="minorHAnsi"/>
          <w:b/>
          <w:szCs w:val="24"/>
          <w:lang w:eastAsia="en-US"/>
        </w:rPr>
        <w:t>Art. 14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 La solicitud de inscripción de las granjas a que alude el artículo anterior deberá</w:t>
      </w:r>
      <w:r w:rsidR="000B5DD7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contar con los requisitos siguientes: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>Nombre de su representante o propietario, su direcci</w:t>
      </w:r>
      <w:r w:rsidR="000B5DD7">
        <w:rPr>
          <w:rFonts w:asciiTheme="minorHAnsi" w:hAnsiTheme="minorHAnsi" w:cstheme="minorHAnsi"/>
          <w:szCs w:val="24"/>
        </w:rPr>
        <w:t>ón y teléfono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 xml:space="preserve">Nombre de la </w:t>
      </w:r>
      <w:r w:rsidR="000B5DD7">
        <w:rPr>
          <w:rFonts w:asciiTheme="minorHAnsi" w:hAnsiTheme="minorHAnsi" w:cstheme="minorHAnsi"/>
          <w:szCs w:val="24"/>
        </w:rPr>
        <w:t>granja, su ubicación y teléfono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>Inventario de aves, edades, función zo</w:t>
      </w:r>
      <w:r w:rsidR="000B5DD7">
        <w:rPr>
          <w:rFonts w:asciiTheme="minorHAnsi" w:hAnsiTheme="minorHAnsi" w:cstheme="minorHAnsi"/>
          <w:szCs w:val="24"/>
        </w:rPr>
        <w:t>otécnica y origen de las mismas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>Fechas programada</w:t>
      </w:r>
      <w:r w:rsidR="000B5DD7">
        <w:rPr>
          <w:rFonts w:asciiTheme="minorHAnsi" w:hAnsiTheme="minorHAnsi" w:cstheme="minorHAnsi"/>
          <w:szCs w:val="24"/>
        </w:rPr>
        <w:t>s de entradas y salidas de aves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>Lugar y fecha de la solicitud, y</w:t>
      </w:r>
    </w:p>
    <w:p w:rsidR="00A71529" w:rsidRPr="000B5DD7" w:rsidRDefault="00A71529" w:rsidP="00180BCF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B5DD7">
        <w:rPr>
          <w:rFonts w:asciiTheme="minorHAnsi" w:hAnsiTheme="minorHAnsi" w:cstheme="minorHAnsi"/>
          <w:szCs w:val="24"/>
        </w:rPr>
        <w:t>Firma del representan</w:t>
      </w:r>
      <w:r w:rsidR="000B5DD7">
        <w:rPr>
          <w:rFonts w:asciiTheme="minorHAnsi" w:hAnsiTheme="minorHAnsi" w:cstheme="minorHAnsi"/>
          <w:szCs w:val="24"/>
        </w:rPr>
        <w:t>te o propietario</w:t>
      </w:r>
    </w:p>
    <w:p w:rsidR="000B5DD7" w:rsidRDefault="000B5DD7">
      <w:pPr>
        <w:spacing w:after="0" w:line="240" w:lineRule="auto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br w:type="page"/>
      </w:r>
    </w:p>
    <w:p w:rsid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4B4CC3">
        <w:rPr>
          <w:rFonts w:asciiTheme="minorHAnsi" w:hAnsiTheme="minorHAnsi" w:cstheme="minorHAnsi"/>
          <w:b/>
          <w:szCs w:val="24"/>
          <w:lang w:eastAsia="en-US"/>
        </w:rPr>
        <w:lastRenderedPageBreak/>
        <w:t>Art.15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 El MAG, ordenará la inspección de las granjas y procederá a inscribir las que tenga</w:t>
      </w:r>
      <w:r w:rsidR="004B4CC3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la ubicación adecuada y las medidas mínimas de bioseguridad tales como: cerca</w:t>
      </w:r>
      <w:r w:rsidR="004B4CC3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perimetral, acceso controlado, desinfección al ingreso y egreso de personas, vehículo y</w:t>
      </w:r>
      <w:r w:rsidR="004B4CC3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materiales.</w:t>
      </w:r>
    </w:p>
    <w:p w:rsidR="00634D74" w:rsidRPr="00A71529" w:rsidRDefault="00634D74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P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4B4CC3">
        <w:rPr>
          <w:rFonts w:asciiTheme="minorHAnsi" w:hAnsiTheme="minorHAnsi" w:cstheme="minorHAnsi"/>
          <w:b/>
          <w:szCs w:val="24"/>
          <w:lang w:eastAsia="en-US"/>
        </w:rPr>
        <w:t>Art.16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 Las granjas con menos de quinientas aves podrán también ser registradas y recibirán</w:t>
      </w:r>
      <w:r w:rsidR="004B4CC3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un tratamiento especial de parte de las autoridades del MAG.</w:t>
      </w:r>
    </w:p>
    <w:p w:rsidR="00A71529" w:rsidRPr="00A71529" w:rsidRDefault="00A7152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A71529">
        <w:rPr>
          <w:rFonts w:asciiTheme="minorHAnsi" w:hAnsiTheme="minorHAnsi" w:cstheme="minorHAnsi"/>
          <w:szCs w:val="24"/>
          <w:lang w:eastAsia="en-US"/>
        </w:rPr>
        <w:t>El objetivo de esta inscripción no es para otorgar permisos sino obtener información sobre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el fin zootécnico, la capacidad instalada, la población, la dinámica y la</w:t>
      </w:r>
      <w:r w:rsidR="00647BE0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georreferenciación.</w:t>
      </w:r>
    </w:p>
    <w:p w:rsidR="00634D74" w:rsidRPr="00A71529" w:rsidRDefault="00634D74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Pr="00A71529" w:rsidRDefault="00A71529" w:rsidP="00A7152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A71529">
        <w:rPr>
          <w:rFonts w:asciiTheme="minorHAnsi" w:hAnsiTheme="minorHAnsi" w:cstheme="minorHAnsi"/>
          <w:szCs w:val="24"/>
          <w:lang w:eastAsia="en-US"/>
        </w:rPr>
        <w:t>Posteriormente la Unidad de Sanidad Avícola se encarga de verificar el funcionamiento de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la misma además de realizar vigilancia epidemiológica continua para la prevención de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enfermedades aviares restrictivas al comercio: Influenza Aviar, Enfermedad de Newcastle,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Laringotraqueitis aviar, Tifosis y Pulorosis aviar.</w:t>
      </w:r>
    </w:p>
    <w:p w:rsidR="00634D74" w:rsidRDefault="00634D74" w:rsidP="00634D7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</w:p>
    <w:p w:rsidR="00A71529" w:rsidRPr="00A71529" w:rsidRDefault="00A71529" w:rsidP="00634D7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A71529">
        <w:rPr>
          <w:rFonts w:asciiTheme="minorHAnsi" w:hAnsiTheme="minorHAnsi" w:cstheme="minorHAnsi"/>
          <w:szCs w:val="24"/>
          <w:lang w:eastAsia="en-US"/>
        </w:rPr>
        <w:t>La persona interesada debe contactar en primer lugar al Ministerio de Salud (MINSAL) para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>poder cumplir con los requisitos que dicta el Acuerdo No. 1164 "Norma Técnica para la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 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autorización de granjas avícolas", se anexa </w:t>
      </w:r>
      <w:r w:rsidR="00634D74">
        <w:rPr>
          <w:rFonts w:asciiTheme="minorHAnsi" w:hAnsiTheme="minorHAnsi" w:cstheme="minorHAnsi"/>
          <w:szCs w:val="24"/>
          <w:lang w:eastAsia="en-US"/>
        </w:rPr>
        <w:t xml:space="preserve">dicha normativa </w:t>
      </w:r>
      <w:r w:rsidRPr="00A71529">
        <w:rPr>
          <w:rFonts w:asciiTheme="minorHAnsi" w:hAnsiTheme="minorHAnsi" w:cstheme="minorHAnsi"/>
          <w:szCs w:val="24"/>
          <w:lang w:eastAsia="en-US"/>
        </w:rPr>
        <w:t>para m</w:t>
      </w:r>
      <w:r w:rsidR="00634D74">
        <w:rPr>
          <w:rFonts w:asciiTheme="minorHAnsi" w:hAnsiTheme="minorHAnsi" w:cstheme="minorHAnsi"/>
          <w:szCs w:val="24"/>
          <w:lang w:eastAsia="en-US"/>
        </w:rPr>
        <w:t>ayor información</w:t>
      </w:r>
      <w:r w:rsidRPr="00A71529">
        <w:rPr>
          <w:rFonts w:asciiTheme="minorHAnsi" w:hAnsiTheme="minorHAnsi" w:cstheme="minorHAnsi"/>
          <w:szCs w:val="24"/>
          <w:lang w:eastAsia="en-US"/>
        </w:rPr>
        <w:t xml:space="preserve">. </w:t>
      </w:r>
    </w:p>
    <w:p w:rsidR="008A023C" w:rsidRPr="00A71529" w:rsidRDefault="008A023C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Cs w:val="24"/>
          <w:lang w:val="x-none"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Pr="00634D74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4"/>
          <w:lang w:eastAsia="en-US"/>
        </w:rPr>
      </w:pPr>
      <w:r w:rsidRPr="00634D74">
        <w:rPr>
          <w:rFonts w:asciiTheme="minorHAnsi" w:hAnsiTheme="minorHAnsi" w:cstheme="minorHAnsi"/>
          <w:b/>
          <w:color w:val="000099"/>
          <w:szCs w:val="24"/>
          <w:lang w:eastAsia="en-US"/>
        </w:rPr>
        <w:t>Ana Patricia Sánchez de Cruz</w:t>
      </w:r>
    </w:p>
    <w:p w:rsidR="00E16FD9" w:rsidRPr="00634D74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4"/>
          <w:lang w:eastAsia="en-US"/>
        </w:rPr>
      </w:pPr>
      <w:r w:rsidRPr="00634D74">
        <w:rPr>
          <w:rFonts w:asciiTheme="minorHAnsi" w:hAnsiTheme="minorHAnsi" w:cstheme="minorHAnsi"/>
          <w:b/>
          <w:color w:val="000099"/>
          <w:szCs w:val="24"/>
          <w:lang w:eastAsia="en-US"/>
        </w:rPr>
        <w:t>Oficial de Información OIR MAG</w:t>
      </w:r>
    </w:p>
    <w:p w:rsidR="009F35F0" w:rsidRPr="00E16FD9" w:rsidRDefault="009F35F0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8"/>
          <w:szCs w:val="24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CF" w:rsidRDefault="00180BCF" w:rsidP="00F425A5">
      <w:pPr>
        <w:spacing w:after="0" w:line="240" w:lineRule="auto"/>
      </w:pPr>
      <w:r>
        <w:separator/>
      </w:r>
    </w:p>
  </w:endnote>
  <w:endnote w:type="continuationSeparator" w:id="0">
    <w:p w:rsidR="00180BCF" w:rsidRDefault="00180BC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B5DD7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0B5DD7" w:rsidRDefault="000B5DD7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FF0000"/>
                              <w:sz w:val="16"/>
                            </w:rPr>
                          </w:pPr>
                          <w:r w:rsidRPr="000B5DD7">
                            <w:rPr>
                              <w:color w:val="FF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begin"/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instrText>PAGE  \* Arabic  \* MERGEFORMAT</w:instrTex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separate"/>
                          </w:r>
                          <w:r w:rsidR="00913778" w:rsidRPr="00913778">
                            <w:rPr>
                              <w:b/>
                              <w:noProof/>
                              <w:color w:val="FF0000"/>
                              <w:sz w:val="16"/>
                              <w:lang w:val="es-ES"/>
                            </w:rPr>
                            <w:t>1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end"/>
                          </w:r>
                          <w:r w:rsidRPr="000B5DD7">
                            <w:rPr>
                              <w:color w:val="FF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begin"/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instrText>NUMPAGES  \* Arabic  \* MERGEFORMAT</w:instrTex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separate"/>
                          </w:r>
                          <w:r w:rsidR="00913778" w:rsidRPr="00913778">
                            <w:rPr>
                              <w:b/>
                              <w:noProof/>
                              <w:color w:val="FF0000"/>
                              <w:sz w:val="16"/>
                              <w:lang w:val="es-ES"/>
                            </w:rPr>
                            <w:t>2</w:t>
                          </w:r>
                          <w:r w:rsidRPr="000B5DD7">
                            <w:rPr>
                              <w:b/>
                              <w:color w:val="FF0000"/>
                              <w:sz w:val="16"/>
                            </w:rPr>
                            <w:fldChar w:fldCharType="end"/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B5DD7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0B5DD7" w:rsidRDefault="000B5DD7" w:rsidP="00395CC4">
                    <w:pPr>
                      <w:pStyle w:val="Default"/>
                      <w:shd w:val="clear" w:color="auto" w:fill="FFFFFF"/>
                      <w:jc w:val="center"/>
                      <w:rPr>
                        <w:color w:val="FF0000"/>
                        <w:sz w:val="16"/>
                      </w:rPr>
                    </w:pPr>
                    <w:r w:rsidRPr="000B5DD7">
                      <w:rPr>
                        <w:color w:val="FF0000"/>
                        <w:sz w:val="16"/>
                        <w:lang w:val="es-ES"/>
                      </w:rPr>
                      <w:t xml:space="preserve">Página 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begin"/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instrText>PAGE  \* Arabic  \* MERGEFORMAT</w:instrTex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separate"/>
                    </w:r>
                    <w:r w:rsidR="00913778" w:rsidRPr="00913778">
                      <w:rPr>
                        <w:b/>
                        <w:noProof/>
                        <w:color w:val="FF0000"/>
                        <w:sz w:val="16"/>
                        <w:lang w:val="es-ES"/>
                      </w:rPr>
                      <w:t>1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end"/>
                    </w:r>
                    <w:r w:rsidRPr="000B5DD7">
                      <w:rPr>
                        <w:color w:val="FF0000"/>
                        <w:sz w:val="16"/>
                        <w:lang w:val="es-ES"/>
                      </w:rPr>
                      <w:t xml:space="preserve"> de 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begin"/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instrText>NUMPAGES  \* Arabic  \* MERGEFORMAT</w:instrTex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separate"/>
                    </w:r>
                    <w:r w:rsidR="00913778" w:rsidRPr="00913778">
                      <w:rPr>
                        <w:b/>
                        <w:noProof/>
                        <w:color w:val="FF0000"/>
                        <w:sz w:val="16"/>
                        <w:lang w:val="es-ES"/>
                      </w:rPr>
                      <w:t>2</w:t>
                    </w:r>
                    <w:r w:rsidRPr="000B5DD7">
                      <w:rPr>
                        <w:b/>
                        <w:color w:val="FF0000"/>
                        <w:sz w:val="16"/>
                      </w:rPr>
                      <w:fldChar w:fldCharType="end"/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CF" w:rsidRDefault="00180BCF" w:rsidP="00F425A5">
      <w:pPr>
        <w:spacing w:after="0" w:line="240" w:lineRule="auto"/>
      </w:pPr>
      <w:r>
        <w:separator/>
      </w:r>
    </w:p>
  </w:footnote>
  <w:footnote w:type="continuationSeparator" w:id="0">
    <w:p w:rsidR="00180BCF" w:rsidRDefault="00180BC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6C0D"/>
    <w:multiLevelType w:val="hybridMultilevel"/>
    <w:tmpl w:val="F6DA8D96"/>
    <w:lvl w:ilvl="0" w:tplc="6590B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5DD7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52F5E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0BCF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5375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7DA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4CC3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83B"/>
    <w:rsid w:val="006239AF"/>
    <w:rsid w:val="006257EE"/>
    <w:rsid w:val="0063093D"/>
    <w:rsid w:val="00633096"/>
    <w:rsid w:val="00634D74"/>
    <w:rsid w:val="00635004"/>
    <w:rsid w:val="0064039C"/>
    <w:rsid w:val="00640AA6"/>
    <w:rsid w:val="006430BD"/>
    <w:rsid w:val="00647BE0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23C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3778"/>
    <w:rsid w:val="009152B2"/>
    <w:rsid w:val="009175A9"/>
    <w:rsid w:val="009243BB"/>
    <w:rsid w:val="0092782E"/>
    <w:rsid w:val="00930797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1529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3CE1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114B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44AE1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6FD9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7AEE-9341-415C-8EBD-1BD059E8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2016-12-01T16:12:00Z</cp:lastPrinted>
  <dcterms:created xsi:type="dcterms:W3CDTF">2016-12-01T16:25:00Z</dcterms:created>
  <dcterms:modified xsi:type="dcterms:W3CDTF">2016-12-01T16:26:00Z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