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F4" w:rsidRDefault="009334F4" w:rsidP="009334F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>
        <w:rPr>
          <w:rFonts w:asciiTheme="minorHAnsi" w:eastAsia="Arial Unicode MS" w:hAnsiTheme="minorHAnsi" w:cstheme="majorBidi"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5F2270" w:rsidRDefault="00714AA6" w:rsidP="00CE7157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5F2270">
        <w:rPr>
          <w:rFonts w:asciiTheme="minorHAnsi" w:hAnsiTheme="minorHAnsi"/>
          <w:b/>
          <w:color w:val="000099"/>
          <w:szCs w:val="20"/>
        </w:rPr>
        <w:t xml:space="preserve">RESOLUCIÓN </w:t>
      </w:r>
      <w:r w:rsidR="00A6281C" w:rsidRPr="005F2270">
        <w:rPr>
          <w:rFonts w:asciiTheme="minorHAnsi" w:hAnsiTheme="minorHAnsi"/>
          <w:b/>
          <w:color w:val="000099"/>
          <w:szCs w:val="20"/>
        </w:rPr>
        <w:t xml:space="preserve">EN RESPUESTA A </w:t>
      </w:r>
      <w:r w:rsidRPr="005F2270">
        <w:rPr>
          <w:rFonts w:asciiTheme="minorHAnsi" w:hAnsiTheme="minorHAnsi"/>
          <w:b/>
          <w:color w:val="000099"/>
          <w:szCs w:val="20"/>
        </w:rPr>
        <w:t>SOLICITUD</w:t>
      </w:r>
      <w:r w:rsidR="00A6281C" w:rsidRPr="005F2270">
        <w:rPr>
          <w:rFonts w:asciiTheme="minorHAnsi" w:hAnsiTheme="minorHAnsi"/>
          <w:b/>
          <w:color w:val="000099"/>
          <w:szCs w:val="20"/>
        </w:rPr>
        <w:t xml:space="preserve"> DE INFORMACIÓN </w:t>
      </w:r>
      <w:r w:rsidR="00A05D71" w:rsidRPr="005F2270">
        <w:rPr>
          <w:rFonts w:asciiTheme="minorHAnsi" w:hAnsiTheme="minorHAnsi"/>
          <w:b/>
          <w:color w:val="000099"/>
          <w:szCs w:val="20"/>
        </w:rPr>
        <w:t>N</w:t>
      </w:r>
      <w:r w:rsidR="00640AA6" w:rsidRPr="005F2270">
        <w:rPr>
          <w:rFonts w:asciiTheme="minorHAnsi" w:hAnsiTheme="minorHAnsi"/>
          <w:b/>
          <w:color w:val="000099"/>
          <w:szCs w:val="20"/>
        </w:rPr>
        <w:t xml:space="preserve">° </w:t>
      </w:r>
      <w:r w:rsidR="0073365F" w:rsidRPr="005F2270">
        <w:rPr>
          <w:rFonts w:asciiTheme="minorHAnsi" w:hAnsiTheme="minorHAnsi"/>
          <w:b/>
          <w:color w:val="000099"/>
          <w:szCs w:val="20"/>
        </w:rPr>
        <w:t>2</w:t>
      </w:r>
      <w:r w:rsidR="00907DBC" w:rsidRPr="005F2270">
        <w:rPr>
          <w:rFonts w:asciiTheme="minorHAnsi" w:hAnsiTheme="minorHAnsi"/>
          <w:b/>
          <w:color w:val="000099"/>
          <w:szCs w:val="20"/>
        </w:rPr>
        <w:t>83</w:t>
      </w:r>
      <w:r w:rsidR="0065633F" w:rsidRPr="005F2270">
        <w:rPr>
          <w:rFonts w:asciiTheme="minorHAnsi" w:hAnsiTheme="minorHAnsi"/>
          <w:b/>
          <w:color w:val="000099"/>
          <w:szCs w:val="20"/>
        </w:rPr>
        <w:t>-2016</w:t>
      </w:r>
    </w:p>
    <w:p w:rsidR="00D4056E" w:rsidRPr="007059DA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Pr="00CE7157" w:rsidRDefault="00714AA6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E7157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73365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ve</w:t>
      </w:r>
      <w:r w:rsidR="00907DBC">
        <w:rPr>
          <w:rFonts w:asciiTheme="minorHAnsi" w:eastAsia="Arial Unicode MS" w:hAnsiTheme="minorHAnsi" w:cs="Arial Unicode MS"/>
          <w:color w:val="000099"/>
          <w:sz w:val="20"/>
          <w:szCs w:val="20"/>
        </w:rPr>
        <w:t>inte</w:t>
      </w:r>
      <w:r w:rsidR="0073365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día </w:t>
      </w:r>
      <w:r w:rsidR="001C7DA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veinti</w:t>
      </w:r>
      <w:r w:rsidR="00907DBC">
        <w:rPr>
          <w:rFonts w:asciiTheme="minorHAnsi" w:eastAsia="Arial Unicode MS" w:hAnsiTheme="minorHAnsi" w:cs="Arial Unicode MS"/>
          <w:color w:val="000099"/>
          <w:sz w:val="20"/>
          <w:szCs w:val="20"/>
        </w:rPr>
        <w:t>trés</w:t>
      </w:r>
      <w:r w:rsidR="00560DB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</w:t>
      </w:r>
      <w:r w:rsidR="00A228D4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907DB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noviembre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de 201</w:t>
      </w:r>
      <w:r w:rsidR="00CA0975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6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73365F"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907DBC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83</w:t>
      </w:r>
      <w:r w:rsidR="00E757D8"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1C7DAF" w:rsidRPr="00171A91" w:rsidRDefault="001C7DAF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907DBC" w:rsidRPr="00907DBC" w:rsidRDefault="00907DBC" w:rsidP="00907DBC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7DB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Detalle por año, de las MYPE, Asociaciones de Agricultores y agricultores individuales proveedores de bienes y servicios contratados por el Ministerio de Agricultura y Ganadería, en el cual se incluya tipo de contratación, tipo de bienes y servicios adjudicados y montos contratados, en el periodo del 1 de enero de 2014 al 15 de octubre de 2016. </w:t>
      </w:r>
    </w:p>
    <w:p w:rsidR="00907DBC" w:rsidRPr="005F2270" w:rsidRDefault="00907DBC" w:rsidP="00907D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907DBC" w:rsidRPr="005F2270" w:rsidRDefault="00907DBC" w:rsidP="00907DBC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7DB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Así mismo, dentro de ese mismo periodo, el detalle por año de las MYPE a las que no se les haya cancelado los bienes y servicios adquiridos, dentro de los 30 días a partir de haberlos recibido conforme al artículo 32 de la Ley de Fomento de Protección y Desarrollo para la Micro y Pequeña Empresa, en la cual se incluya además, el tipo de bienes y servicios adjudicados con sus respectivos montos </w:t>
      </w:r>
      <w:r w:rsidRPr="005F22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contratados y saldos adeudados; así como de Asociaciones de Agricultores y agricultores individuales a los que no se les haya cancelado los bienes y servicios adquiridos dentro del Programa de Paquetes Agrícolas, dentro del plazo de pago establecido. </w:t>
      </w:r>
    </w:p>
    <w:p w:rsidR="00907DBC" w:rsidRPr="005F2270" w:rsidRDefault="00907DBC" w:rsidP="00907DB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907DBC" w:rsidRPr="00907DBC" w:rsidRDefault="00907DBC" w:rsidP="00907DBC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907DB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Detalle por año, de los fondos erogados en concepto de compensación por el retraso en la cancelación de los bienes o servicios adquiridos por parte de las MYPE y Asociaciones de Agricultores, en el cual se incluya el tipo de bienes o servicios contratados, en el mismo periodo. </w:t>
      </w:r>
    </w:p>
    <w:p w:rsidR="00907DBC" w:rsidRPr="005F2270" w:rsidRDefault="00907DBC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szCs w:val="20"/>
        </w:rPr>
      </w:pPr>
    </w:p>
    <w:p w:rsidR="005F2270" w:rsidRDefault="00BE0B9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w w:val="102"/>
          <w:sz w:val="20"/>
          <w:szCs w:val="20"/>
        </w:rPr>
        <w:t>P</w:t>
      </w:r>
      <w:r w:rsidR="00EE4B7D" w:rsidRPr="00CE7157">
        <w:rPr>
          <w:rFonts w:asciiTheme="minorHAnsi" w:eastAsia="Arial Unicode MS" w:hAnsiTheme="minorHAnsi" w:cs="Arial Unicode MS"/>
          <w:w w:val="102"/>
          <w:sz w:val="20"/>
          <w:szCs w:val="20"/>
        </w:rPr>
        <w:t>resentada ante la Oficina de Información y Respuesta de esta dependencia por parte de</w:t>
      </w:r>
      <w:r w:rsidR="00EE4B7D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:</w:t>
      </w:r>
      <w:r w:rsidR="00963746" w:rsidRPr="00CE7157">
        <w:rPr>
          <w:rFonts w:asciiTheme="minorHAnsi" w:hAnsiTheme="minorHAnsi"/>
          <w:color w:val="000099"/>
          <w:sz w:val="20"/>
          <w:szCs w:val="20"/>
        </w:rPr>
        <w:t xml:space="preserve"> </w:t>
      </w:r>
      <w:proofErr w:type="spellStart"/>
      <w:r w:rsidR="009334F4" w:rsidRPr="009334F4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xxxxxxxxxxxxxxxx</w:t>
      </w:r>
      <w:proofErr w:type="spellEnd"/>
      <w:r w:rsidR="00907DBC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5477D" w:rsidRPr="005F2270" w:rsidRDefault="00B5477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B5477D" w:rsidRPr="00171A91" w:rsidRDefault="00B5477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126A4D" w:rsidRPr="00CE7157" w:rsidRDefault="00B5477D" w:rsidP="00CE7157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CE7157">
        <w:rPr>
          <w:rFonts w:asciiTheme="minorHAnsi" w:hAnsiTheme="minorHAnsi"/>
          <w:b/>
          <w:color w:val="000099"/>
          <w:sz w:val="20"/>
          <w:szCs w:val="20"/>
        </w:rPr>
        <w:t xml:space="preserve">PROPORCIONAR </w:t>
      </w:r>
      <w:r w:rsidRPr="007B43E3">
        <w:rPr>
          <w:rFonts w:asciiTheme="minorHAnsi" w:hAnsiTheme="minorHAnsi"/>
          <w:b/>
          <w:color w:val="000099"/>
          <w:sz w:val="20"/>
          <w:szCs w:val="20"/>
        </w:rPr>
        <w:t>PARTE</w:t>
      </w:r>
      <w:r w:rsidRPr="00CE7157">
        <w:rPr>
          <w:rFonts w:asciiTheme="minorHAnsi" w:hAnsiTheme="minorHAnsi"/>
          <w:b/>
          <w:color w:val="000099"/>
          <w:sz w:val="20"/>
          <w:szCs w:val="20"/>
        </w:rPr>
        <w:t xml:space="preserve"> DE LA INFORMACIÓN PÚBLICA SOLICITADA</w:t>
      </w:r>
    </w:p>
    <w:p w:rsidR="00126A4D" w:rsidRPr="00171A91" w:rsidRDefault="00126A4D" w:rsidP="00CE7157">
      <w:pPr>
        <w:spacing w:after="0" w:line="240" w:lineRule="auto"/>
        <w:jc w:val="center"/>
        <w:rPr>
          <w:rFonts w:asciiTheme="minorHAnsi" w:hAnsiTheme="minorHAnsi"/>
          <w:color w:val="000099"/>
          <w:sz w:val="10"/>
          <w:szCs w:val="20"/>
        </w:rPr>
      </w:pPr>
    </w:p>
    <w:p w:rsidR="00CE1A1E" w:rsidRPr="005F2270" w:rsidRDefault="00656339" w:rsidP="00AB19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CE1A1E">
        <w:rPr>
          <w:rFonts w:asciiTheme="minorHAnsi" w:hAnsiTheme="minorHAnsi"/>
          <w:sz w:val="20"/>
          <w:szCs w:val="20"/>
        </w:rPr>
        <w:t>S</w:t>
      </w:r>
      <w:r w:rsidR="0073365F" w:rsidRPr="00CE1A1E">
        <w:rPr>
          <w:rFonts w:asciiTheme="minorHAnsi" w:hAnsiTheme="minorHAnsi"/>
          <w:sz w:val="20"/>
          <w:szCs w:val="20"/>
        </w:rPr>
        <w:t xml:space="preserve">e </w:t>
      </w:r>
      <w:r w:rsidR="002A3AAA" w:rsidRPr="00CE1A1E">
        <w:rPr>
          <w:rFonts w:asciiTheme="minorHAnsi" w:hAnsiTheme="minorHAnsi"/>
          <w:sz w:val="20"/>
          <w:szCs w:val="20"/>
        </w:rPr>
        <w:t>adjunta</w:t>
      </w:r>
      <w:r w:rsidR="00CE1A1E">
        <w:rPr>
          <w:rFonts w:asciiTheme="minorHAnsi" w:hAnsiTheme="minorHAnsi"/>
          <w:sz w:val="20"/>
          <w:szCs w:val="20"/>
        </w:rPr>
        <w:t>n</w:t>
      </w:r>
      <w:r w:rsidR="002A3AAA" w:rsidRPr="00CE1A1E">
        <w:rPr>
          <w:rFonts w:asciiTheme="minorHAnsi" w:hAnsiTheme="minorHAnsi"/>
          <w:sz w:val="20"/>
          <w:szCs w:val="20"/>
        </w:rPr>
        <w:t xml:space="preserve"> a la presente resolución</w:t>
      </w:r>
      <w:r w:rsidR="001C7DAF" w:rsidRPr="00CE1A1E">
        <w:rPr>
          <w:rFonts w:asciiTheme="minorHAnsi" w:hAnsiTheme="minorHAnsi"/>
          <w:sz w:val="20"/>
          <w:szCs w:val="20"/>
        </w:rPr>
        <w:t xml:space="preserve"> </w:t>
      </w:r>
      <w:r w:rsidR="00CE1A1E" w:rsidRPr="00CE1A1E">
        <w:rPr>
          <w:rFonts w:asciiTheme="minorHAnsi" w:hAnsiTheme="minorHAnsi"/>
          <w:sz w:val="20"/>
          <w:szCs w:val="20"/>
        </w:rPr>
        <w:t xml:space="preserve">tres archivos en los que se proporciona </w:t>
      </w:r>
      <w:r w:rsidR="001C7DAF" w:rsidRPr="00CE1A1E">
        <w:rPr>
          <w:rFonts w:asciiTheme="minorHAnsi" w:hAnsiTheme="minorHAnsi"/>
          <w:sz w:val="20"/>
          <w:szCs w:val="20"/>
        </w:rPr>
        <w:t>información sobre</w:t>
      </w:r>
      <w:r w:rsidR="00AB1956">
        <w:rPr>
          <w:rFonts w:asciiTheme="minorHAnsi" w:hAnsiTheme="minorHAnsi"/>
          <w:sz w:val="20"/>
          <w:szCs w:val="20"/>
        </w:rPr>
        <w:t>:</w:t>
      </w:r>
      <w:r w:rsidR="001C7DAF" w:rsidRPr="00CE1A1E">
        <w:rPr>
          <w:rFonts w:asciiTheme="minorHAnsi" w:hAnsiTheme="minorHAnsi"/>
          <w:sz w:val="20"/>
          <w:szCs w:val="20"/>
        </w:rPr>
        <w:t xml:space="preserve"> </w:t>
      </w:r>
      <w:r w:rsidR="007B43E3" w:rsidRPr="005F2270">
        <w:rPr>
          <w:rFonts w:asciiTheme="minorHAnsi" w:hAnsiTheme="minorHAnsi"/>
          <w:color w:val="000099"/>
          <w:sz w:val="20"/>
          <w:szCs w:val="20"/>
        </w:rPr>
        <w:t>las MYPES, Asociaciones de Agricultores y agricultores individuales p</w:t>
      </w:r>
      <w:r w:rsidR="001C7DAF" w:rsidRPr="005F2270">
        <w:rPr>
          <w:rFonts w:asciiTheme="minorHAnsi" w:hAnsiTheme="minorHAnsi"/>
          <w:color w:val="000099"/>
          <w:sz w:val="20"/>
          <w:szCs w:val="20"/>
        </w:rPr>
        <w:t>r</w:t>
      </w:r>
      <w:r w:rsidR="007B43E3" w:rsidRPr="005F2270">
        <w:rPr>
          <w:rFonts w:asciiTheme="minorHAnsi" w:hAnsiTheme="minorHAnsi"/>
          <w:color w:val="000099"/>
          <w:sz w:val="20"/>
          <w:szCs w:val="20"/>
        </w:rPr>
        <w:t>oveedores de bienes y servicios contratados por el MAG</w:t>
      </w:r>
      <w:r w:rsidR="00CE1A1E" w:rsidRPr="005F2270">
        <w:rPr>
          <w:rFonts w:asciiTheme="minorHAnsi" w:hAnsiTheme="minorHAnsi"/>
          <w:color w:val="000099"/>
          <w:sz w:val="20"/>
          <w:szCs w:val="20"/>
        </w:rPr>
        <w:t>,</w:t>
      </w:r>
      <w:r w:rsidR="007B43E3" w:rsidRPr="005F2270">
        <w:rPr>
          <w:rFonts w:asciiTheme="minorHAnsi" w:hAnsiTheme="minorHAnsi"/>
          <w:color w:val="000099"/>
          <w:sz w:val="20"/>
          <w:szCs w:val="20"/>
        </w:rPr>
        <w:t xml:space="preserve"> </w:t>
      </w:r>
      <w:r w:rsidR="00CE1A1E" w:rsidRPr="005F2270">
        <w:rPr>
          <w:rFonts w:asciiTheme="minorHAnsi" w:eastAsia="Arial Unicode MS" w:hAnsiTheme="minorHAnsi" w:cs="Arial Unicode MS"/>
          <w:color w:val="000099"/>
          <w:sz w:val="20"/>
          <w:szCs w:val="20"/>
        </w:rPr>
        <w:t>en los cuales se detalla el tipo de contratación, tipo de bienes y servicios adjudicados y montos contratados, en el periodo del 1 de enero d</w:t>
      </w:r>
      <w:r w:rsidR="005F2270" w:rsidRPr="005F2270">
        <w:rPr>
          <w:rFonts w:asciiTheme="minorHAnsi" w:eastAsia="Arial Unicode MS" w:hAnsiTheme="minorHAnsi" w:cs="Arial Unicode MS"/>
          <w:color w:val="000099"/>
          <w:sz w:val="20"/>
          <w:szCs w:val="20"/>
        </w:rPr>
        <w:t>e 2014 al 15 de octubre de 2016;</w:t>
      </w:r>
      <w:r w:rsidR="00CE1A1E" w:rsidRPr="005F22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CE1A1E" w:rsidRPr="005F2270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exceptuando</w:t>
      </w:r>
      <w:r w:rsidR="00AB1956" w:rsidRPr="005F2270">
        <w:rPr>
          <w:rFonts w:asciiTheme="minorHAnsi" w:hAnsiTheme="minorHAnsi"/>
          <w:i/>
          <w:sz w:val="20"/>
          <w:szCs w:val="20"/>
        </w:rPr>
        <w:t xml:space="preserve"> </w:t>
      </w:r>
      <w:r w:rsidR="00AB1956" w:rsidRPr="005F2270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información del año 2014 de las Asociaciones de Agricultores y agricultores individuales</w:t>
      </w:r>
      <w:r w:rsidR="00566B22" w:rsidRPr="005F2270">
        <w:rPr>
          <w:rFonts w:asciiTheme="minorHAnsi" w:eastAsia="Arial Unicode MS" w:hAnsiTheme="minorHAnsi" w:cs="Arial Unicode MS"/>
          <w:color w:val="000099"/>
          <w:sz w:val="20"/>
          <w:szCs w:val="20"/>
        </w:rPr>
        <w:t>. A</w:t>
      </w:r>
      <w:r w:rsidR="00AB1956" w:rsidRPr="005F227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demás se entrega información de  las Asociaciones de Agricultores y agricultores individuales a los que no se les haya cancelado los bienes y servicios adquiridos dentro del Programa de Paquetes Agrícolas, dentro del plazo de pago establecido </w:t>
      </w:r>
      <w:r w:rsidR="00566B22" w:rsidRPr="005F2270">
        <w:rPr>
          <w:rFonts w:asciiTheme="minorHAnsi" w:eastAsia="Arial Unicode MS" w:hAnsiTheme="minorHAnsi" w:cs="Arial Unicode MS"/>
          <w:color w:val="000099"/>
          <w:sz w:val="20"/>
          <w:szCs w:val="20"/>
        </w:rPr>
        <w:t>del período solicitado.</w:t>
      </w:r>
    </w:p>
    <w:p w:rsidR="007B43E3" w:rsidRPr="00566B22" w:rsidRDefault="007B43E3" w:rsidP="00CE7157">
      <w:pPr>
        <w:spacing w:after="0" w:line="240" w:lineRule="auto"/>
        <w:jc w:val="both"/>
        <w:rPr>
          <w:rFonts w:asciiTheme="minorHAnsi" w:hAnsiTheme="minorHAnsi"/>
          <w:i/>
          <w:color w:val="000099"/>
          <w:sz w:val="14"/>
          <w:szCs w:val="20"/>
          <w:lang w:val="es-ES"/>
        </w:rPr>
      </w:pPr>
    </w:p>
    <w:p w:rsidR="00AB1956" w:rsidRPr="00CE7157" w:rsidRDefault="0064092E" w:rsidP="00AB1956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hAnsiTheme="minorHAnsi"/>
          <w:sz w:val="20"/>
          <w:szCs w:val="20"/>
        </w:rPr>
        <w:t xml:space="preserve">La información </w:t>
      </w:r>
      <w:r w:rsidR="00AB1956" w:rsidRPr="00AB1956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del año 2014 de las Asociaciones de Agricultores y agricultores individuales</w:t>
      </w:r>
      <w:r w:rsidR="00AB1956">
        <w:rPr>
          <w:rFonts w:asciiTheme="minorHAnsi" w:hAnsiTheme="minorHAnsi"/>
          <w:sz w:val="20"/>
          <w:szCs w:val="20"/>
        </w:rPr>
        <w:t>,</w:t>
      </w:r>
      <w:r w:rsidR="00AB1956" w:rsidRPr="00AB1956">
        <w:rPr>
          <w:rFonts w:asciiTheme="minorHAnsi" w:hAnsiTheme="minorHAnsi"/>
          <w:sz w:val="20"/>
          <w:szCs w:val="20"/>
        </w:rPr>
        <w:t xml:space="preserve"> </w:t>
      </w:r>
      <w:r w:rsidR="00AB1956" w:rsidRPr="00CE7157">
        <w:rPr>
          <w:rFonts w:asciiTheme="minorHAnsi" w:hAnsiTheme="minorHAnsi"/>
          <w:sz w:val="20"/>
          <w:szCs w:val="20"/>
        </w:rPr>
        <w:t xml:space="preserve">es información que no está disponible, porque </w:t>
      </w:r>
      <w:r w:rsidR="00566B22">
        <w:rPr>
          <w:rFonts w:asciiTheme="minorHAnsi" w:hAnsiTheme="minorHAnsi"/>
          <w:sz w:val="20"/>
          <w:szCs w:val="20"/>
        </w:rPr>
        <w:t xml:space="preserve">no </w:t>
      </w:r>
      <w:r w:rsidR="00AB1956" w:rsidRPr="00CE7157">
        <w:rPr>
          <w:rFonts w:asciiTheme="minorHAnsi" w:hAnsiTheme="minorHAnsi"/>
          <w:sz w:val="20"/>
          <w:szCs w:val="20"/>
        </w:rPr>
        <w:t xml:space="preserve">se </w:t>
      </w:r>
      <w:r w:rsidR="00AB1956">
        <w:rPr>
          <w:rFonts w:asciiTheme="minorHAnsi" w:hAnsiTheme="minorHAnsi"/>
          <w:sz w:val="20"/>
          <w:szCs w:val="20"/>
        </w:rPr>
        <w:t>registra en nuestros archivos</w:t>
      </w:r>
      <w:r w:rsidR="00AB1956" w:rsidRPr="00CE7157">
        <w:rPr>
          <w:rFonts w:asciiTheme="minorHAnsi" w:hAnsiTheme="minorHAnsi"/>
          <w:sz w:val="20"/>
          <w:szCs w:val="20"/>
        </w:rPr>
        <w:t xml:space="preserve">; por tanto </w:t>
      </w:r>
      <w:r w:rsidR="00AB1956" w:rsidRPr="00CE7157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define en el art. 73 que nos encontramos ante un caso de información </w:t>
      </w:r>
      <w:r w:rsidR="00AB1956"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AB1956" w:rsidRPr="00CE7157">
        <w:rPr>
          <w:rFonts w:asciiTheme="minorHAnsi" w:eastAsia="Arial Unicode MS" w:hAnsiTheme="minorHAnsi" w:cs="Arial Unicode MS"/>
          <w:sz w:val="20"/>
          <w:szCs w:val="20"/>
        </w:rPr>
        <w:t>, lo que  impide  brindar lo  requerido  por  el  peticionario, esta dependencia resuelve:</w:t>
      </w:r>
    </w:p>
    <w:p w:rsidR="00AB1956" w:rsidRPr="00171A91" w:rsidRDefault="00AB1956" w:rsidP="00AB1956">
      <w:pPr>
        <w:spacing w:after="0" w:line="240" w:lineRule="auto"/>
        <w:jc w:val="both"/>
        <w:rPr>
          <w:rFonts w:asciiTheme="minorHAnsi" w:hAnsiTheme="minorHAnsi"/>
          <w:b/>
          <w:color w:val="000099"/>
          <w:sz w:val="10"/>
          <w:szCs w:val="20"/>
        </w:rPr>
      </w:pPr>
    </w:p>
    <w:p w:rsidR="00AB1956" w:rsidRPr="00566B22" w:rsidRDefault="00AB1956" w:rsidP="00AB1956">
      <w:pPr>
        <w:spacing w:after="0" w:line="240" w:lineRule="auto"/>
        <w:jc w:val="center"/>
        <w:rPr>
          <w:rFonts w:asciiTheme="minorHAnsi" w:hAnsiTheme="minorHAnsi"/>
          <w:b/>
          <w:color w:val="000099"/>
          <w:sz w:val="6"/>
          <w:szCs w:val="20"/>
        </w:rPr>
      </w:pPr>
    </w:p>
    <w:p w:rsidR="00AB1956" w:rsidRPr="00CE7157" w:rsidRDefault="00AB1956" w:rsidP="00AB1956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CE7157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5F2270" w:rsidRDefault="005F2270">
      <w:pPr>
        <w:spacing w:after="0" w:line="240" w:lineRule="auto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AB1956" w:rsidRDefault="00566B22" w:rsidP="00CE715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Con relación a l</w:t>
      </w:r>
      <w:r w:rsidR="00AB1956">
        <w:rPr>
          <w:rFonts w:asciiTheme="minorHAnsi" w:hAnsiTheme="minorHAnsi"/>
          <w:sz w:val="20"/>
          <w:szCs w:val="20"/>
        </w:rPr>
        <w:t>os siguientes requerimientos:</w:t>
      </w:r>
    </w:p>
    <w:p w:rsidR="00AB1956" w:rsidRDefault="00AB1956" w:rsidP="00CE715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AB1956" w:rsidRPr="00AB1956" w:rsidRDefault="00AB1956" w:rsidP="00AB195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“</w:t>
      </w:r>
      <w:r w:rsidRPr="00AB19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Así mismo, dentro de ese mismo periodo, el detalle por año de las MYPE a las que no se les haya cancelado los bienes y servicios adquiridos, dentro de los 30 días a partir de haberlos recibido conforme al artículo 32 de la Ley de Fomento de Protección y Desarrollo para la Micro y Pequeña Empresa, en la cual se incluya además, el tipo de bienes y servicios adjudicados con sus respectivos montos contratados y saldos adeudados. </w:t>
      </w:r>
    </w:p>
    <w:p w:rsidR="00AB1956" w:rsidRDefault="00AB1956" w:rsidP="00AB19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AB1956" w:rsidRPr="00AB1956" w:rsidRDefault="00AB1956" w:rsidP="00AB1956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B1956">
        <w:rPr>
          <w:rFonts w:asciiTheme="minorHAnsi" w:eastAsia="Arial Unicode MS" w:hAnsiTheme="minorHAnsi" w:cs="Arial Unicode MS"/>
          <w:color w:val="000099"/>
          <w:sz w:val="20"/>
          <w:szCs w:val="20"/>
        </w:rPr>
        <w:t>Detalle por año, de los fondos erogados en concepto de compensación por el retraso en la cancelación de los bienes o servicios adquiridos por parte de las MYPE y Asociaciones de Agricultores, en el cual se incluya el tipo de bienes o servicios contratados, en el mismo periodo</w:t>
      </w:r>
      <w:r w:rsidR="00566B22">
        <w:rPr>
          <w:rFonts w:asciiTheme="minorHAnsi" w:eastAsia="Arial Unicode MS" w:hAnsiTheme="minorHAnsi" w:cs="Arial Unicode MS"/>
          <w:color w:val="000099"/>
          <w:sz w:val="20"/>
          <w:szCs w:val="20"/>
        </w:rPr>
        <w:t>”</w:t>
      </w:r>
      <w:r w:rsidRPr="00AB19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. </w:t>
      </w:r>
    </w:p>
    <w:p w:rsidR="00CE7157" w:rsidRPr="00171A91" w:rsidRDefault="00CE7157" w:rsidP="00CE7157">
      <w:pPr>
        <w:spacing w:after="0" w:line="240" w:lineRule="auto"/>
        <w:jc w:val="center"/>
        <w:rPr>
          <w:rFonts w:asciiTheme="minorHAnsi" w:hAnsiTheme="minorHAnsi"/>
          <w:b/>
          <w:color w:val="000099"/>
          <w:sz w:val="10"/>
          <w:szCs w:val="20"/>
        </w:rPr>
      </w:pPr>
    </w:p>
    <w:p w:rsidR="00566B22" w:rsidRDefault="00566B22" w:rsidP="00CE715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Sobre el particular se informa lo siguiente</w:t>
      </w:r>
      <w:r w:rsidR="005F2270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de acuerdo a lo manifestado por la Oficina Financiera Institucional OFI de esta Secretaría de Estado:</w:t>
      </w:r>
    </w:p>
    <w:p w:rsidR="00566B22" w:rsidRPr="005F2270" w:rsidRDefault="00566B22" w:rsidP="00CE7157">
      <w:pPr>
        <w:spacing w:after="0" w:line="240" w:lineRule="auto"/>
        <w:jc w:val="both"/>
        <w:rPr>
          <w:rFonts w:asciiTheme="minorHAnsi" w:hAnsiTheme="minorHAnsi"/>
          <w:sz w:val="10"/>
          <w:szCs w:val="20"/>
        </w:rPr>
      </w:pPr>
    </w:p>
    <w:p w:rsidR="00566B22" w:rsidRPr="000806E4" w:rsidRDefault="00566B22" w:rsidP="00CE7157">
      <w:pPr>
        <w:spacing w:after="0" w:line="240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0806E4">
        <w:rPr>
          <w:rFonts w:asciiTheme="minorHAnsi" w:hAnsiTheme="minorHAnsi"/>
          <w:sz w:val="20"/>
          <w:szCs w:val="20"/>
          <w:u w:val="single"/>
        </w:rPr>
        <w:t xml:space="preserve">Con respecto al </w:t>
      </w:r>
      <w:r w:rsidRPr="000806E4">
        <w:rPr>
          <w:rFonts w:asciiTheme="minorHAnsi" w:hAnsiTheme="minorHAnsi"/>
          <w:b/>
          <w:color w:val="000099"/>
          <w:sz w:val="20"/>
          <w:szCs w:val="20"/>
          <w:u w:val="single"/>
        </w:rPr>
        <w:t>punto I</w:t>
      </w:r>
    </w:p>
    <w:p w:rsidR="000749B8" w:rsidRPr="005F2270" w:rsidRDefault="000749B8" w:rsidP="000749B8">
      <w:pPr>
        <w:spacing w:after="0" w:line="240" w:lineRule="auto"/>
        <w:jc w:val="both"/>
        <w:rPr>
          <w:rFonts w:asciiTheme="minorHAnsi" w:hAnsiTheme="minorHAnsi"/>
          <w:sz w:val="10"/>
          <w:szCs w:val="20"/>
        </w:rPr>
      </w:pPr>
    </w:p>
    <w:p w:rsidR="000749B8" w:rsidRDefault="000749B8" w:rsidP="000749B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749B8">
        <w:rPr>
          <w:rFonts w:asciiTheme="minorHAnsi" w:hAnsiTheme="minorHAnsi"/>
          <w:sz w:val="20"/>
          <w:szCs w:val="20"/>
        </w:rPr>
        <w:t>Los pagos a los proveedores del MAG, provienen de diversas fuentes de financiamiento, los cuales se tramitan desde el momento que el proveedor, presenta la factura o comprobante de crédito fiscal correspondiente al servicio o bien proporcionado. Por ser diversas fuentes de financiamiento, se vuelve complejo identificar por proveedor, las fechas en las cuales el Ministerio de Hacienda hace efectivo</w:t>
      </w:r>
      <w:r w:rsidR="000806E4">
        <w:rPr>
          <w:rFonts w:asciiTheme="minorHAnsi" w:hAnsiTheme="minorHAnsi"/>
          <w:sz w:val="20"/>
          <w:szCs w:val="20"/>
        </w:rPr>
        <w:t>s los pagos, debido a que este m</w:t>
      </w:r>
      <w:r w:rsidRPr="000749B8">
        <w:rPr>
          <w:rFonts w:asciiTheme="minorHAnsi" w:hAnsiTheme="minorHAnsi"/>
          <w:sz w:val="20"/>
          <w:szCs w:val="20"/>
        </w:rPr>
        <w:t xml:space="preserve">inisterio, es parte de las Instituciones del Estado, en las cuales se paga por medio de la Cuenta Única del Tesoro Público, siendo el Ministerio de Hacienda, a través de la Dirección General de Tesorería, los encargados de aplicar en las cuentas bancarias que los proveedores detallaron en la Declaración Jurada suscrita para tal efecto. </w:t>
      </w:r>
    </w:p>
    <w:p w:rsidR="000806E4" w:rsidRDefault="000806E4" w:rsidP="000749B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0806E4" w:rsidRDefault="000806E4" w:rsidP="000749B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Esas </w:t>
      </w:r>
      <w:r w:rsidRPr="000806E4">
        <w:rPr>
          <w:rFonts w:asciiTheme="minorHAnsi" w:hAnsiTheme="minorHAnsi"/>
          <w:sz w:val="20"/>
          <w:szCs w:val="20"/>
        </w:rPr>
        <w:t xml:space="preserve">fuentes de financiamiento se liquidan con tramites en los cuales </w:t>
      </w:r>
      <w:r>
        <w:rPr>
          <w:rFonts w:asciiTheme="minorHAnsi" w:hAnsiTheme="minorHAnsi"/>
          <w:sz w:val="20"/>
          <w:szCs w:val="20"/>
        </w:rPr>
        <w:t>el MAG</w:t>
      </w:r>
      <w:r w:rsidRPr="000806E4">
        <w:rPr>
          <w:rFonts w:asciiTheme="minorHAnsi" w:hAnsiTheme="minorHAnsi"/>
          <w:sz w:val="20"/>
          <w:szCs w:val="20"/>
        </w:rPr>
        <w:t xml:space="preserve"> hace las propuestas de pago y es </w:t>
      </w:r>
      <w:r>
        <w:rPr>
          <w:rFonts w:asciiTheme="minorHAnsi" w:hAnsiTheme="minorHAnsi"/>
          <w:sz w:val="20"/>
          <w:szCs w:val="20"/>
        </w:rPr>
        <w:t xml:space="preserve">el Ministerio de </w:t>
      </w:r>
      <w:r w:rsidRPr="000806E4">
        <w:rPr>
          <w:rFonts w:asciiTheme="minorHAnsi" w:hAnsiTheme="minorHAnsi"/>
          <w:sz w:val="20"/>
          <w:szCs w:val="20"/>
        </w:rPr>
        <w:t xml:space="preserve">Hacienda quien determina  cuando se hacen efectivas en las cuentas de los proveedores, </w:t>
      </w:r>
      <w:r>
        <w:rPr>
          <w:rFonts w:asciiTheme="minorHAnsi" w:hAnsiTheme="minorHAnsi"/>
          <w:sz w:val="20"/>
          <w:szCs w:val="20"/>
        </w:rPr>
        <w:t xml:space="preserve">a su vez </w:t>
      </w:r>
      <w:r w:rsidRPr="000806E4">
        <w:rPr>
          <w:rFonts w:asciiTheme="minorHAnsi" w:hAnsiTheme="minorHAnsi"/>
          <w:sz w:val="20"/>
          <w:szCs w:val="20"/>
        </w:rPr>
        <w:t>hay gastos que se hacen directamente por medio de los</w:t>
      </w:r>
      <w:r>
        <w:rPr>
          <w:rFonts w:asciiTheme="minorHAnsi" w:hAnsiTheme="minorHAnsi"/>
          <w:sz w:val="20"/>
          <w:szCs w:val="20"/>
        </w:rPr>
        <w:t xml:space="preserve"> </w:t>
      </w:r>
      <w:r w:rsidRPr="000806E4">
        <w:rPr>
          <w:rFonts w:asciiTheme="minorHAnsi" w:hAnsiTheme="minorHAnsi"/>
          <w:sz w:val="20"/>
          <w:szCs w:val="20"/>
        </w:rPr>
        <w:t xml:space="preserve">fondos circulantes y </w:t>
      </w:r>
      <w:r>
        <w:rPr>
          <w:rFonts w:asciiTheme="minorHAnsi" w:hAnsiTheme="minorHAnsi"/>
          <w:sz w:val="20"/>
          <w:szCs w:val="20"/>
        </w:rPr>
        <w:t xml:space="preserve">la institución </w:t>
      </w:r>
      <w:r w:rsidRPr="000806E4">
        <w:rPr>
          <w:rFonts w:asciiTheme="minorHAnsi" w:hAnsiTheme="minorHAnsi"/>
          <w:sz w:val="20"/>
          <w:szCs w:val="20"/>
        </w:rPr>
        <w:t>liquida pólizas de reintegros y no por proveedor</w:t>
      </w:r>
    </w:p>
    <w:p w:rsidR="000806E4" w:rsidRPr="000749B8" w:rsidRDefault="000806E4" w:rsidP="000749B8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0806E4" w:rsidRPr="000806E4" w:rsidRDefault="000806E4" w:rsidP="00CE715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806E4">
        <w:rPr>
          <w:rFonts w:asciiTheme="minorHAnsi" w:hAnsiTheme="minorHAnsi"/>
          <w:sz w:val="20"/>
          <w:szCs w:val="20"/>
        </w:rPr>
        <w:t>Los datos proporcionados</w:t>
      </w:r>
      <w:r w:rsidR="00B71769">
        <w:rPr>
          <w:rFonts w:asciiTheme="minorHAnsi" w:hAnsiTheme="minorHAnsi"/>
          <w:sz w:val="20"/>
          <w:szCs w:val="20"/>
        </w:rPr>
        <w:t xml:space="preserve"> anexos a la presente resolución </w:t>
      </w:r>
      <w:r w:rsidRPr="000806E4">
        <w:rPr>
          <w:rFonts w:asciiTheme="minorHAnsi" w:hAnsiTheme="minorHAnsi"/>
          <w:sz w:val="20"/>
          <w:szCs w:val="20"/>
        </w:rPr>
        <w:t>sobre las Asociaciones de Agricultores y agricultores individuales</w:t>
      </w:r>
      <w:r w:rsidR="00B71769">
        <w:rPr>
          <w:rFonts w:asciiTheme="minorHAnsi" w:hAnsiTheme="minorHAnsi"/>
          <w:sz w:val="20"/>
          <w:szCs w:val="20"/>
        </w:rPr>
        <w:t>,</w:t>
      </w:r>
      <w:r w:rsidRPr="000806E4">
        <w:rPr>
          <w:rFonts w:asciiTheme="minorHAnsi" w:hAnsiTheme="minorHAnsi"/>
          <w:sz w:val="20"/>
          <w:szCs w:val="20"/>
        </w:rPr>
        <w:t xml:space="preserve"> es posible porque </w:t>
      </w:r>
      <w:r w:rsidR="00B71769">
        <w:rPr>
          <w:rFonts w:asciiTheme="minorHAnsi" w:hAnsiTheme="minorHAnsi"/>
          <w:sz w:val="20"/>
          <w:szCs w:val="20"/>
        </w:rPr>
        <w:t>dicha</w:t>
      </w:r>
      <w:r w:rsidRPr="000806E4">
        <w:rPr>
          <w:rFonts w:asciiTheme="minorHAnsi" w:hAnsiTheme="minorHAnsi"/>
          <w:sz w:val="20"/>
          <w:szCs w:val="20"/>
        </w:rPr>
        <w:t xml:space="preserve"> información está </w:t>
      </w:r>
      <w:r w:rsidR="00B71769" w:rsidRPr="000806E4">
        <w:rPr>
          <w:rFonts w:asciiTheme="minorHAnsi" w:hAnsiTheme="minorHAnsi"/>
          <w:sz w:val="20"/>
          <w:szCs w:val="20"/>
        </w:rPr>
        <w:t>comprendida</w:t>
      </w:r>
      <w:r w:rsidRPr="000806E4">
        <w:rPr>
          <w:rFonts w:asciiTheme="minorHAnsi" w:hAnsiTheme="minorHAnsi"/>
          <w:sz w:val="20"/>
          <w:szCs w:val="20"/>
        </w:rPr>
        <w:t xml:space="preserve"> en la unidad presupuestaria 02 línea de trabajo 02 que qued</w:t>
      </w:r>
      <w:r w:rsidR="00B71769">
        <w:rPr>
          <w:rFonts w:asciiTheme="minorHAnsi" w:hAnsiTheme="minorHAnsi"/>
          <w:sz w:val="20"/>
          <w:szCs w:val="20"/>
        </w:rPr>
        <w:t>ó</w:t>
      </w:r>
      <w:r w:rsidRPr="000806E4">
        <w:rPr>
          <w:rFonts w:asciiTheme="minorHAnsi" w:hAnsiTheme="minorHAnsi"/>
          <w:sz w:val="20"/>
          <w:szCs w:val="20"/>
        </w:rPr>
        <w:t xml:space="preserve"> en el presupuesto general 2016, específicamente para el pago de la seguridad alimentaria que incluye semilla, fertilizante y fungicidas por lo que el MAG tiene el control de esos pagos por ser parciales y programados con la Dirección General de </w:t>
      </w:r>
      <w:r w:rsidR="00B71769" w:rsidRPr="000806E4">
        <w:rPr>
          <w:rFonts w:asciiTheme="minorHAnsi" w:hAnsiTheme="minorHAnsi"/>
          <w:sz w:val="20"/>
          <w:szCs w:val="20"/>
        </w:rPr>
        <w:t>Tesorería</w:t>
      </w:r>
      <w:r w:rsidRPr="000806E4">
        <w:rPr>
          <w:rFonts w:asciiTheme="minorHAnsi" w:hAnsiTheme="minorHAnsi"/>
          <w:sz w:val="20"/>
          <w:szCs w:val="20"/>
        </w:rPr>
        <w:t xml:space="preserve"> del Ministerio de Hacienda.</w:t>
      </w:r>
    </w:p>
    <w:p w:rsidR="00B71769" w:rsidRPr="005F2270" w:rsidRDefault="00B71769" w:rsidP="00B71769">
      <w:pPr>
        <w:spacing w:after="0" w:line="240" w:lineRule="auto"/>
        <w:jc w:val="both"/>
        <w:rPr>
          <w:rFonts w:asciiTheme="minorHAnsi" w:hAnsiTheme="minorHAnsi"/>
          <w:sz w:val="14"/>
          <w:szCs w:val="20"/>
          <w:u w:val="single"/>
        </w:rPr>
      </w:pPr>
    </w:p>
    <w:p w:rsidR="00B71769" w:rsidRPr="000806E4" w:rsidRDefault="00B71769" w:rsidP="00B71769">
      <w:pPr>
        <w:spacing w:after="0" w:line="240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0806E4">
        <w:rPr>
          <w:rFonts w:asciiTheme="minorHAnsi" w:hAnsiTheme="minorHAnsi"/>
          <w:sz w:val="20"/>
          <w:szCs w:val="20"/>
          <w:u w:val="single"/>
        </w:rPr>
        <w:t xml:space="preserve">Con respecto al </w:t>
      </w:r>
      <w:r w:rsidRPr="000806E4">
        <w:rPr>
          <w:rFonts w:asciiTheme="minorHAnsi" w:hAnsiTheme="minorHAnsi"/>
          <w:b/>
          <w:color w:val="000099"/>
          <w:sz w:val="20"/>
          <w:szCs w:val="20"/>
          <w:u w:val="single"/>
        </w:rPr>
        <w:t xml:space="preserve">punto </w:t>
      </w:r>
      <w:r>
        <w:rPr>
          <w:rFonts w:asciiTheme="minorHAnsi" w:hAnsiTheme="minorHAnsi"/>
          <w:b/>
          <w:color w:val="000099"/>
          <w:sz w:val="20"/>
          <w:szCs w:val="20"/>
          <w:u w:val="single"/>
        </w:rPr>
        <w:t>I</w:t>
      </w:r>
      <w:r w:rsidRPr="000806E4">
        <w:rPr>
          <w:rFonts w:asciiTheme="minorHAnsi" w:hAnsiTheme="minorHAnsi"/>
          <w:b/>
          <w:color w:val="000099"/>
          <w:sz w:val="20"/>
          <w:szCs w:val="20"/>
          <w:u w:val="single"/>
        </w:rPr>
        <w:t>I</w:t>
      </w:r>
    </w:p>
    <w:p w:rsidR="00B71769" w:rsidRPr="005F2270" w:rsidRDefault="00B71769" w:rsidP="00B71769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p w:rsidR="000806E4" w:rsidRPr="000806E4" w:rsidRDefault="005F2270" w:rsidP="00B71769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2270">
        <w:rPr>
          <w:rFonts w:asciiTheme="minorHAnsi" w:hAnsiTheme="minorHAnsi"/>
          <w:sz w:val="20"/>
          <w:szCs w:val="20"/>
        </w:rPr>
        <w:t xml:space="preserve">Debido a que los pagos son realizados directamente por la Dirección General de Tesorería del Ministerio de Hacienda, </w:t>
      </w:r>
      <w:r>
        <w:rPr>
          <w:rFonts w:asciiTheme="minorHAnsi" w:hAnsiTheme="minorHAnsi"/>
          <w:sz w:val="20"/>
          <w:szCs w:val="20"/>
        </w:rPr>
        <w:t>la institución de</w:t>
      </w:r>
      <w:r w:rsidRPr="005F2270">
        <w:rPr>
          <w:rFonts w:asciiTheme="minorHAnsi" w:hAnsiTheme="minorHAnsi"/>
          <w:sz w:val="20"/>
          <w:szCs w:val="20"/>
        </w:rPr>
        <w:t>sconoce los montos erogados en concepto de compensación por el retraso en la cancelación de los bienes o servicios adquiridos</w:t>
      </w:r>
      <w:r>
        <w:rPr>
          <w:rFonts w:asciiTheme="minorHAnsi" w:hAnsiTheme="minorHAnsi"/>
          <w:sz w:val="20"/>
          <w:szCs w:val="20"/>
        </w:rPr>
        <w:t>.</w:t>
      </w:r>
    </w:p>
    <w:p w:rsidR="00566B22" w:rsidRDefault="00566B22" w:rsidP="00CE715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CE7157" w:rsidRPr="00171A91" w:rsidRDefault="00CE7157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907DBC" w:rsidRPr="00566B22" w:rsidRDefault="005F2270" w:rsidP="00907DB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Por lo anteriormente expuesto, analizado lo s</w:t>
      </w:r>
      <w:r w:rsidR="00907DBC" w:rsidRPr="00566B22">
        <w:rPr>
          <w:rFonts w:asciiTheme="minorHAnsi" w:hAnsiTheme="minorHAnsi"/>
          <w:sz w:val="20"/>
          <w:szCs w:val="20"/>
        </w:rPr>
        <w:t xml:space="preserve">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907DBC" w:rsidRDefault="00907DBC" w:rsidP="00907DB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07DBC" w:rsidRPr="005F2270" w:rsidRDefault="005F2270" w:rsidP="00907DBC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5F2270">
        <w:rPr>
          <w:rFonts w:asciiTheme="minorHAnsi" w:hAnsiTheme="minorHAnsi"/>
          <w:b/>
          <w:color w:val="000099"/>
          <w:sz w:val="20"/>
          <w:szCs w:val="20"/>
        </w:rPr>
        <w:t xml:space="preserve">NO ENTREGAR </w:t>
      </w:r>
      <w:r w:rsidR="00907DBC" w:rsidRPr="005F2270">
        <w:rPr>
          <w:rFonts w:asciiTheme="minorHAnsi" w:hAnsiTheme="minorHAnsi"/>
          <w:b/>
          <w:color w:val="000099"/>
          <w:sz w:val="20"/>
          <w:szCs w:val="20"/>
        </w:rPr>
        <w:t>LA INFORMACION POR NO SER ESTA INSTITUCIÓN COMPETENTE PARA CONOCER DE LA MISMA</w:t>
      </w:r>
    </w:p>
    <w:p w:rsidR="00907DBC" w:rsidRDefault="00907DBC" w:rsidP="00907DBC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07DBC" w:rsidRPr="005F2270" w:rsidRDefault="00907DBC" w:rsidP="00907DB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F2270">
        <w:rPr>
          <w:rFonts w:asciiTheme="minorHAnsi" w:hAnsiTheme="minorHAnsi"/>
          <w:sz w:val="20"/>
          <w:szCs w:val="20"/>
        </w:rPr>
        <w:t xml:space="preserve">Por lo anteriormente expuesto se recomienda consultar al </w:t>
      </w:r>
      <w:r w:rsidRPr="005F2270">
        <w:rPr>
          <w:rFonts w:asciiTheme="minorHAnsi" w:hAnsiTheme="minorHAnsi"/>
          <w:b/>
          <w:color w:val="000099"/>
          <w:sz w:val="20"/>
          <w:szCs w:val="20"/>
        </w:rPr>
        <w:t>Ministerio de Hacienda</w:t>
      </w:r>
      <w:r w:rsidRPr="005F2270">
        <w:rPr>
          <w:rFonts w:asciiTheme="minorHAnsi" w:hAnsiTheme="minorHAnsi"/>
          <w:sz w:val="20"/>
          <w:szCs w:val="20"/>
        </w:rPr>
        <w:t xml:space="preserve">, con el </w:t>
      </w:r>
      <w:r w:rsidRPr="005F2270">
        <w:rPr>
          <w:rFonts w:asciiTheme="minorHAnsi" w:hAnsiTheme="minorHAnsi"/>
          <w:b/>
          <w:color w:val="000099"/>
          <w:sz w:val="20"/>
          <w:szCs w:val="20"/>
        </w:rPr>
        <w:t xml:space="preserve">Oficial de Información: </w:t>
      </w:r>
      <w:hyperlink r:id="rId8" w:tooltip="Ver currículo vitae" w:history="1">
        <w:r w:rsidRPr="005F2270">
          <w:rPr>
            <w:rFonts w:asciiTheme="minorHAnsi" w:hAnsiTheme="minorHAnsi"/>
            <w:b/>
            <w:color w:val="000099"/>
            <w:sz w:val="20"/>
            <w:szCs w:val="20"/>
          </w:rPr>
          <w:t>Lic. Daniel Eliseo Martínez Taura</w:t>
        </w:r>
      </w:hyperlink>
      <w:r w:rsidRPr="005F2270">
        <w:rPr>
          <w:rFonts w:asciiTheme="minorHAnsi" w:hAnsiTheme="minorHAnsi"/>
          <w:sz w:val="20"/>
          <w:szCs w:val="20"/>
        </w:rPr>
        <w:t xml:space="preserve">, dirección: Boulevard Los Héroes, edificio anexo a Secretaría de Estado, Ministerio de Hacienda. Correo Electrónico: </w:t>
      </w:r>
      <w:hyperlink r:id="rId9" w:history="1">
        <w:r w:rsidRPr="005F2270">
          <w:rPr>
            <w:rFonts w:asciiTheme="minorHAnsi" w:hAnsiTheme="minorHAnsi"/>
            <w:b/>
            <w:color w:val="000099"/>
            <w:sz w:val="20"/>
            <w:szCs w:val="20"/>
          </w:rPr>
          <w:t>oficialdeinformacion@mh.gob.sv</w:t>
        </w:r>
      </w:hyperlink>
      <w:r w:rsidRPr="005F2270">
        <w:rPr>
          <w:rFonts w:asciiTheme="minorHAnsi" w:hAnsiTheme="minorHAnsi"/>
          <w:b/>
          <w:color w:val="000099"/>
          <w:sz w:val="20"/>
          <w:szCs w:val="20"/>
        </w:rPr>
        <w:t>,</w:t>
      </w:r>
      <w:r w:rsidRPr="005F2270">
        <w:rPr>
          <w:rFonts w:asciiTheme="minorHAnsi" w:hAnsiTheme="minorHAnsi"/>
          <w:sz w:val="20"/>
          <w:szCs w:val="20"/>
        </w:rPr>
        <w:t xml:space="preserve"> Teléfono: (503) 2244-3830.</w:t>
      </w:r>
    </w:p>
    <w:p w:rsidR="002A3AAA" w:rsidRDefault="002A3AA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20"/>
          <w:szCs w:val="20"/>
        </w:rPr>
      </w:pPr>
    </w:p>
    <w:p w:rsidR="00171A91" w:rsidRPr="00CE7157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20"/>
          <w:szCs w:val="20"/>
        </w:rPr>
      </w:pPr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</w:p>
    <w:p w:rsidR="00BB02DB" w:rsidRDefault="00BB02DB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</w:p>
    <w:p w:rsidR="00BB02DB" w:rsidRDefault="00BB02DB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p w:rsidR="00586E0A" w:rsidRPr="00171A91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171A91">
        <w:rPr>
          <w:rFonts w:asciiTheme="minorHAnsi" w:hAnsiTheme="minorHAnsi"/>
          <w:b/>
          <w:color w:val="000099"/>
          <w:sz w:val="20"/>
          <w:szCs w:val="20"/>
        </w:rPr>
        <w:t>A</w:t>
      </w:r>
      <w:r w:rsidR="00586E0A" w:rsidRPr="00171A91">
        <w:rPr>
          <w:rFonts w:asciiTheme="minorHAnsi" w:hAnsiTheme="minorHAnsi"/>
          <w:b/>
          <w:color w:val="000099"/>
          <w:sz w:val="20"/>
          <w:szCs w:val="20"/>
        </w:rPr>
        <w:t>na Patricia Sánchez de Cruz</w:t>
      </w:r>
    </w:p>
    <w:p w:rsidR="0068662E" w:rsidRPr="00171A91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  <w:r w:rsidRPr="00171A91">
        <w:rPr>
          <w:rFonts w:asciiTheme="minorHAnsi" w:hAnsiTheme="minorHAnsi"/>
          <w:color w:val="000099"/>
          <w:sz w:val="20"/>
          <w:szCs w:val="20"/>
        </w:rPr>
        <w:t>Oficial de Información MAG OIR</w:t>
      </w:r>
    </w:p>
    <w:sectPr w:rsidR="0068662E" w:rsidRPr="00171A91" w:rsidSect="00171A91">
      <w:headerReference w:type="default" r:id="rId10"/>
      <w:footerReference w:type="default" r:id="rId11"/>
      <w:pgSz w:w="12240" w:h="15840" w:code="1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E4" w:rsidRDefault="000806E4" w:rsidP="00F425A5">
      <w:pPr>
        <w:spacing w:after="0" w:line="240" w:lineRule="auto"/>
      </w:pPr>
      <w:r>
        <w:separator/>
      </w:r>
    </w:p>
  </w:endnote>
  <w:endnote w:type="continuationSeparator" w:id="0">
    <w:p w:rsidR="000806E4" w:rsidRDefault="000806E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E4" w:rsidRPr="00DB7A91" w:rsidRDefault="000806E4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8CD5F37" wp14:editId="29CA9E6B">
              <wp:simplePos x="0" y="0"/>
              <wp:positionH relativeFrom="column">
                <wp:posOffset>-213360</wp:posOffset>
              </wp:positionH>
              <wp:positionV relativeFrom="paragraph">
                <wp:posOffset>274854</wp:posOffset>
              </wp:positionV>
              <wp:extent cx="6256655" cy="644056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40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06E4" w:rsidRPr="00E14B81" w:rsidRDefault="000806E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FIRMA: LIC. ANA PATRICIA SANCHEZ DE CUZ, OFICIAL DE INFORMACIÓN, OIR MAG</w:t>
                          </w:r>
                        </w:p>
                        <w:p w:rsidR="000806E4" w:rsidRPr="00DB7A91" w:rsidRDefault="000806E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0806E4" w:rsidRPr="00DB7A91" w:rsidRDefault="000806E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0806E4" w:rsidRPr="00395CC4" w:rsidRDefault="000806E4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334F4" w:rsidRPr="009334F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334F4" w:rsidRPr="009334F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D5F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21.65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">
              <v:textbox>
                <w:txbxContent>
                  <w:p w:rsidR="000806E4" w:rsidRPr="00E14B81" w:rsidRDefault="000806E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FIRMA: LIC. ANA PATRICIA SANCHEZ DE CUZ, OFICIAL DE INFORMACIÓN, OIR MAG</w:t>
                    </w:r>
                  </w:p>
                  <w:p w:rsidR="000806E4" w:rsidRPr="00DB7A91" w:rsidRDefault="000806E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0806E4" w:rsidRPr="00DB7A91" w:rsidRDefault="000806E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0806E4" w:rsidRPr="00395CC4" w:rsidRDefault="000806E4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334F4" w:rsidRPr="009334F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334F4" w:rsidRPr="009334F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 wp14:anchorId="73B0DD74" wp14:editId="632CA5A6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E4" w:rsidRDefault="000806E4" w:rsidP="00F425A5">
      <w:pPr>
        <w:spacing w:after="0" w:line="240" w:lineRule="auto"/>
      </w:pPr>
      <w:r>
        <w:separator/>
      </w:r>
    </w:p>
  </w:footnote>
  <w:footnote w:type="continuationSeparator" w:id="0">
    <w:p w:rsidR="000806E4" w:rsidRDefault="000806E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E4" w:rsidRPr="006A4190" w:rsidRDefault="000806E4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7112"/>
    <w:multiLevelType w:val="hybridMultilevel"/>
    <w:tmpl w:val="CD0009B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671E2"/>
    <w:multiLevelType w:val="hybridMultilevel"/>
    <w:tmpl w:val="5672EDC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49B8"/>
    <w:rsid w:val="00076375"/>
    <w:rsid w:val="00076DC9"/>
    <w:rsid w:val="000806E4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60DBF"/>
    <w:rsid w:val="00563C88"/>
    <w:rsid w:val="00566B22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2270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43E3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07DBC"/>
    <w:rsid w:val="009152B2"/>
    <w:rsid w:val="009175A9"/>
    <w:rsid w:val="009243BB"/>
    <w:rsid w:val="0092782E"/>
    <w:rsid w:val="009334F4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D4829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956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769"/>
    <w:rsid w:val="00B71B7B"/>
    <w:rsid w:val="00B74C9E"/>
    <w:rsid w:val="00B86E15"/>
    <w:rsid w:val="00BA0648"/>
    <w:rsid w:val="00BA441E"/>
    <w:rsid w:val="00BA4BEA"/>
    <w:rsid w:val="00BB02DB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1A1E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3020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D129ADAA-D0F5-4BBC-828B-458CD73D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.gob.sv/portal/page/portal/PCC/CurriculosFuncionarios/Daniel_Eliseo_Martinez_Taur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icialdeinformacion@mh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7BC0C-3201-47DF-94A6-4B480283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1150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25</cp:revision>
  <cp:lastPrinted>2016-11-24T05:21:00Z</cp:lastPrinted>
  <dcterms:created xsi:type="dcterms:W3CDTF">2016-09-26T22:24:00Z</dcterms:created>
  <dcterms:modified xsi:type="dcterms:W3CDTF">2016-11-24T06:04:00Z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