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68" w:rsidRDefault="00A80568" w:rsidP="00A8056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</w:t>
      </w:r>
      <w:bookmarkStart w:id="0" w:name="_GoBack"/>
      <w:r w:rsidRPr="00A80568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 xml:space="preserve">en la pág. </w:t>
      </w:r>
      <w:r w:rsidRPr="00A80568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3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 </w:t>
      </w:r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de la presente resolución</w:t>
      </w:r>
    </w:p>
    <w:p w:rsidR="00A80568" w:rsidRDefault="00A80568" w:rsidP="0084737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8"/>
          <w:lang w:eastAsia="en-US"/>
        </w:rPr>
      </w:pPr>
    </w:p>
    <w:p w:rsidR="00714AA6" w:rsidRPr="00856E50" w:rsidRDefault="00714AA6" w:rsidP="0084737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8"/>
          <w:lang w:eastAsia="en-US"/>
        </w:rPr>
      </w:pPr>
      <w:r w:rsidRPr="00856E50">
        <w:rPr>
          <w:rFonts w:eastAsia="Calibri"/>
          <w:b/>
          <w:color w:val="000099"/>
          <w:sz w:val="28"/>
          <w:lang w:eastAsia="en-US"/>
        </w:rPr>
        <w:t xml:space="preserve">RESOLUCIÓN </w:t>
      </w:r>
      <w:r w:rsidR="00A6281C" w:rsidRPr="00856E50">
        <w:rPr>
          <w:rFonts w:eastAsia="Calibri"/>
          <w:b/>
          <w:color w:val="000099"/>
          <w:sz w:val="28"/>
          <w:lang w:eastAsia="en-US"/>
        </w:rPr>
        <w:t xml:space="preserve">EN RESPUESTA A </w:t>
      </w:r>
      <w:r w:rsidRPr="00856E50">
        <w:rPr>
          <w:rFonts w:eastAsia="Calibri"/>
          <w:b/>
          <w:color w:val="000099"/>
          <w:sz w:val="28"/>
          <w:lang w:eastAsia="en-US"/>
        </w:rPr>
        <w:t>SOLICITUD</w:t>
      </w:r>
      <w:r w:rsidR="00A6281C" w:rsidRPr="00856E50">
        <w:rPr>
          <w:rFonts w:eastAsia="Calibri"/>
          <w:b/>
          <w:color w:val="000099"/>
          <w:sz w:val="28"/>
          <w:lang w:eastAsia="en-US"/>
        </w:rPr>
        <w:t xml:space="preserve"> DE INFORMACIÓN </w:t>
      </w:r>
      <w:r w:rsidR="00A05D71" w:rsidRPr="00856E50">
        <w:rPr>
          <w:rFonts w:eastAsia="Calibri"/>
          <w:b/>
          <w:color w:val="000099"/>
          <w:sz w:val="28"/>
          <w:lang w:eastAsia="en-US"/>
        </w:rPr>
        <w:t>N</w:t>
      </w:r>
      <w:r w:rsidR="00640AA6" w:rsidRPr="00856E50">
        <w:rPr>
          <w:rFonts w:eastAsia="Calibri"/>
          <w:b/>
          <w:color w:val="000099"/>
          <w:sz w:val="28"/>
          <w:lang w:eastAsia="en-US"/>
        </w:rPr>
        <w:t xml:space="preserve">° </w:t>
      </w:r>
      <w:r w:rsidR="002A6F4D" w:rsidRPr="00856E50">
        <w:rPr>
          <w:rFonts w:eastAsia="Calibri"/>
          <w:b/>
          <w:color w:val="000099"/>
          <w:sz w:val="28"/>
          <w:lang w:eastAsia="en-US"/>
        </w:rPr>
        <w:t>1</w:t>
      </w:r>
      <w:r w:rsidR="000D5553" w:rsidRPr="00856E50">
        <w:rPr>
          <w:rFonts w:eastAsia="Calibri"/>
          <w:b/>
          <w:color w:val="000099"/>
          <w:sz w:val="28"/>
          <w:lang w:eastAsia="en-US"/>
        </w:rPr>
        <w:t>9</w:t>
      </w:r>
      <w:r w:rsidR="00847370" w:rsidRPr="00856E50">
        <w:rPr>
          <w:rFonts w:eastAsia="Calibri"/>
          <w:b/>
          <w:color w:val="000099"/>
          <w:sz w:val="28"/>
          <w:lang w:eastAsia="en-US"/>
        </w:rPr>
        <w:t>7</w:t>
      </w:r>
      <w:r w:rsidR="002A6F4D" w:rsidRPr="00856E50">
        <w:rPr>
          <w:rFonts w:eastAsia="Calibri"/>
          <w:b/>
          <w:color w:val="000099"/>
          <w:sz w:val="28"/>
          <w:lang w:eastAsia="en-US"/>
        </w:rPr>
        <w:t>-2016</w:t>
      </w:r>
    </w:p>
    <w:p w:rsidR="0031141E" w:rsidRPr="00794E5A" w:rsidRDefault="0031141E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</w:p>
    <w:p w:rsidR="00C244D4" w:rsidRPr="00847370" w:rsidRDefault="00714AA6" w:rsidP="0084737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 xml:space="preserve">Santa Tecla, </w:t>
      </w:r>
      <w:r w:rsidR="002B16FA" w:rsidRPr="00847370">
        <w:rPr>
          <w:rFonts w:eastAsia="Calibri"/>
          <w:lang w:eastAsia="en-US"/>
        </w:rPr>
        <w:t xml:space="preserve">departamento de La Libertad </w:t>
      </w:r>
      <w:r w:rsidRPr="00847370">
        <w:rPr>
          <w:rFonts w:eastAsia="Calibri"/>
          <w:lang w:eastAsia="en-US"/>
        </w:rPr>
        <w:t xml:space="preserve">a las </w:t>
      </w:r>
      <w:r w:rsidR="00847370" w:rsidRPr="00847370">
        <w:rPr>
          <w:rFonts w:eastAsia="Calibri"/>
          <w:color w:val="000099"/>
          <w:lang w:eastAsia="en-US"/>
        </w:rPr>
        <w:t>diecisiete</w:t>
      </w:r>
      <w:r w:rsidR="00426EF4" w:rsidRPr="00847370">
        <w:rPr>
          <w:rFonts w:eastAsia="Calibri"/>
          <w:color w:val="000099"/>
          <w:lang w:eastAsia="en-US"/>
        </w:rPr>
        <w:t xml:space="preserve"> </w:t>
      </w:r>
      <w:r w:rsidRPr="00847370">
        <w:rPr>
          <w:rFonts w:eastAsia="Calibri"/>
          <w:color w:val="000099"/>
          <w:lang w:eastAsia="en-US"/>
        </w:rPr>
        <w:t>horas</w:t>
      </w:r>
      <w:r w:rsidR="00C244D4" w:rsidRPr="00847370">
        <w:rPr>
          <w:rFonts w:eastAsia="Calibri"/>
          <w:color w:val="000099"/>
          <w:lang w:eastAsia="en-US"/>
        </w:rPr>
        <w:t xml:space="preserve"> con cinco minutos</w:t>
      </w:r>
      <w:r w:rsidR="00FE31E9" w:rsidRPr="00847370">
        <w:rPr>
          <w:rFonts w:eastAsia="Calibri"/>
          <w:color w:val="000099"/>
          <w:lang w:eastAsia="en-US"/>
        </w:rPr>
        <w:t xml:space="preserve"> </w:t>
      </w:r>
      <w:r w:rsidRPr="00847370">
        <w:rPr>
          <w:rFonts w:eastAsia="Calibri"/>
          <w:lang w:eastAsia="en-US"/>
        </w:rPr>
        <w:t xml:space="preserve">del día </w:t>
      </w:r>
      <w:r w:rsidR="00847370" w:rsidRPr="00847370">
        <w:rPr>
          <w:rFonts w:eastAsia="Calibri"/>
          <w:color w:val="000099"/>
          <w:lang w:eastAsia="en-US"/>
        </w:rPr>
        <w:t>seis</w:t>
      </w:r>
      <w:r w:rsidR="002A6F4D" w:rsidRPr="00847370">
        <w:rPr>
          <w:rFonts w:eastAsia="Calibri"/>
          <w:color w:val="000099"/>
          <w:lang w:eastAsia="en-US"/>
        </w:rPr>
        <w:t xml:space="preserve"> </w:t>
      </w:r>
      <w:r w:rsidRPr="00847370">
        <w:rPr>
          <w:rFonts w:eastAsia="Calibri"/>
          <w:color w:val="000099"/>
          <w:lang w:eastAsia="en-US"/>
        </w:rPr>
        <w:t xml:space="preserve">de </w:t>
      </w:r>
      <w:r w:rsidR="00847370" w:rsidRPr="00847370">
        <w:rPr>
          <w:rFonts w:eastAsia="Calibri"/>
          <w:color w:val="000099"/>
          <w:lang w:eastAsia="en-US"/>
        </w:rPr>
        <w:t xml:space="preserve">septiembre </w:t>
      </w:r>
      <w:r w:rsidRPr="00847370">
        <w:rPr>
          <w:rFonts w:eastAsia="Calibri"/>
          <w:color w:val="000099"/>
          <w:lang w:eastAsia="en-US"/>
        </w:rPr>
        <w:t>de 201</w:t>
      </w:r>
      <w:r w:rsidR="002A6F4D" w:rsidRPr="00847370">
        <w:rPr>
          <w:rFonts w:eastAsia="Calibri"/>
          <w:color w:val="000099"/>
          <w:lang w:eastAsia="en-US"/>
        </w:rPr>
        <w:t>6</w:t>
      </w:r>
      <w:r w:rsidRPr="00847370">
        <w:rPr>
          <w:rFonts w:eastAsia="Calibri"/>
          <w:color w:val="000099"/>
          <w:lang w:eastAsia="en-US"/>
        </w:rPr>
        <w:t>,</w:t>
      </w:r>
      <w:r w:rsidRPr="00847370">
        <w:rPr>
          <w:rFonts w:eastAsia="Calibri"/>
          <w:lang w:eastAsia="en-US"/>
        </w:rPr>
        <w:t xml:space="preserve"> el Ministerio de Agricultura y Ganadería luego de haber recibido y admitido la solicitud de información</w:t>
      </w:r>
      <w:r w:rsidR="009C6B93" w:rsidRPr="00847370">
        <w:rPr>
          <w:rFonts w:eastAsia="Calibri"/>
          <w:lang w:eastAsia="en-US"/>
        </w:rPr>
        <w:t xml:space="preserve"> </w:t>
      </w:r>
      <w:r w:rsidRPr="00847370">
        <w:rPr>
          <w:rFonts w:eastAsia="Calibri"/>
          <w:lang w:eastAsia="en-US"/>
        </w:rPr>
        <w:t xml:space="preserve">No. </w:t>
      </w:r>
      <w:r w:rsidR="002A6F4D" w:rsidRPr="00847370">
        <w:rPr>
          <w:rFonts w:eastAsia="Calibri"/>
          <w:b/>
          <w:color w:val="000099"/>
          <w:lang w:eastAsia="en-US"/>
        </w:rPr>
        <w:t>1</w:t>
      </w:r>
      <w:r w:rsidR="000D5553" w:rsidRPr="00847370">
        <w:rPr>
          <w:rFonts w:eastAsia="Calibri"/>
          <w:b/>
          <w:color w:val="000099"/>
          <w:lang w:eastAsia="en-US"/>
        </w:rPr>
        <w:t>9</w:t>
      </w:r>
      <w:r w:rsidR="00847370" w:rsidRPr="00847370">
        <w:rPr>
          <w:rFonts w:eastAsia="Calibri"/>
          <w:b/>
          <w:color w:val="000099"/>
          <w:lang w:eastAsia="en-US"/>
        </w:rPr>
        <w:t>7</w:t>
      </w:r>
      <w:r w:rsidRPr="00847370">
        <w:rPr>
          <w:rFonts w:eastAsia="Calibri"/>
          <w:lang w:eastAsia="en-US"/>
        </w:rPr>
        <w:t xml:space="preserve"> sobre:</w:t>
      </w:r>
    </w:p>
    <w:p w:rsidR="00847370" w:rsidRPr="00847370" w:rsidRDefault="00847370" w:rsidP="00847370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 xml:space="preserve"> </w:t>
      </w:r>
    </w:p>
    <w:p w:rsidR="00847370" w:rsidRPr="00847370" w:rsidRDefault="00847370" w:rsidP="00847370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>Información del año 2016 sobre:</w:t>
      </w:r>
    </w:p>
    <w:p w:rsidR="00847370" w:rsidRPr="00847370" w:rsidRDefault="00847370" w:rsidP="00847370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847370" w:rsidRPr="00847370" w:rsidRDefault="00847370" w:rsidP="00847370">
      <w:pPr>
        <w:spacing w:after="0"/>
        <w:rPr>
          <w:b/>
        </w:rPr>
      </w:pPr>
      <w:r w:rsidRPr="00847370">
        <w:rPr>
          <w:b/>
        </w:rPr>
        <w:t>Información del año 2016 sobre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Certificados zoosanitarios de exportación de mascotas: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Certificados de libre venta al exterior de alimentos para animales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lastRenderedPageBreak/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Certificados de libre venta al exterior de productos veterinarios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Visas importación de alimentos para animales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lastRenderedPageBreak/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56E50" w:rsidP="00847370">
      <w:pPr>
        <w:pStyle w:val="Prrafodelista"/>
        <w:spacing w:after="0"/>
        <w:rPr>
          <w:rFonts w:eastAsia="Times New Roman"/>
          <w:b/>
          <w:color w:val="C00000"/>
          <w:lang w:eastAsia="es-SV"/>
        </w:rPr>
      </w:pPr>
      <w:r>
        <w:rPr>
          <w:rFonts w:eastAsia="Times New Roman"/>
          <w:b/>
          <w:lang w:eastAsia="es-SV"/>
        </w:rPr>
        <w:t xml:space="preserve">4.3 </w:t>
      </w:r>
      <w:r w:rsidR="00847370"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Visas de importación de productos veterinarios referente a los siguientes puntos: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spacing w:after="0"/>
        <w:rPr>
          <w:rFonts w:eastAsia="Times New Roman"/>
          <w:b/>
          <w:color w:val="C00000"/>
          <w:lang w:eastAsia="es-SV"/>
        </w:rPr>
      </w:pPr>
      <w:r w:rsidRPr="00847370">
        <w:rPr>
          <w:rFonts w:eastAsia="Times New Roman"/>
          <w:b/>
          <w:lang w:eastAsia="es-SV"/>
        </w:rPr>
        <w:t>5.3 Formato digital de cómo se observan los documentos antes mencionados previos a su autorización por funcionarios de la sede en Santa Tecla</w:t>
      </w:r>
    </w:p>
    <w:p w:rsidR="002B16FA" w:rsidRPr="00847370" w:rsidRDefault="002B16F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F10C48" w:rsidRPr="00847370" w:rsidRDefault="00BE0B9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>P</w:t>
      </w:r>
      <w:r w:rsidR="00EE4B7D" w:rsidRPr="00847370">
        <w:rPr>
          <w:rFonts w:eastAsia="Calibri"/>
          <w:lang w:eastAsia="en-US"/>
        </w:rPr>
        <w:t>resentada ante la Oficina de Información y Respuesta de esta dependencia por parte de:</w:t>
      </w:r>
      <w:r w:rsidR="002A6F4D" w:rsidRPr="00847370">
        <w:rPr>
          <w:rFonts w:eastAsia="Calibri"/>
          <w:lang w:eastAsia="en-US"/>
        </w:rPr>
        <w:t xml:space="preserve"> </w:t>
      </w:r>
      <w:proofErr w:type="spellStart"/>
      <w:r w:rsidR="00A80568" w:rsidRPr="00A80568">
        <w:rPr>
          <w:rFonts w:eastAsia="Calibri"/>
          <w:b/>
          <w:color w:val="000099"/>
          <w:highlight w:val="darkBlue"/>
          <w:lang w:eastAsia="en-US"/>
        </w:rPr>
        <w:t>xxxxxxxxxxxxxx</w:t>
      </w:r>
      <w:proofErr w:type="spellEnd"/>
      <w:r w:rsidR="00394AC6" w:rsidRPr="00A80568">
        <w:rPr>
          <w:rFonts w:eastAsia="Calibri"/>
          <w:highlight w:val="darkBlue"/>
          <w:lang w:eastAsia="en-US"/>
        </w:rPr>
        <w:t>,</w:t>
      </w:r>
      <w:r w:rsidR="00EE4B7D" w:rsidRPr="00847370">
        <w:rPr>
          <w:rFonts w:eastAsia="Calibri"/>
          <w:lang w:eastAsia="en-US"/>
        </w:rPr>
        <w:t xml:space="preserve"> </w:t>
      </w:r>
      <w:r w:rsidR="00F10C48" w:rsidRPr="00847370">
        <w:rPr>
          <w:rFonts w:eastAsia="Calibri"/>
          <w:lang w:eastAsia="en-US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 y que la información solicitada no se encuentra entre las excepciones  enumeradas en los arts. 19 y 24 de la Ley, y 19 del Reglamento; por tanto con base a lo establecido en los artículos 1, 3 y 4 literales a y b, y 62 de la LAIP, resuelve: </w:t>
      </w:r>
    </w:p>
    <w:p w:rsidR="00F10C48" w:rsidRPr="00847370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EB061D" w:rsidRPr="00847370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lang w:eastAsia="en-US"/>
        </w:rPr>
      </w:pPr>
      <w:r w:rsidRPr="00847370">
        <w:rPr>
          <w:rFonts w:eastAsia="Calibri"/>
          <w:b/>
          <w:color w:val="000099"/>
          <w:lang w:eastAsia="en-US"/>
        </w:rPr>
        <w:t xml:space="preserve">PROPORCIONAR PARTE DE LA INFORMACIÓN PÚBLICA SOLICITADA </w:t>
      </w:r>
    </w:p>
    <w:p w:rsidR="00EB061D" w:rsidRPr="00847370" w:rsidRDefault="00EB061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</w:p>
    <w:p w:rsidR="00856E50" w:rsidRDefault="00F10C48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 xml:space="preserve">Se adjunta </w:t>
      </w:r>
      <w:r w:rsidR="00164F7E">
        <w:rPr>
          <w:rFonts w:eastAsia="Calibri"/>
          <w:lang w:eastAsia="en-US"/>
        </w:rPr>
        <w:t xml:space="preserve">a la presente resolución las respuestas a la información solicitada </w:t>
      </w:r>
      <w:r w:rsidR="006A6986">
        <w:rPr>
          <w:rFonts w:eastAsia="Calibri"/>
          <w:lang w:eastAsia="en-US"/>
        </w:rPr>
        <w:t xml:space="preserve">en </w:t>
      </w:r>
      <w:r w:rsidR="00856E50">
        <w:rPr>
          <w:rFonts w:eastAsia="Calibri"/>
          <w:lang w:eastAsia="en-US"/>
        </w:rPr>
        <w:t xml:space="preserve">un </w:t>
      </w:r>
      <w:r w:rsidR="006A6986">
        <w:rPr>
          <w:rFonts w:eastAsia="Calibri"/>
          <w:lang w:eastAsia="en-US"/>
        </w:rPr>
        <w:t>archivo de Word</w:t>
      </w:r>
      <w:r w:rsidR="00856E50">
        <w:rPr>
          <w:rFonts w:eastAsia="Calibri"/>
          <w:lang w:eastAsia="en-US"/>
        </w:rPr>
        <w:t>.</w:t>
      </w:r>
    </w:p>
    <w:p w:rsidR="00856E50" w:rsidRDefault="00856E50">
      <w:p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856E50" w:rsidRDefault="00856E50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794E5A" w:rsidRPr="00856E50" w:rsidRDefault="00856E50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</w:t>
      </w:r>
      <w:r w:rsidR="006A6986">
        <w:rPr>
          <w:rFonts w:eastAsia="Calibri"/>
          <w:lang w:eastAsia="en-US"/>
        </w:rPr>
        <w:t xml:space="preserve">xceptuando a los requerimientos: </w:t>
      </w:r>
      <w:r w:rsidR="006A6986" w:rsidRPr="00856E50">
        <w:rPr>
          <w:rFonts w:eastAsia="Calibri"/>
          <w:b/>
          <w:color w:val="000099"/>
          <w:lang w:eastAsia="en-US"/>
        </w:rPr>
        <w:t>1.3, 2.3, 3.3, 4.3, y 5.3</w:t>
      </w:r>
      <w:r w:rsidRPr="00856E50">
        <w:rPr>
          <w:rFonts w:eastAsia="Calibri"/>
          <w:color w:val="000099"/>
          <w:lang w:eastAsia="en-US"/>
        </w:rPr>
        <w:t xml:space="preserve"> (referente a </w:t>
      </w:r>
      <w:r w:rsidRPr="00856E50">
        <w:rPr>
          <w:color w:val="000099"/>
        </w:rPr>
        <w:t>Formato digital de cómo se observan los documentos antes mencionados previos a su autorización por funcionarios de la sede en Santa Tecla</w:t>
      </w:r>
      <w:r w:rsidRPr="00856E50">
        <w:rPr>
          <w:rFonts w:eastAsia="Calibri"/>
          <w:color w:val="000099"/>
          <w:lang w:eastAsia="en-US"/>
        </w:rPr>
        <w:t>)</w:t>
      </w:r>
      <w:r w:rsidR="006A6986">
        <w:rPr>
          <w:rFonts w:eastAsia="Calibri"/>
          <w:lang w:eastAsia="en-US"/>
        </w:rPr>
        <w:t xml:space="preserve">; y </w:t>
      </w:r>
      <w:r w:rsidRPr="00856E50">
        <w:rPr>
          <w:rFonts w:eastAsia="Calibri"/>
          <w:b/>
          <w:color w:val="000099"/>
          <w:lang w:eastAsia="en-US"/>
        </w:rPr>
        <w:t>2.2, 3.2, 4.2 y 5.2</w:t>
      </w:r>
      <w:r w:rsidR="006A6986" w:rsidRPr="00856E50">
        <w:rPr>
          <w:rFonts w:eastAsia="Calibri"/>
          <w:color w:val="000099"/>
          <w:lang w:eastAsia="en-US"/>
        </w:rPr>
        <w:t xml:space="preserve"> </w:t>
      </w:r>
      <w:r w:rsidRPr="00856E50">
        <w:rPr>
          <w:rFonts w:eastAsia="Calibri"/>
          <w:color w:val="000099"/>
          <w:lang w:eastAsia="en-US"/>
        </w:rPr>
        <w:t xml:space="preserve">(referente a nombres de </w:t>
      </w:r>
      <w:r w:rsidRPr="00856E50">
        <w:rPr>
          <w:color w:val="000099"/>
        </w:rPr>
        <w:t>los funcionarios cuyas firmas digitales son presentadas en cada uno de los documentos antes mencionados</w:t>
      </w:r>
      <w:r w:rsidRPr="00856E50">
        <w:rPr>
          <w:color w:val="000099"/>
        </w:rPr>
        <w:t>)</w:t>
      </w:r>
      <w:r>
        <w:rPr>
          <w:color w:val="000099"/>
        </w:rPr>
        <w:t xml:space="preserve">, </w:t>
      </w:r>
      <w:r w:rsidRPr="00856E50">
        <w:t>porque la unidad administrativa responsable de esa información no la proporcionó, sin embargo se advirtió a dicha unidad la falta de respuesta</w:t>
      </w:r>
      <w:r>
        <w:t>,</w:t>
      </w:r>
      <w:r w:rsidRPr="00856E50">
        <w:t xml:space="preserve"> para que se entregue</w:t>
      </w:r>
      <w:r>
        <w:t xml:space="preserve"> la información restante</w:t>
      </w:r>
      <w:r w:rsidRPr="00856E50">
        <w:t xml:space="preserve"> a la </w:t>
      </w:r>
      <w:r>
        <w:t xml:space="preserve">OIR lo más pronto posible, al tenerla </w:t>
      </w:r>
      <w:r w:rsidR="0079222B">
        <w:t xml:space="preserve">en nuestro poder </w:t>
      </w:r>
      <w:r>
        <w:t>será enviada a su persona,</w:t>
      </w:r>
      <w:r w:rsidRPr="00856E50">
        <w:t xml:space="preserve"> no obstante ante una falta de respuesta puede acudir al </w:t>
      </w:r>
      <w:r w:rsidRPr="00856E50">
        <w:rPr>
          <w:b/>
        </w:rPr>
        <w:t>recurso de apelación</w:t>
      </w:r>
      <w:r w:rsidRPr="00856E50">
        <w:t xml:space="preserve"> según lo disponen los artículos 82 y 83 de la Ley de Acceso a la Información Pública.</w:t>
      </w:r>
    </w:p>
    <w:p w:rsidR="00394AC6" w:rsidRPr="00847370" w:rsidRDefault="00394AC6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394AC6" w:rsidRDefault="00394AC6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79222B" w:rsidRDefault="0079222B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856E50" w:rsidRPr="00847370" w:rsidRDefault="00856E50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794E5A" w:rsidRPr="00856E50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lang w:eastAsia="en-US"/>
        </w:rPr>
      </w:pPr>
      <w:r w:rsidRPr="00856E50">
        <w:rPr>
          <w:rFonts w:eastAsia="Calibri"/>
          <w:b/>
          <w:color w:val="000099"/>
          <w:lang w:eastAsia="en-US"/>
        </w:rPr>
        <w:t>Ana Patricia Sánchez de Cruz</w:t>
      </w:r>
    </w:p>
    <w:p w:rsidR="00794E5A" w:rsidRPr="00856E50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99"/>
          <w:lang w:eastAsia="en-US"/>
        </w:rPr>
      </w:pPr>
      <w:r w:rsidRPr="00856E50">
        <w:rPr>
          <w:rFonts w:eastAsia="Calibri"/>
          <w:color w:val="000099"/>
          <w:lang w:eastAsia="en-US"/>
        </w:rPr>
        <w:t>Oficial de Información</w:t>
      </w:r>
    </w:p>
    <w:sectPr w:rsidR="00794E5A" w:rsidRPr="00856E5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71" w:rsidRDefault="00A14771" w:rsidP="00F425A5">
      <w:pPr>
        <w:spacing w:after="0" w:line="240" w:lineRule="auto"/>
      </w:pPr>
      <w:r>
        <w:separator/>
      </w:r>
    </w:p>
  </w:endnote>
  <w:endnote w:type="continuationSeparator" w:id="0">
    <w:p w:rsidR="00A14771" w:rsidRDefault="00A1477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EC" w:rsidRPr="005A13D0" w:rsidRDefault="00C74EEC" w:rsidP="00C74EEC">
    <w:pPr>
      <w:pStyle w:val="Piedepgina"/>
      <w:spacing w:after="0" w:line="240" w:lineRule="auto"/>
      <w:jc w:val="both"/>
      <w:rPr>
        <w:sz w:val="16"/>
      </w:rPr>
    </w:pPr>
    <w:r w:rsidRPr="005A13D0">
      <w:rPr>
        <w:sz w:val="16"/>
      </w:rPr>
      <w:t xml:space="preserve">Si después de analizar lo anteriormente expuesto decide interponer un recurso de apelación </w:t>
    </w:r>
    <w:r w:rsidR="002A6F4D" w:rsidRPr="005A13D0">
      <w:rPr>
        <w:sz w:val="16"/>
      </w:rPr>
      <w:t xml:space="preserve">deberá </w:t>
    </w:r>
    <w:r w:rsidRPr="005A13D0">
      <w:rPr>
        <w:sz w:val="16"/>
      </w:rPr>
      <w:t>de hacerlo según lo dispuesto en el Art 82 y 83 de la LAIP.</w:t>
    </w:r>
  </w:p>
  <w:p w:rsidR="00123F84" w:rsidRDefault="005A13D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72A64" wp14:editId="2EB244AD">
              <wp:simplePos x="0" y="0"/>
              <wp:positionH relativeFrom="column">
                <wp:posOffset>-99898</wp:posOffset>
              </wp:positionH>
              <wp:positionV relativeFrom="paragraph">
                <wp:posOffset>83770</wp:posOffset>
              </wp:positionV>
              <wp:extent cx="5857875" cy="768096"/>
              <wp:effectExtent l="0" t="0" r="28575" b="133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80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2A6F4D" w:rsidRDefault="002A6F4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2A6F4D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FIRMA: Lic. Ana Patricia Sánchez de Cruz, Oficial de Información OIR MAG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B84C3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</w:t>
                          </w:r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calle </w:t>
                          </w:r>
                          <w:proofErr w:type="spellStart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EC130A" w:rsidRPr="00CA168C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EC130A" w:rsidRPr="00EC130A" w:rsidRDefault="00EC130A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EC130A">
                            <w:rPr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80568" w:rsidRPr="00A80568"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C130A">
                            <w:rPr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80568" w:rsidRPr="00A80568"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4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6pt;width:461.25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">
              <v:textbox>
                <w:txbxContent>
                  <w:p w:rsidR="00123F84" w:rsidRPr="002A6F4D" w:rsidRDefault="002A6F4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2A6F4D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FIRMA: Lic. Ana Patricia Sánchez de Cruz, Oficial de Información OIR MAG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B84C3E">
                      <w:rPr>
                        <w:color w:val="auto"/>
                        <w:sz w:val="18"/>
                        <w:szCs w:val="18"/>
                      </w:rPr>
                      <w:t xml:space="preserve">, 13 </w:t>
                    </w:r>
                    <w:r w:rsidR="003E10BE">
                      <w:rPr>
                        <w:color w:val="auto"/>
                        <w:sz w:val="18"/>
                        <w:szCs w:val="18"/>
                      </w:rPr>
                      <w:t xml:space="preserve">calle </w:t>
                    </w:r>
                    <w:proofErr w:type="spellStart"/>
                    <w:r w:rsidR="003E10BE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3E10BE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EC130A" w:rsidRPr="00CA168C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EC130A" w:rsidRPr="00EC130A" w:rsidRDefault="00EC130A" w:rsidP="006A4190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8"/>
                        <w:szCs w:val="18"/>
                      </w:rPr>
                    </w:pPr>
                    <w:r w:rsidRPr="00EC130A">
                      <w:rPr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A80568" w:rsidRPr="00A80568"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EC130A">
                      <w:rPr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A80568" w:rsidRPr="00A80568"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4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C130A">
      <w:rPr>
        <w:noProof/>
      </w:rPr>
      <w:drawing>
        <wp:anchor distT="0" distB="0" distL="114300" distR="114300" simplePos="0" relativeHeight="251660288" behindDoc="0" locked="0" layoutInCell="1" allowOverlap="1" wp14:anchorId="22AF1062" wp14:editId="311449DB">
          <wp:simplePos x="0" y="0"/>
          <wp:positionH relativeFrom="column">
            <wp:posOffset>-700074</wp:posOffset>
          </wp:positionH>
          <wp:positionV relativeFrom="paragraph">
            <wp:posOffset>1078535</wp:posOffset>
          </wp:positionV>
          <wp:extent cx="6904990" cy="372745"/>
          <wp:effectExtent l="0" t="0" r="0" b="825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99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71" w:rsidRDefault="00A14771" w:rsidP="00F425A5">
      <w:pPr>
        <w:spacing w:after="0" w:line="240" w:lineRule="auto"/>
      </w:pPr>
      <w:r>
        <w:separator/>
      </w:r>
    </w:p>
  </w:footnote>
  <w:footnote w:type="continuationSeparator" w:id="0">
    <w:p w:rsidR="00A14771" w:rsidRDefault="00A1477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7758F"/>
    <w:multiLevelType w:val="hybridMultilevel"/>
    <w:tmpl w:val="8A3EE88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2370512"/>
    <w:multiLevelType w:val="hybridMultilevel"/>
    <w:tmpl w:val="58E495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1E689F"/>
    <w:multiLevelType w:val="hybridMultilevel"/>
    <w:tmpl w:val="BDB097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3020982"/>
    <w:multiLevelType w:val="multilevel"/>
    <w:tmpl w:val="355EC9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205833"/>
    <w:multiLevelType w:val="hybridMultilevel"/>
    <w:tmpl w:val="A484E7E2"/>
    <w:lvl w:ilvl="0" w:tplc="6ACCA706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C6A32"/>
    <w:multiLevelType w:val="hybridMultilevel"/>
    <w:tmpl w:val="33383D18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239AB"/>
    <w:multiLevelType w:val="hybridMultilevel"/>
    <w:tmpl w:val="301AE0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1069D"/>
    <w:multiLevelType w:val="hybridMultilevel"/>
    <w:tmpl w:val="97204F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E84CC1"/>
    <w:multiLevelType w:val="hybridMultilevel"/>
    <w:tmpl w:val="991C5C10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4763E"/>
    <w:multiLevelType w:val="hybridMultilevel"/>
    <w:tmpl w:val="0406AE28"/>
    <w:lvl w:ilvl="0" w:tplc="4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7"/>
  </w:num>
  <w:num w:numId="4">
    <w:abstractNumId w:val="19"/>
  </w:num>
  <w:num w:numId="5">
    <w:abstractNumId w:val="6"/>
  </w:num>
  <w:num w:numId="6">
    <w:abstractNumId w:val="20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9"/>
  </w:num>
  <w:num w:numId="13">
    <w:abstractNumId w:val="40"/>
  </w:num>
  <w:num w:numId="14">
    <w:abstractNumId w:val="34"/>
  </w:num>
  <w:num w:numId="15">
    <w:abstractNumId w:val="0"/>
  </w:num>
  <w:num w:numId="16">
    <w:abstractNumId w:val="3"/>
  </w:num>
  <w:num w:numId="17">
    <w:abstractNumId w:val="37"/>
  </w:num>
  <w:num w:numId="18">
    <w:abstractNumId w:val="26"/>
  </w:num>
  <w:num w:numId="19">
    <w:abstractNumId w:val="21"/>
  </w:num>
  <w:num w:numId="20">
    <w:abstractNumId w:val="14"/>
  </w:num>
  <w:num w:numId="21">
    <w:abstractNumId w:val="2"/>
  </w:num>
  <w:num w:numId="22">
    <w:abstractNumId w:val="43"/>
  </w:num>
  <w:num w:numId="23">
    <w:abstractNumId w:val="15"/>
  </w:num>
  <w:num w:numId="24">
    <w:abstractNumId w:val="35"/>
  </w:num>
  <w:num w:numId="25">
    <w:abstractNumId w:val="22"/>
  </w:num>
  <w:num w:numId="26">
    <w:abstractNumId w:val="7"/>
  </w:num>
  <w:num w:numId="27">
    <w:abstractNumId w:val="10"/>
  </w:num>
  <w:num w:numId="28">
    <w:abstractNumId w:val="25"/>
  </w:num>
  <w:num w:numId="29">
    <w:abstractNumId w:val="36"/>
  </w:num>
  <w:num w:numId="30">
    <w:abstractNumId w:val="30"/>
  </w:num>
  <w:num w:numId="31">
    <w:abstractNumId w:val="28"/>
  </w:num>
  <w:num w:numId="32">
    <w:abstractNumId w:val="24"/>
  </w:num>
  <w:num w:numId="33">
    <w:abstractNumId w:val="13"/>
  </w:num>
  <w:num w:numId="34">
    <w:abstractNumId w:val="1"/>
  </w:num>
  <w:num w:numId="35">
    <w:abstractNumId w:val="46"/>
  </w:num>
  <w:num w:numId="36">
    <w:abstractNumId w:val="27"/>
  </w:num>
  <w:num w:numId="37">
    <w:abstractNumId w:val="44"/>
  </w:num>
  <w:num w:numId="38">
    <w:abstractNumId w:val="33"/>
  </w:num>
  <w:num w:numId="39">
    <w:abstractNumId w:val="32"/>
  </w:num>
  <w:num w:numId="40">
    <w:abstractNumId w:val="31"/>
  </w:num>
  <w:num w:numId="41">
    <w:abstractNumId w:val="23"/>
  </w:num>
  <w:num w:numId="42">
    <w:abstractNumId w:val="42"/>
  </w:num>
  <w:num w:numId="43">
    <w:abstractNumId w:val="5"/>
  </w:num>
  <w:num w:numId="44">
    <w:abstractNumId w:val="11"/>
  </w:num>
  <w:num w:numId="45">
    <w:abstractNumId w:val="4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463E"/>
    <w:rsid w:val="000D5553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4D4F"/>
    <w:rsid w:val="00150564"/>
    <w:rsid w:val="001507F7"/>
    <w:rsid w:val="001612BF"/>
    <w:rsid w:val="0016481B"/>
    <w:rsid w:val="00164C1C"/>
    <w:rsid w:val="00164F7E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A6F4D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4AC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5BC1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77874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452A"/>
    <w:rsid w:val="00556C07"/>
    <w:rsid w:val="00563C88"/>
    <w:rsid w:val="00574C00"/>
    <w:rsid w:val="00587E7C"/>
    <w:rsid w:val="005A13D0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56EB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77ECD"/>
    <w:rsid w:val="00683642"/>
    <w:rsid w:val="00685D0A"/>
    <w:rsid w:val="00687DE5"/>
    <w:rsid w:val="00693D89"/>
    <w:rsid w:val="00694271"/>
    <w:rsid w:val="006A4190"/>
    <w:rsid w:val="006A5B13"/>
    <w:rsid w:val="006A6986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76ED"/>
    <w:rsid w:val="00712DBA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39C6"/>
    <w:rsid w:val="0078685F"/>
    <w:rsid w:val="0079222B"/>
    <w:rsid w:val="007943F4"/>
    <w:rsid w:val="00794E5A"/>
    <w:rsid w:val="007A1EB9"/>
    <w:rsid w:val="007A2359"/>
    <w:rsid w:val="007A64C6"/>
    <w:rsid w:val="007B0068"/>
    <w:rsid w:val="007B361B"/>
    <w:rsid w:val="007B5ECB"/>
    <w:rsid w:val="007C1E92"/>
    <w:rsid w:val="007C7301"/>
    <w:rsid w:val="007D5249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47370"/>
    <w:rsid w:val="00856E50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422B"/>
    <w:rsid w:val="008F68EE"/>
    <w:rsid w:val="00900AB1"/>
    <w:rsid w:val="0090498A"/>
    <w:rsid w:val="0090608E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41D8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14771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568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264"/>
    <w:rsid w:val="00AD5D31"/>
    <w:rsid w:val="00AE1616"/>
    <w:rsid w:val="00AE234C"/>
    <w:rsid w:val="00AF0E97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24C5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05A8B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8774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6D7"/>
    <w:rsid w:val="00E812B3"/>
    <w:rsid w:val="00E83FA4"/>
    <w:rsid w:val="00E84426"/>
    <w:rsid w:val="00E92203"/>
    <w:rsid w:val="00E932FE"/>
    <w:rsid w:val="00E9508C"/>
    <w:rsid w:val="00EB061D"/>
    <w:rsid w:val="00EB1DDF"/>
    <w:rsid w:val="00EB62BF"/>
    <w:rsid w:val="00EC130A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C48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6E62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30FC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D3343-6BAC-4B36-BFEA-CF60B3B5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2016-09-06T23:39:00Z</cp:lastPrinted>
  <dcterms:created xsi:type="dcterms:W3CDTF">2016-09-06T23:43:00Z</dcterms:created>
  <dcterms:modified xsi:type="dcterms:W3CDTF">2016-09-06T23:44:00Z</dcterms:modified>
</cp:coreProperties>
</file>