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65" w:rsidRDefault="00DA3B65" w:rsidP="00DA3B6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774818">
        <w:rPr>
          <w:rFonts w:asciiTheme="minorHAnsi" w:eastAsia="Arial Unicode MS" w:hAnsiTheme="minorHAnsi" w:cs="Arial Unicode MS"/>
          <w:b/>
          <w:color w:val="000099"/>
          <w:sz w:val="28"/>
        </w:rPr>
        <w:t>19</w:t>
      </w:r>
      <w:r w:rsidR="006A5CD2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B1BCD" w:rsidRPr="00774818" w:rsidRDefault="00714AA6" w:rsidP="0077481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4D30D3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 xml:space="preserve"> seis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74818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74818">
        <w:rPr>
          <w:rFonts w:asciiTheme="minorHAnsi" w:eastAsia="Arial Unicode MS" w:hAnsiTheme="minorHAnsi" w:cs="Arial Unicode MS"/>
          <w:b/>
          <w:color w:val="000099"/>
          <w:sz w:val="24"/>
        </w:rPr>
        <w:t>19</w:t>
      </w:r>
      <w:r w:rsidR="00AE672A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774818" w:rsidRDefault="00774818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</w:p>
    <w:p w:rsidR="00602AB1" w:rsidRDefault="00982C7D" w:rsidP="007748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 w:rsidRPr="00774818">
        <w:rPr>
          <w:b/>
          <w:color w:val="000099"/>
          <w:sz w:val="24"/>
          <w:szCs w:val="24"/>
        </w:rPr>
        <w:t>Información</w:t>
      </w:r>
      <w:r w:rsidR="004D30D3" w:rsidRPr="00774818">
        <w:rPr>
          <w:b/>
          <w:color w:val="000099"/>
          <w:sz w:val="24"/>
          <w:szCs w:val="24"/>
        </w:rPr>
        <w:t xml:space="preserve"> sobre </w:t>
      </w:r>
      <w:r w:rsidR="00774818" w:rsidRPr="00774818">
        <w:rPr>
          <w:b/>
          <w:color w:val="000099"/>
          <w:sz w:val="24"/>
          <w:szCs w:val="24"/>
        </w:rPr>
        <w:t xml:space="preserve">mercado de cacao: </w:t>
      </w:r>
    </w:p>
    <w:p w:rsid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Producción</w:t>
      </w:r>
    </w:p>
    <w:p w:rsid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Precios</w:t>
      </w:r>
    </w:p>
    <w:p w:rsid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Importación</w:t>
      </w:r>
    </w:p>
    <w:p w:rsid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Exportación</w:t>
      </w:r>
    </w:p>
    <w:p w:rsidR="00774818" w:rsidRPr="00774818" w:rsidRDefault="00774818" w:rsidP="00774818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Técnicas de Cultivo y Asistencia Técnica.</w:t>
      </w: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DA3B65" w:rsidRPr="00DA3B65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xxxxxxxxxxxxxxxxxxx</w:t>
      </w:r>
      <w:bookmarkStart w:id="0" w:name="_GoBack"/>
      <w:bookmarkEnd w:id="0"/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</w:t>
      </w:r>
      <w:r w:rsidR="00774818">
        <w:rPr>
          <w:rFonts w:asciiTheme="minorHAnsi" w:eastAsia="Arial Unicode MS" w:hAnsiTheme="minorHAnsi" w:cs="Arial Unicode MS"/>
          <w:sz w:val="24"/>
          <w:szCs w:val="24"/>
        </w:rPr>
        <w:t>ado determinándose con base al A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r</w:t>
      </w:r>
      <w:r w:rsidR="00362C2F">
        <w:rPr>
          <w:rFonts w:asciiTheme="minorHAnsi" w:eastAsia="Arial Unicode MS" w:hAnsiTheme="minorHAnsi" w:cs="Arial Unicode MS"/>
          <w:sz w:val="24"/>
          <w:szCs w:val="24"/>
        </w:rPr>
        <w:t xml:space="preserve">t. 62 inciso 2º que la misma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B3347" w:rsidRPr="00362C2F" w:rsidRDefault="00602AB1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62C2F">
        <w:rPr>
          <w:rFonts w:asciiTheme="minorHAnsi" w:eastAsia="Arial Unicode MS" w:hAnsiTheme="minorHAnsi" w:cs="Arial Unicode MS"/>
        </w:rPr>
        <w:t xml:space="preserve">Parte de la información solicitada se </w:t>
      </w:r>
      <w:r w:rsidR="00377B60" w:rsidRPr="00362C2F">
        <w:rPr>
          <w:rFonts w:asciiTheme="minorHAnsi" w:eastAsia="Arial Unicode MS" w:hAnsiTheme="minorHAnsi" w:cs="Arial Unicode MS"/>
        </w:rPr>
        <w:t>atendió el mismo día de ingreso</w:t>
      </w:r>
      <w:r w:rsidR="00AE672A" w:rsidRPr="00362C2F">
        <w:rPr>
          <w:rFonts w:asciiTheme="minorHAnsi" w:eastAsia="Arial Unicode MS" w:hAnsiTheme="minorHAnsi" w:cs="Arial Unicode MS"/>
        </w:rPr>
        <w:t>,</w:t>
      </w:r>
      <w:r w:rsidRPr="00362C2F">
        <w:rPr>
          <w:rFonts w:asciiTheme="minorHAnsi" w:eastAsia="Arial Unicode MS" w:hAnsiTheme="minorHAnsi" w:cs="Arial Unicode MS"/>
        </w:rPr>
        <w:t xml:space="preserve"> ya que es información oficiosa, </w:t>
      </w:r>
      <w:r w:rsidR="00787A4E" w:rsidRPr="00362C2F">
        <w:rPr>
          <w:rFonts w:asciiTheme="minorHAnsi" w:eastAsia="Arial Unicode MS" w:hAnsiTheme="minorHAnsi" w:cs="Arial Unicode MS"/>
        </w:rPr>
        <w:t xml:space="preserve">por lo que se </w:t>
      </w:r>
      <w:proofErr w:type="spellStart"/>
      <w:r w:rsidR="00787A4E" w:rsidRPr="00362C2F">
        <w:rPr>
          <w:rFonts w:asciiTheme="minorHAnsi" w:eastAsia="Arial Unicode MS" w:hAnsiTheme="minorHAnsi" w:cs="Arial Unicode MS"/>
        </w:rPr>
        <w:t>indico</w:t>
      </w:r>
      <w:proofErr w:type="spellEnd"/>
      <w:r w:rsidR="00787A4E" w:rsidRPr="00362C2F">
        <w:rPr>
          <w:rFonts w:asciiTheme="minorHAnsi" w:eastAsia="Arial Unicode MS" w:hAnsiTheme="minorHAnsi" w:cs="Arial Unicode MS"/>
        </w:rPr>
        <w:t xml:space="preserve"> que se encuentra en la página web del MAG, </w:t>
      </w:r>
      <w:r w:rsidR="00377B60" w:rsidRPr="00362C2F">
        <w:rPr>
          <w:rFonts w:asciiTheme="minorHAnsi" w:eastAsia="Arial Unicode MS" w:hAnsiTheme="minorHAnsi" w:cs="Arial Unicode MS"/>
        </w:rPr>
        <w:t xml:space="preserve">y </w:t>
      </w:r>
      <w:r w:rsidRPr="00362C2F">
        <w:rPr>
          <w:rFonts w:asciiTheme="minorHAnsi" w:eastAsia="Arial Unicode MS" w:hAnsiTheme="minorHAnsi" w:cs="Arial Unicode MS"/>
        </w:rPr>
        <w:t>el resto no compete</w:t>
      </w:r>
      <w:r w:rsidR="00377B60" w:rsidRPr="00362C2F">
        <w:rPr>
          <w:rFonts w:asciiTheme="minorHAnsi" w:eastAsia="Arial Unicode MS" w:hAnsiTheme="minorHAnsi" w:cs="Arial Unicode MS"/>
        </w:rPr>
        <w:t xml:space="preserve"> al MAG</w:t>
      </w:r>
      <w:r w:rsidR="00774818" w:rsidRPr="00362C2F">
        <w:rPr>
          <w:rFonts w:asciiTheme="minorHAnsi" w:eastAsia="Arial Unicode MS" w:hAnsiTheme="minorHAnsi" w:cs="Arial Unicode MS"/>
        </w:rPr>
        <w:t xml:space="preserve"> por lo que se refirió a la Institución correspondiente</w:t>
      </w:r>
      <w:r w:rsidR="002546DE" w:rsidRPr="00362C2F">
        <w:rPr>
          <w:rFonts w:asciiTheme="minorHAnsi" w:eastAsia="Arial Unicode MS" w:hAnsiTheme="minorHAnsi" w:cs="Arial Unicode MS"/>
        </w:rPr>
        <w:t xml:space="preserve">, </w:t>
      </w:r>
      <w:r w:rsidR="00377B60" w:rsidRPr="00362C2F">
        <w:rPr>
          <w:rFonts w:asciiTheme="minorHAnsi" w:eastAsia="Arial Unicode MS" w:hAnsiTheme="minorHAnsi" w:cs="Arial Unicode MS"/>
        </w:rPr>
        <w:t>en este caso al Banco Central de Reserva BCR y Centro de Tecnología Agropecuaria y Forestal “</w:t>
      </w:r>
      <w:r w:rsidR="00CB3347" w:rsidRPr="00362C2F">
        <w:rPr>
          <w:rFonts w:asciiTheme="minorHAnsi" w:eastAsia="Arial Unicode MS" w:hAnsiTheme="minorHAnsi" w:cs="Arial Unicode MS"/>
        </w:rPr>
        <w:t xml:space="preserve">Enrique Álvarez Córdova” CENTA, consultar a las siguientes direcciones electrónicas de las oficinas de información y respuesta: </w:t>
      </w:r>
    </w:p>
    <w:p w:rsidR="00787A4E" w:rsidRDefault="00787A4E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87A4E" w:rsidRDefault="00787A4E" w:rsidP="00787A4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</w:rPr>
      </w:pPr>
      <w:r w:rsidRPr="00C27A18">
        <w:rPr>
          <w:rFonts w:asciiTheme="minorHAnsi" w:eastAsia="Arial Unicode MS" w:hAnsiTheme="minorHAnsi" w:cs="Arial Unicode MS"/>
        </w:rPr>
        <w:t xml:space="preserve">Acceder a la siguiente dirección electrónica: </w:t>
      </w:r>
      <w:r w:rsidR="002800C8" w:rsidRPr="002800C8">
        <w:rPr>
          <w:rFonts w:asciiTheme="minorHAnsi" w:eastAsia="Arial Unicode MS" w:hAnsiTheme="minorHAnsi" w:cs="Arial Unicode MS"/>
          <w:color w:val="0000FF"/>
          <w:u w:val="single"/>
        </w:rPr>
        <w:t>http://www.mag.gob.sv/estadisticas-agropecuarias/</w:t>
      </w:r>
    </w:p>
    <w:p w:rsidR="00787A4E" w:rsidRPr="00787A4E" w:rsidRDefault="00787A4E" w:rsidP="00787A4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</w:rPr>
      </w:pPr>
    </w:p>
    <w:p w:rsidR="00CB3347" w:rsidRPr="00787A4E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87A4E">
        <w:rPr>
          <w:rFonts w:asciiTheme="minorHAnsi" w:eastAsia="Arial Unicode MS" w:hAnsiTheme="minorHAnsi" w:cs="Arial Unicode MS"/>
        </w:rPr>
        <w:t>BCR</w:t>
      </w:r>
      <w:r w:rsidR="00CF507E" w:rsidRPr="00787A4E">
        <w:rPr>
          <w:rFonts w:asciiTheme="minorHAnsi" w:eastAsia="Arial Unicode MS" w:hAnsiTheme="minorHAnsi" w:cs="Arial Unicode MS"/>
        </w:rPr>
        <w:t>:</w:t>
      </w:r>
      <w:hyperlink r:id="rId9" w:history="1">
        <w:r w:rsidRPr="00787A4E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http://www.bcr.gob.sv/esp/index.php?option=com_content&amp;view=article&amp;id=86&amp;Itemid=218</w:t>
        </w:r>
      </w:hyperlink>
      <w:r w:rsidR="00787A4E" w:rsidRPr="00787A4E">
        <w:t xml:space="preserve"> </w:t>
      </w:r>
    </w:p>
    <w:p w:rsidR="00787A4E" w:rsidRDefault="00787A4E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B3347" w:rsidRPr="00CB3347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CENTA</w:t>
      </w:r>
      <w:r w:rsidR="00CF507E">
        <w:rPr>
          <w:rFonts w:asciiTheme="minorHAnsi" w:eastAsia="Arial Unicode MS" w:hAnsiTheme="minorHAnsi" w:cs="Arial Unicode MS"/>
        </w:rPr>
        <w:t>:</w:t>
      </w:r>
      <w:r>
        <w:rPr>
          <w:rFonts w:asciiTheme="minorHAnsi" w:eastAsia="Arial Unicode MS" w:hAnsiTheme="minorHAnsi" w:cs="Arial Unicode MS"/>
        </w:rPr>
        <w:t xml:space="preserve"> </w:t>
      </w:r>
      <w:hyperlink r:id="rId10" w:history="1">
        <w:r w:rsidRPr="00CF507E">
          <w:rPr>
            <w:rStyle w:val="Hipervnculo"/>
            <w:rFonts w:asciiTheme="minorHAnsi" w:eastAsia="Arial Unicode MS" w:hAnsiTheme="minorHAnsi" w:cs="Arial Unicode MS"/>
          </w:rPr>
          <w:t>http://www.centa.gob.sv/2015/ubicacion-y-directorio/</w:t>
        </w:r>
      </w:hyperlink>
    </w:p>
    <w:p w:rsidR="00E309E7" w:rsidRDefault="00E309E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D5807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E27E00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75" w:rsidRDefault="00117675" w:rsidP="00F425A5">
      <w:pPr>
        <w:spacing w:after="0" w:line="240" w:lineRule="auto"/>
      </w:pPr>
      <w:r>
        <w:separator/>
      </w:r>
    </w:p>
  </w:endnote>
  <w:endnote w:type="continuationSeparator" w:id="0">
    <w:p w:rsidR="00117675" w:rsidRDefault="001176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C2281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A3B6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A3B6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BB72C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A3B6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A3B6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BB72C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75" w:rsidRDefault="00117675" w:rsidP="00F425A5">
      <w:pPr>
        <w:spacing w:after="0" w:line="240" w:lineRule="auto"/>
      </w:pPr>
      <w:r>
        <w:separator/>
      </w:r>
    </w:p>
  </w:footnote>
  <w:footnote w:type="continuationSeparator" w:id="0">
    <w:p w:rsidR="00117675" w:rsidRDefault="001176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3821430</wp:posOffset>
          </wp:positionH>
          <wp:positionV relativeFrom="paragraph">
            <wp:posOffset>-122555</wp:posOffset>
          </wp:positionV>
          <wp:extent cx="1723390" cy="98298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76837" cy="862641"/>
          <wp:effectExtent l="19050" t="0" r="4313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303" cy="86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13FED"/>
    <w:multiLevelType w:val="hybridMultilevel"/>
    <w:tmpl w:val="49C471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0B1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803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17675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0C8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62C2F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632F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4FF7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4818"/>
    <w:rsid w:val="0078685F"/>
    <w:rsid w:val="00787A4E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E669A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B72CE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81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507E"/>
    <w:rsid w:val="00CF668F"/>
    <w:rsid w:val="00CF69F2"/>
    <w:rsid w:val="00CF7F5B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3B65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nta.gob.sv/2015/ubicacion-y-directo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cr.gob.sv/esp/index.php?option=com_content&amp;view=article&amp;id=86&amp;Itemid=2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072A-3711-43C2-A4F4-1869882D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2016-08-11T15:40:00Z</cp:lastPrinted>
  <dcterms:created xsi:type="dcterms:W3CDTF">2016-08-11T16:22:00Z</dcterms:created>
  <dcterms:modified xsi:type="dcterms:W3CDTF">2016-08-11T16:23:00Z</dcterms:modified>
</cp:coreProperties>
</file>