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6C" w:rsidRDefault="009D006C" w:rsidP="009D006C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7F5558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B626D7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126A4D">
        <w:rPr>
          <w:rFonts w:asciiTheme="minorHAnsi" w:eastAsia="Arial Unicode MS" w:hAnsiTheme="minorHAnsi" w:cs="Arial Unicode MS"/>
          <w:b/>
          <w:color w:val="000099"/>
          <w:sz w:val="28"/>
        </w:rPr>
        <w:t>53</w:t>
      </w:r>
      <w:r w:rsidR="0065633F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D4056E" w:rsidRPr="00D4056E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982A15" w:rsidRPr="00B50B35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B50B35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B50B35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B50B35">
        <w:rPr>
          <w:rFonts w:asciiTheme="minorHAnsi" w:eastAsia="Arial Unicode MS" w:hAnsiTheme="minorHAnsi" w:cs="Arial Unicode MS"/>
          <w:sz w:val="24"/>
        </w:rPr>
        <w:t xml:space="preserve">a las </w:t>
      </w:r>
      <w:r w:rsidR="00126A4D">
        <w:rPr>
          <w:rFonts w:asciiTheme="minorHAnsi" w:eastAsia="Arial Unicode MS" w:hAnsiTheme="minorHAnsi" w:cs="Arial Unicode MS"/>
          <w:color w:val="000099"/>
          <w:sz w:val="24"/>
        </w:rPr>
        <w:t>quince</w:t>
      </w:r>
      <w:r w:rsidR="004A0CA6" w:rsidRPr="00B50B3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B50B35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B50B35">
        <w:rPr>
          <w:rFonts w:asciiTheme="minorHAnsi" w:eastAsia="Arial Unicode MS" w:hAnsiTheme="minorHAnsi" w:cs="Arial Unicode MS"/>
          <w:color w:val="000099"/>
          <w:sz w:val="24"/>
        </w:rPr>
        <w:t xml:space="preserve"> con </w:t>
      </w:r>
      <w:r w:rsidR="00D4056E" w:rsidRPr="00B50B35">
        <w:rPr>
          <w:rFonts w:asciiTheme="minorHAnsi" w:eastAsia="Arial Unicode MS" w:hAnsiTheme="minorHAnsi" w:cs="Arial Unicode MS"/>
          <w:color w:val="000099"/>
          <w:sz w:val="24"/>
        </w:rPr>
        <w:t>c</w:t>
      </w:r>
      <w:r w:rsidR="00126A4D">
        <w:rPr>
          <w:rFonts w:asciiTheme="minorHAnsi" w:eastAsia="Arial Unicode MS" w:hAnsiTheme="minorHAnsi" w:cs="Arial Unicode MS"/>
          <w:color w:val="000099"/>
          <w:sz w:val="24"/>
        </w:rPr>
        <w:t>uarenta y cinco</w:t>
      </w:r>
      <w:r w:rsidR="00D4056E" w:rsidRPr="00B50B3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C244D4" w:rsidRPr="00B50B35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E31E9" w:rsidRPr="00B50B3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B50B35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126A4D">
        <w:rPr>
          <w:rFonts w:asciiTheme="minorHAnsi" w:eastAsia="Arial Unicode MS" w:hAnsiTheme="minorHAnsi" w:cs="Arial Unicode MS"/>
          <w:color w:val="000099"/>
          <w:sz w:val="24"/>
        </w:rPr>
        <w:t>siete</w:t>
      </w:r>
      <w:r w:rsidR="00D4056E" w:rsidRPr="00B50B35">
        <w:rPr>
          <w:rFonts w:asciiTheme="minorHAnsi" w:eastAsia="Arial Unicode MS" w:hAnsiTheme="minorHAnsi" w:cs="Arial Unicode MS"/>
          <w:color w:val="000099"/>
          <w:sz w:val="24"/>
        </w:rPr>
        <w:t xml:space="preserve"> de junio </w:t>
      </w:r>
      <w:r w:rsidRPr="00B50B35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CA0975" w:rsidRPr="00B50B35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B50B35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B50B35">
        <w:rPr>
          <w:rFonts w:asciiTheme="minorHAnsi" w:eastAsia="Arial Unicode MS" w:hAnsiTheme="minorHAnsi" w:cs="Arial Unicode MS"/>
          <w:sz w:val="24"/>
        </w:rPr>
        <w:t xml:space="preserve"> </w:t>
      </w:r>
      <w:r w:rsidRPr="00B50B3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D4056E" w:rsidRPr="00B50B35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126A4D">
        <w:rPr>
          <w:rFonts w:asciiTheme="minorHAnsi" w:eastAsia="Arial Unicode MS" w:hAnsiTheme="minorHAnsi" w:cs="Arial Unicode MS"/>
          <w:b/>
          <w:color w:val="000099"/>
          <w:sz w:val="24"/>
        </w:rPr>
        <w:t>53</w:t>
      </w:r>
      <w:r w:rsidR="00E757D8" w:rsidRPr="00B50B35">
        <w:rPr>
          <w:rFonts w:asciiTheme="minorHAnsi" w:eastAsia="Arial Unicode MS" w:hAnsiTheme="minorHAnsi" w:cs="Arial Unicode MS"/>
          <w:sz w:val="24"/>
        </w:rPr>
        <w:t xml:space="preserve"> </w:t>
      </w:r>
      <w:r w:rsidRPr="00B50B35">
        <w:rPr>
          <w:rFonts w:asciiTheme="minorHAnsi" w:eastAsia="Arial Unicode MS" w:hAnsiTheme="minorHAnsi" w:cs="Arial Unicode MS"/>
          <w:sz w:val="24"/>
        </w:rPr>
        <w:t>sobre:</w:t>
      </w:r>
    </w:p>
    <w:p w:rsidR="00126A4D" w:rsidRPr="00126A4D" w:rsidRDefault="00126A4D" w:rsidP="00126A4D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  <w:lang w:eastAsia="en-US"/>
        </w:rPr>
      </w:pPr>
    </w:p>
    <w:p w:rsidR="00126A4D" w:rsidRPr="00126A4D" w:rsidRDefault="00126A4D" w:rsidP="00126A4D">
      <w:pPr>
        <w:autoSpaceDE w:val="0"/>
        <w:autoSpaceDN w:val="0"/>
        <w:adjustRightInd w:val="0"/>
        <w:spacing w:after="0"/>
        <w:rPr>
          <w:rFonts w:eastAsia="Calibri"/>
          <w:color w:val="000099"/>
          <w:lang w:eastAsia="en-US"/>
        </w:rPr>
      </w:pPr>
      <w:r w:rsidRPr="00126A4D">
        <w:rPr>
          <w:rFonts w:eastAsia="Calibri"/>
          <w:bCs/>
          <w:color w:val="000099"/>
          <w:lang w:eastAsia="en-US"/>
        </w:rPr>
        <w:t>1. Nombre del regante, nacionalidad, profesión u oficio</w:t>
      </w:r>
    </w:p>
    <w:p w:rsidR="00126A4D" w:rsidRPr="00126A4D" w:rsidRDefault="00126A4D" w:rsidP="00126A4D">
      <w:pPr>
        <w:autoSpaceDE w:val="0"/>
        <w:autoSpaceDN w:val="0"/>
        <w:adjustRightInd w:val="0"/>
        <w:spacing w:after="0"/>
        <w:rPr>
          <w:rFonts w:eastAsia="Calibri"/>
          <w:color w:val="000099"/>
          <w:lang w:eastAsia="en-US"/>
        </w:rPr>
      </w:pPr>
      <w:r w:rsidRPr="00126A4D">
        <w:rPr>
          <w:rFonts w:eastAsia="Calibri"/>
          <w:bCs/>
          <w:color w:val="000099"/>
          <w:lang w:eastAsia="en-US"/>
        </w:rPr>
        <w:t>2. Duración de la Concesión</w:t>
      </w:r>
    </w:p>
    <w:p w:rsidR="00126A4D" w:rsidRPr="00126A4D" w:rsidRDefault="00126A4D" w:rsidP="00126A4D">
      <w:pPr>
        <w:autoSpaceDE w:val="0"/>
        <w:autoSpaceDN w:val="0"/>
        <w:adjustRightInd w:val="0"/>
        <w:spacing w:after="0"/>
        <w:rPr>
          <w:rFonts w:eastAsia="Calibri"/>
          <w:color w:val="000099"/>
          <w:lang w:eastAsia="en-US"/>
        </w:rPr>
      </w:pPr>
      <w:r w:rsidRPr="00126A4D">
        <w:rPr>
          <w:rFonts w:eastAsia="Calibri"/>
          <w:bCs/>
          <w:color w:val="000099"/>
          <w:lang w:eastAsia="en-US"/>
        </w:rPr>
        <w:t>3. Año y mes de otorgamiento</w:t>
      </w:r>
    </w:p>
    <w:p w:rsidR="00126A4D" w:rsidRPr="00126A4D" w:rsidRDefault="00126A4D" w:rsidP="00126A4D">
      <w:pPr>
        <w:autoSpaceDE w:val="0"/>
        <w:autoSpaceDN w:val="0"/>
        <w:adjustRightInd w:val="0"/>
        <w:spacing w:after="0"/>
        <w:rPr>
          <w:rFonts w:eastAsia="Calibri"/>
          <w:color w:val="000099"/>
          <w:lang w:eastAsia="en-US"/>
        </w:rPr>
      </w:pPr>
      <w:r w:rsidRPr="00126A4D">
        <w:rPr>
          <w:rFonts w:eastAsia="Calibri"/>
          <w:bCs/>
          <w:color w:val="000099"/>
          <w:lang w:eastAsia="en-US"/>
        </w:rPr>
        <w:t>4. Año y mes en que finalizará</w:t>
      </w:r>
    </w:p>
    <w:p w:rsidR="00126A4D" w:rsidRPr="00126A4D" w:rsidRDefault="00126A4D" w:rsidP="00126A4D">
      <w:pPr>
        <w:autoSpaceDE w:val="0"/>
        <w:autoSpaceDN w:val="0"/>
        <w:adjustRightInd w:val="0"/>
        <w:spacing w:after="0"/>
        <w:rPr>
          <w:rFonts w:eastAsia="Calibri"/>
          <w:color w:val="000099"/>
          <w:lang w:eastAsia="en-US"/>
        </w:rPr>
      </w:pPr>
      <w:r w:rsidRPr="00126A4D">
        <w:rPr>
          <w:rFonts w:eastAsia="Calibri"/>
          <w:bCs/>
          <w:color w:val="000099"/>
          <w:lang w:eastAsia="en-US"/>
        </w:rPr>
        <w:t>5. Recurso del cual se derivará el agua</w:t>
      </w:r>
    </w:p>
    <w:p w:rsidR="00126A4D" w:rsidRPr="00126A4D" w:rsidRDefault="00126A4D" w:rsidP="00126A4D">
      <w:pPr>
        <w:autoSpaceDE w:val="0"/>
        <w:autoSpaceDN w:val="0"/>
        <w:adjustRightInd w:val="0"/>
        <w:spacing w:after="0"/>
        <w:rPr>
          <w:rFonts w:eastAsia="Calibri"/>
          <w:color w:val="000099"/>
          <w:lang w:eastAsia="en-US"/>
        </w:rPr>
      </w:pPr>
      <w:r w:rsidRPr="00126A4D">
        <w:rPr>
          <w:rFonts w:eastAsia="Calibri"/>
          <w:bCs/>
          <w:color w:val="000099"/>
          <w:lang w:eastAsia="en-US"/>
        </w:rPr>
        <w:t>6. Departamento, municipio, cantón, caserío</w:t>
      </w:r>
    </w:p>
    <w:p w:rsidR="00126A4D" w:rsidRPr="00126A4D" w:rsidRDefault="00126A4D" w:rsidP="00126A4D">
      <w:pPr>
        <w:autoSpaceDE w:val="0"/>
        <w:autoSpaceDN w:val="0"/>
        <w:adjustRightInd w:val="0"/>
        <w:spacing w:after="0"/>
        <w:rPr>
          <w:rFonts w:eastAsia="Calibri"/>
          <w:color w:val="000099"/>
          <w:lang w:eastAsia="en-US"/>
        </w:rPr>
      </w:pPr>
      <w:r w:rsidRPr="00126A4D">
        <w:rPr>
          <w:rFonts w:eastAsia="Calibri"/>
          <w:bCs/>
          <w:color w:val="000099"/>
          <w:lang w:eastAsia="en-US"/>
        </w:rPr>
        <w:t>7. Uso autorizado (riego o ganadería)</w:t>
      </w:r>
    </w:p>
    <w:p w:rsidR="00126A4D" w:rsidRPr="00126A4D" w:rsidRDefault="00126A4D" w:rsidP="00126A4D">
      <w:pPr>
        <w:autoSpaceDE w:val="0"/>
        <w:autoSpaceDN w:val="0"/>
        <w:adjustRightInd w:val="0"/>
        <w:spacing w:after="0"/>
        <w:rPr>
          <w:rFonts w:eastAsia="Calibri"/>
          <w:color w:val="000099"/>
          <w:lang w:eastAsia="en-US"/>
        </w:rPr>
      </w:pPr>
      <w:r w:rsidRPr="00126A4D">
        <w:rPr>
          <w:rFonts w:eastAsia="Calibri"/>
          <w:bCs/>
          <w:color w:val="000099"/>
          <w:lang w:eastAsia="en-US"/>
        </w:rPr>
        <w:t>8. Ubicación del inmueble o inmuebles que se pretende regar</w:t>
      </w:r>
    </w:p>
    <w:p w:rsidR="00126A4D" w:rsidRPr="00126A4D" w:rsidRDefault="00126A4D" w:rsidP="00126A4D">
      <w:pPr>
        <w:autoSpaceDE w:val="0"/>
        <w:autoSpaceDN w:val="0"/>
        <w:adjustRightInd w:val="0"/>
        <w:spacing w:after="0"/>
        <w:rPr>
          <w:rFonts w:eastAsia="Calibri"/>
          <w:color w:val="000099"/>
          <w:lang w:eastAsia="en-US"/>
        </w:rPr>
      </w:pPr>
      <w:r w:rsidRPr="00126A4D">
        <w:rPr>
          <w:rFonts w:eastAsia="Calibri"/>
          <w:bCs/>
          <w:color w:val="000099"/>
          <w:lang w:eastAsia="en-US"/>
        </w:rPr>
        <w:t>9. Área del inmueble o inmuebles que se han de regar</w:t>
      </w:r>
    </w:p>
    <w:p w:rsidR="00126A4D" w:rsidRPr="00126A4D" w:rsidRDefault="00126A4D" w:rsidP="00126A4D">
      <w:pPr>
        <w:autoSpaceDE w:val="0"/>
        <w:autoSpaceDN w:val="0"/>
        <w:adjustRightInd w:val="0"/>
        <w:spacing w:after="0"/>
        <w:rPr>
          <w:rFonts w:eastAsia="Calibri"/>
          <w:color w:val="000099"/>
          <w:lang w:eastAsia="en-US"/>
        </w:rPr>
      </w:pPr>
      <w:r w:rsidRPr="00126A4D">
        <w:rPr>
          <w:rFonts w:eastAsia="Calibri"/>
          <w:bCs/>
          <w:color w:val="000099"/>
          <w:lang w:eastAsia="en-US"/>
        </w:rPr>
        <w:t>10. Descripción del inmueble a regar</w:t>
      </w:r>
    </w:p>
    <w:p w:rsidR="00126A4D" w:rsidRPr="00126A4D" w:rsidRDefault="00126A4D" w:rsidP="00126A4D">
      <w:pPr>
        <w:autoSpaceDE w:val="0"/>
        <w:autoSpaceDN w:val="0"/>
        <w:adjustRightInd w:val="0"/>
        <w:spacing w:after="0"/>
        <w:rPr>
          <w:rFonts w:eastAsia="Calibri"/>
          <w:color w:val="000099"/>
          <w:lang w:eastAsia="en-US"/>
        </w:rPr>
      </w:pPr>
      <w:r w:rsidRPr="00126A4D">
        <w:rPr>
          <w:rFonts w:eastAsia="Calibri"/>
          <w:bCs/>
          <w:color w:val="000099"/>
          <w:lang w:eastAsia="en-US"/>
        </w:rPr>
        <w:t>11. Descripción en términos generales de las obras aprobadas</w:t>
      </w:r>
    </w:p>
    <w:p w:rsidR="00126A4D" w:rsidRPr="00126A4D" w:rsidRDefault="00126A4D" w:rsidP="00126A4D">
      <w:pPr>
        <w:autoSpaceDE w:val="0"/>
        <w:autoSpaceDN w:val="0"/>
        <w:adjustRightInd w:val="0"/>
        <w:spacing w:after="0"/>
        <w:rPr>
          <w:rFonts w:eastAsia="Calibri"/>
          <w:color w:val="000099"/>
          <w:lang w:eastAsia="en-US"/>
        </w:rPr>
      </w:pPr>
      <w:r w:rsidRPr="00126A4D">
        <w:rPr>
          <w:rFonts w:eastAsia="Calibri"/>
          <w:bCs/>
          <w:color w:val="000099"/>
          <w:lang w:eastAsia="en-US"/>
        </w:rPr>
        <w:t>12. El gasto en litros por segundo y volumen anual correspondiente cúbicos</w:t>
      </w:r>
    </w:p>
    <w:p w:rsidR="00FA3387" w:rsidRPr="00126A4D" w:rsidRDefault="00126A4D" w:rsidP="00126A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/>
          <w:color w:val="000099"/>
          <w:sz w:val="14"/>
          <w:szCs w:val="20"/>
          <w:lang w:eastAsia="en-US"/>
        </w:rPr>
      </w:pPr>
      <w:r w:rsidRPr="00126A4D">
        <w:rPr>
          <w:rFonts w:eastAsia="Calibri"/>
          <w:bCs/>
          <w:color w:val="000099"/>
          <w:lang w:eastAsia="en-US"/>
        </w:rPr>
        <w:t>13. Épocas y períodos de riego</w:t>
      </w:r>
    </w:p>
    <w:p w:rsidR="00FA3387" w:rsidRPr="00DE72FA" w:rsidRDefault="00FA3387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B5477D" w:rsidRPr="00DE72FA" w:rsidRDefault="00BE0B9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E72FA">
        <w:rPr>
          <w:rFonts w:asciiTheme="minorHAnsi" w:eastAsia="Arial Unicode MS" w:hAnsiTheme="minorHAnsi" w:cs="Arial Unicode MS"/>
          <w:w w:val="102"/>
          <w:sz w:val="24"/>
        </w:rPr>
        <w:t>P</w:t>
      </w:r>
      <w:r w:rsidR="00EE4B7D" w:rsidRPr="00DE72FA">
        <w:rPr>
          <w:rFonts w:asciiTheme="minorHAnsi" w:eastAsia="Arial Unicode MS" w:hAnsiTheme="minorHAnsi" w:cs="Arial Unicode MS"/>
          <w:w w:val="102"/>
          <w:sz w:val="24"/>
        </w:rPr>
        <w:t>resentada ante la Oficina de Información y Respuesta de esta dependencia por parte de</w:t>
      </w:r>
      <w:r w:rsidR="00EE4B7D" w:rsidRPr="00DE72FA">
        <w:rPr>
          <w:rFonts w:asciiTheme="minorHAnsi" w:eastAsia="Arial Unicode MS" w:hAnsiTheme="minorHAnsi" w:cs="Arial Unicode MS"/>
          <w:color w:val="000099"/>
          <w:sz w:val="24"/>
        </w:rPr>
        <w:t>:</w:t>
      </w:r>
      <w:r w:rsidR="00963746" w:rsidRPr="00DE72FA">
        <w:rPr>
          <w:rFonts w:asciiTheme="minorHAnsi" w:hAnsiTheme="minorHAnsi"/>
          <w:color w:val="000099"/>
          <w:sz w:val="24"/>
        </w:rPr>
        <w:t xml:space="preserve"> </w:t>
      </w:r>
      <w:proofErr w:type="spellStart"/>
      <w:r w:rsidR="009D006C" w:rsidRPr="009D006C">
        <w:rPr>
          <w:rFonts w:asciiTheme="minorHAnsi" w:hAnsiTheme="minorHAnsi"/>
          <w:b/>
          <w:color w:val="000099"/>
          <w:sz w:val="24"/>
          <w:highlight w:val="darkBlue"/>
        </w:rPr>
        <w:t>xxxxxxxxxxxxxxxx</w:t>
      </w:r>
      <w:proofErr w:type="spellEnd"/>
      <w:r w:rsidR="00547BFB" w:rsidRPr="009D006C">
        <w:rPr>
          <w:rFonts w:asciiTheme="minorHAnsi" w:eastAsia="Arial Unicode MS" w:hAnsiTheme="minorHAnsi" w:cs="Arial Unicode MS"/>
          <w:color w:val="000099"/>
          <w:w w:val="102"/>
          <w:sz w:val="24"/>
          <w:highlight w:val="darkBlue"/>
        </w:rPr>
        <w:t>,</w:t>
      </w:r>
      <w:bookmarkStart w:id="0" w:name="_GoBack"/>
      <w:bookmarkEnd w:id="0"/>
      <w:r w:rsidR="00547BFB" w:rsidRPr="00DE72FA">
        <w:rPr>
          <w:rFonts w:asciiTheme="minorHAnsi" w:eastAsia="Arial Unicode MS" w:hAnsiTheme="minorHAnsi" w:cs="Arial Unicode MS"/>
          <w:color w:val="000099"/>
          <w:w w:val="102"/>
          <w:sz w:val="24"/>
        </w:rPr>
        <w:t xml:space="preserve"> </w:t>
      </w:r>
      <w:r w:rsidR="00B5477D" w:rsidRPr="00DE72FA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DE72FA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B5477D" w:rsidRPr="00DE72FA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B5477D" w:rsidRPr="00DE72FA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126A4D" w:rsidRDefault="00B5477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2339B4">
        <w:rPr>
          <w:rFonts w:asciiTheme="minorHAnsi" w:hAnsiTheme="minorHAnsi"/>
          <w:b/>
          <w:color w:val="000099"/>
          <w:sz w:val="24"/>
        </w:rPr>
        <w:t xml:space="preserve">PROPORCIONAR </w:t>
      </w:r>
      <w:r w:rsidRPr="002339B4">
        <w:rPr>
          <w:rFonts w:asciiTheme="minorHAnsi" w:hAnsiTheme="minorHAnsi"/>
          <w:b/>
          <w:color w:val="1F497D" w:themeColor="text2"/>
          <w:sz w:val="24"/>
        </w:rPr>
        <w:t>PARTE</w:t>
      </w:r>
      <w:r w:rsidRPr="002339B4">
        <w:rPr>
          <w:rFonts w:asciiTheme="minorHAnsi" w:hAnsiTheme="minorHAnsi"/>
          <w:b/>
          <w:color w:val="000099"/>
          <w:sz w:val="24"/>
        </w:rPr>
        <w:t xml:space="preserve"> DE LA INFORMACIÓN PÚBLICA SOLICITADA</w:t>
      </w:r>
    </w:p>
    <w:p w:rsidR="00126A4D" w:rsidRDefault="00126A4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</w:p>
    <w:p w:rsidR="00126A4D" w:rsidRDefault="00126A4D" w:rsidP="00126A4D">
      <w:pPr>
        <w:spacing w:after="0" w:line="240" w:lineRule="auto"/>
        <w:jc w:val="both"/>
        <w:rPr>
          <w:sz w:val="24"/>
          <w:szCs w:val="24"/>
        </w:rPr>
      </w:pPr>
      <w:r w:rsidRPr="00126A4D">
        <w:rPr>
          <w:rFonts w:asciiTheme="minorHAnsi" w:hAnsiTheme="minorHAnsi"/>
          <w:sz w:val="24"/>
        </w:rPr>
        <w:t>A continuaci</w:t>
      </w:r>
      <w:r>
        <w:rPr>
          <w:rFonts w:asciiTheme="minorHAnsi" w:hAnsiTheme="minorHAnsi"/>
          <w:sz w:val="24"/>
        </w:rPr>
        <w:t>ón se detalla a</w:t>
      </w:r>
      <w:r>
        <w:rPr>
          <w:sz w:val="24"/>
          <w:szCs w:val="24"/>
        </w:rPr>
        <w:t xml:space="preserve">djunta a la presente resolución información sobre los requerimientos </w:t>
      </w:r>
      <w:r w:rsidRPr="003907A6">
        <w:rPr>
          <w:color w:val="000099"/>
          <w:sz w:val="24"/>
          <w:szCs w:val="24"/>
        </w:rPr>
        <w:t>1, 2, 3, 4, 6, 7, 8, 9, 10, 12,  y 13</w:t>
      </w:r>
      <w:r>
        <w:rPr>
          <w:sz w:val="24"/>
          <w:szCs w:val="24"/>
        </w:rPr>
        <w:t>, con las siguientes excepciones:</w:t>
      </w:r>
    </w:p>
    <w:p w:rsidR="00126A4D" w:rsidRDefault="00126A4D" w:rsidP="00126A4D">
      <w:pPr>
        <w:spacing w:after="0" w:line="240" w:lineRule="auto"/>
        <w:rPr>
          <w:sz w:val="24"/>
          <w:szCs w:val="24"/>
        </w:rPr>
      </w:pPr>
    </w:p>
    <w:p w:rsidR="00126A4D" w:rsidRDefault="00126A4D" w:rsidP="00126A4D">
      <w:pPr>
        <w:spacing w:after="0" w:line="240" w:lineRule="auto"/>
        <w:rPr>
          <w:sz w:val="24"/>
          <w:szCs w:val="24"/>
        </w:rPr>
      </w:pPr>
    </w:p>
    <w:p w:rsidR="00B74C9E" w:rsidRDefault="00B74C9E">
      <w:pPr>
        <w:spacing w:after="0" w:line="240" w:lineRule="auto"/>
      </w:pPr>
      <w:r>
        <w:br w:type="page"/>
      </w:r>
    </w:p>
    <w:p w:rsidR="00B74C9E" w:rsidRPr="00B50B35" w:rsidRDefault="007B6C7C" w:rsidP="00B74C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24"/>
        </w:rPr>
      </w:pPr>
      <w:r>
        <w:lastRenderedPageBreak/>
        <w:t xml:space="preserve">Los datos sobre la </w:t>
      </w:r>
      <w:r w:rsidRPr="00B74C9E">
        <w:rPr>
          <w:i/>
          <w:color w:val="000099"/>
        </w:rPr>
        <w:t>nacionalidad, profesión u oficio</w:t>
      </w:r>
      <w:r w:rsidRPr="00DA3136">
        <w:t>, no se registran en el sistema</w:t>
      </w:r>
      <w:r>
        <w:t xml:space="preserve"> de regantes</w:t>
      </w:r>
      <w:r w:rsidRPr="00DA3136">
        <w:t>, se encuentran en cada expediente, específic</w:t>
      </w:r>
      <w:r>
        <w:t>amente en las copias de los DUI, sin embargo e</w:t>
      </w:r>
      <w:r w:rsidR="006430BD">
        <w:t xml:space="preserve">l dato sobre NACIONALIDAD </w:t>
      </w:r>
      <w:r w:rsidR="00B74C9E" w:rsidRPr="00B50B35">
        <w:rPr>
          <w:rFonts w:asciiTheme="minorHAnsi" w:eastAsia="Arial Unicode MS" w:hAnsiTheme="minorHAnsi" w:cs="Arial Unicode MS"/>
          <w:sz w:val="24"/>
        </w:rPr>
        <w:t xml:space="preserve">es información que está contemplada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</w:t>
      </w:r>
      <w:r w:rsidR="00B74C9E" w:rsidRPr="00B50B35">
        <w:rPr>
          <w:rFonts w:asciiTheme="minorHAnsi" w:eastAsia="Arial Unicode MS" w:hAnsiTheme="minorHAnsi" w:cs="Arial Unicode MS"/>
          <w:b/>
          <w:color w:val="000099"/>
          <w:sz w:val="24"/>
        </w:rPr>
        <w:t>confidencial</w:t>
      </w:r>
      <w:r w:rsidR="00B74C9E" w:rsidRPr="00B50B35">
        <w:rPr>
          <w:rFonts w:asciiTheme="minorHAnsi" w:eastAsia="Arial Unicode MS" w:hAnsiTheme="minorHAnsi" w:cs="Arial Unicode MS"/>
          <w:sz w:val="24"/>
        </w:rPr>
        <w:t xml:space="preserve"> y estar restringida su difusión por mandato Constitucional o legal, en razón de un interés personal jurídicamente protegido. </w:t>
      </w:r>
    </w:p>
    <w:p w:rsidR="00B74C9E" w:rsidRPr="00DE72FA" w:rsidRDefault="00B74C9E" w:rsidP="00B74C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  <w:szCs w:val="24"/>
        </w:rPr>
      </w:pPr>
    </w:p>
    <w:p w:rsidR="00B74C9E" w:rsidRDefault="00B74C9E" w:rsidP="00B74C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B50B35">
        <w:rPr>
          <w:rFonts w:asciiTheme="minorHAnsi" w:eastAsia="Arial Unicode MS" w:hAnsiTheme="minorHAnsi" w:cs="Arial Unicode MS"/>
          <w:sz w:val="24"/>
        </w:rPr>
        <w:t xml:space="preserve">En consecuencia resuelve no entregar la información por ser </w:t>
      </w:r>
      <w:r w:rsidRPr="00B50B35">
        <w:rPr>
          <w:rFonts w:asciiTheme="minorHAnsi" w:eastAsia="Arial Unicode MS" w:hAnsiTheme="minorHAnsi" w:cs="Arial Unicode MS"/>
          <w:b/>
          <w:color w:val="000099"/>
          <w:sz w:val="24"/>
        </w:rPr>
        <w:t>CONFIDENCIAL.</w:t>
      </w:r>
    </w:p>
    <w:p w:rsidR="00F35BB8" w:rsidRPr="00B50B35" w:rsidRDefault="00F35BB8" w:rsidP="00B74C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B6C7C" w:rsidRDefault="00B74C9E" w:rsidP="007B6C7C">
      <w:pPr>
        <w:jc w:val="both"/>
        <w:rPr>
          <w:rFonts w:asciiTheme="minorHAnsi" w:eastAsia="Arial Unicode MS" w:hAnsiTheme="minorHAnsi" w:cs="Arial Unicode MS"/>
          <w:sz w:val="24"/>
        </w:rPr>
      </w:pPr>
      <w:r w:rsidRPr="00F35BB8">
        <w:rPr>
          <w:rFonts w:asciiTheme="minorHAnsi" w:eastAsia="Arial Unicode MS" w:hAnsiTheme="minorHAnsi" w:cs="Arial Unicode MS"/>
          <w:sz w:val="24"/>
        </w:rPr>
        <w:t>Sin embargo e</w:t>
      </w:r>
      <w:r w:rsidR="007B6C7C" w:rsidRPr="00F35BB8">
        <w:rPr>
          <w:rFonts w:asciiTheme="minorHAnsi" w:eastAsia="Arial Unicode MS" w:hAnsiTheme="minorHAnsi" w:cs="Arial Unicode MS"/>
          <w:sz w:val="24"/>
        </w:rPr>
        <w:t xml:space="preserve">s importante mencionar que se lleva un expediente por propiedad y/o escritura, no por usuario. La consulta de los datos públicos que no registra el SINGAR puede hacerse en la Dirección General de Ordenamiento Forestal Cuencas y Riego DGFCR ubicadas </w:t>
      </w:r>
      <w:r w:rsidRPr="00F35BB8">
        <w:rPr>
          <w:rFonts w:asciiTheme="minorHAnsi" w:eastAsia="Arial Unicode MS" w:hAnsiTheme="minorHAnsi" w:cs="Arial Unicode MS"/>
          <w:sz w:val="24"/>
        </w:rPr>
        <w:t>en cantón El Matazano Soyapango en días y horas hábiles.</w:t>
      </w:r>
    </w:p>
    <w:p w:rsidR="00F35BB8" w:rsidRPr="00B50B35" w:rsidRDefault="00F35BB8" w:rsidP="00F35BB8">
      <w:pPr>
        <w:pStyle w:val="Default"/>
        <w:spacing w:line="276" w:lineRule="auto"/>
        <w:jc w:val="both"/>
        <w:rPr>
          <w:rFonts w:asciiTheme="minorHAnsi" w:eastAsia="Arial Unicode MS" w:hAnsiTheme="minorHAnsi" w:cs="Arial Unicode MS"/>
          <w:color w:val="auto"/>
          <w:szCs w:val="22"/>
        </w:rPr>
      </w:pPr>
      <w:r w:rsidRPr="00B50B35">
        <w:rPr>
          <w:rFonts w:asciiTheme="minorHAnsi" w:eastAsia="Arial Unicode MS" w:hAnsiTheme="minorHAnsi" w:cs="Arial Unicode MS"/>
          <w:color w:val="auto"/>
          <w:szCs w:val="22"/>
        </w:rPr>
        <w:t xml:space="preserve">Sobre </w:t>
      </w:r>
      <w:r w:rsidRPr="00B50B35">
        <w:rPr>
          <w:rFonts w:asciiTheme="minorHAnsi" w:eastAsia="Arial Unicode MS" w:hAnsiTheme="minorHAnsi" w:cs="Arial Unicode MS"/>
          <w:i/>
          <w:color w:val="000099"/>
          <w:szCs w:val="22"/>
        </w:rPr>
        <w:t>la</w:t>
      </w:r>
      <w:r>
        <w:rPr>
          <w:rFonts w:asciiTheme="minorHAnsi" w:eastAsia="Arial Unicode MS" w:hAnsiTheme="minorHAnsi" w:cs="Arial Unicode MS"/>
          <w:i/>
          <w:color w:val="000099"/>
          <w:szCs w:val="22"/>
        </w:rPr>
        <w:t xml:space="preserve"> información del caserío sobre el permiso de riego</w:t>
      </w:r>
      <w:r w:rsidR="005C075A">
        <w:rPr>
          <w:rFonts w:asciiTheme="minorHAnsi" w:eastAsia="Arial Unicode MS" w:hAnsiTheme="minorHAnsi" w:cs="Arial Unicode MS"/>
          <w:i/>
          <w:color w:val="000099"/>
          <w:szCs w:val="22"/>
        </w:rPr>
        <w:t xml:space="preserve"> y el recurso del cual se derivará el agua</w:t>
      </w:r>
      <w:r>
        <w:rPr>
          <w:rFonts w:asciiTheme="minorHAnsi" w:eastAsia="Arial Unicode MS" w:hAnsiTheme="minorHAnsi" w:cs="Arial Unicode MS"/>
          <w:i/>
          <w:color w:val="000099"/>
          <w:szCs w:val="22"/>
        </w:rPr>
        <w:t xml:space="preserve">, </w:t>
      </w:r>
      <w:r w:rsidRPr="00B50B35">
        <w:rPr>
          <w:rFonts w:asciiTheme="minorHAnsi" w:eastAsia="Arial Unicode MS" w:hAnsiTheme="minorHAnsi" w:cs="Arial Unicode MS"/>
          <w:color w:val="auto"/>
          <w:szCs w:val="22"/>
        </w:rPr>
        <w:t xml:space="preserve">al respecto se informa que este Ministerio no </w:t>
      </w:r>
      <w:r>
        <w:rPr>
          <w:rFonts w:asciiTheme="minorHAnsi" w:eastAsia="Arial Unicode MS" w:hAnsiTheme="minorHAnsi" w:cs="Arial Unicode MS"/>
          <w:color w:val="auto"/>
          <w:szCs w:val="22"/>
        </w:rPr>
        <w:t>levanta esa información en el campo</w:t>
      </w:r>
      <w:r w:rsidRPr="00B50B35">
        <w:rPr>
          <w:rFonts w:asciiTheme="minorHAnsi" w:eastAsia="Arial Unicode MS" w:hAnsiTheme="minorHAnsi" w:cs="Arial Unicode MS"/>
          <w:color w:val="auto"/>
          <w:szCs w:val="22"/>
        </w:rPr>
        <w:t xml:space="preserve">; por lo anteriormente explicado, no se cuenta con dicha información, y considerando que la Ley de Acceso a la Información Pública dispone en el art. 73 que nos encontramos ante un caso de información </w:t>
      </w:r>
      <w:r w:rsidRPr="00F35BB8">
        <w:rPr>
          <w:rFonts w:asciiTheme="minorHAnsi" w:eastAsia="Arial Unicode MS" w:hAnsiTheme="minorHAnsi" w:cs="Arial Unicode MS"/>
          <w:b/>
          <w:color w:val="000099"/>
          <w:szCs w:val="22"/>
        </w:rPr>
        <w:t>INEXISTENTE</w:t>
      </w:r>
      <w:r w:rsidRPr="00B50B35">
        <w:rPr>
          <w:rFonts w:asciiTheme="minorHAnsi" w:eastAsia="Arial Unicode MS" w:hAnsiTheme="minorHAnsi" w:cs="Arial Unicode MS"/>
          <w:color w:val="auto"/>
          <w:szCs w:val="22"/>
        </w:rPr>
        <w:t>, lo que  impide  brindar lo  requerido  por  el  peticionario, esta dependencia resuelve:</w:t>
      </w:r>
    </w:p>
    <w:p w:rsidR="00F35BB8" w:rsidRPr="00A8066D" w:rsidRDefault="00F35BB8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  <w:sz w:val="12"/>
        </w:rPr>
      </w:pPr>
    </w:p>
    <w:p w:rsidR="00F35BB8" w:rsidRPr="000E4DC4" w:rsidRDefault="00F35BB8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  <w:sz w:val="24"/>
        </w:rPr>
      </w:pPr>
      <w:r w:rsidRPr="000E4DC4">
        <w:rPr>
          <w:rFonts w:asciiTheme="minorHAnsi" w:hAnsiTheme="minorHAnsi"/>
          <w:b/>
          <w:color w:val="000099"/>
          <w:sz w:val="24"/>
        </w:rPr>
        <w:t>NO ENTREGAR LA INFORMACIÓN SOLICITADA POR INEXISTENCIA</w:t>
      </w:r>
    </w:p>
    <w:p w:rsidR="00BB33BB" w:rsidRDefault="00BB33BB" w:rsidP="00BB33B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B33BB" w:rsidRPr="00931693" w:rsidRDefault="00BB33BB" w:rsidP="00BB33B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Los datos </w:t>
      </w:r>
      <w:r w:rsidRPr="003216A3">
        <w:rPr>
          <w:rFonts w:asciiTheme="minorHAnsi" w:eastAsia="Arial Unicode MS" w:hAnsiTheme="minorHAnsi" w:cs="Arial Unicode MS"/>
          <w:i/>
          <w:color w:val="000099"/>
        </w:rPr>
        <w:t>acerca de l</w:t>
      </w:r>
      <w:r>
        <w:rPr>
          <w:rFonts w:asciiTheme="minorHAnsi" w:eastAsia="Arial Unicode MS" w:hAnsiTheme="minorHAnsi" w:cs="Arial Unicode MS"/>
          <w:i/>
          <w:color w:val="000099"/>
        </w:rPr>
        <w:t>as obras aprobadas de riego</w:t>
      </w:r>
      <w:r w:rsidR="00970B3A">
        <w:rPr>
          <w:rFonts w:asciiTheme="minorHAnsi" w:eastAsia="Arial Unicode MS" w:hAnsiTheme="minorHAnsi" w:cs="Arial Unicode MS"/>
          <w:i/>
          <w:color w:val="000099"/>
        </w:rPr>
        <w:t xml:space="preserve"> (requerimiento N° 11)</w:t>
      </w:r>
      <w:r>
        <w:rPr>
          <w:rFonts w:asciiTheme="minorHAnsi" w:eastAsia="Arial Unicode MS" w:hAnsiTheme="minorHAnsi" w:cs="Arial Unicode MS"/>
        </w:rPr>
        <w:t>, se estudió lo requerido</w:t>
      </w:r>
      <w:r w:rsidRPr="00931693">
        <w:rPr>
          <w:rFonts w:asciiTheme="minorHAnsi" w:eastAsia="Arial Unicode MS" w:hAnsiTheme="minorHAnsi" w:cs="Arial Unicode MS"/>
        </w:rPr>
        <w:t xml:space="preserve"> determinándose con base al art. 62 inciso 2º que la misma ya está disponible al público. Por lo tanto resuelve:</w:t>
      </w:r>
    </w:p>
    <w:p w:rsidR="00BB33BB" w:rsidRPr="000E2EF1" w:rsidRDefault="00BB33BB" w:rsidP="00BB33BB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BB33BB" w:rsidRDefault="00BB33BB">
      <w:pPr>
        <w:spacing w:after="0" w:line="240" w:lineRule="auto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  <w:b/>
          <w:color w:val="000099"/>
        </w:rPr>
        <w:br w:type="page"/>
      </w:r>
    </w:p>
    <w:p w:rsidR="00BB33BB" w:rsidRDefault="00BB33BB" w:rsidP="00BB33B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BB33BB" w:rsidRPr="00BB33BB" w:rsidRDefault="00BB33BB" w:rsidP="00BB33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  <w:sz w:val="24"/>
        </w:rPr>
      </w:pPr>
      <w:r w:rsidRPr="00BB33BB">
        <w:rPr>
          <w:rFonts w:asciiTheme="minorHAnsi" w:hAnsiTheme="minorHAnsi"/>
          <w:b/>
          <w:color w:val="000099"/>
          <w:sz w:val="24"/>
        </w:rPr>
        <w:t>ORIENTAR LA UBICACIÓN DE LA INFORMACIÓN SOLICITADA</w:t>
      </w:r>
    </w:p>
    <w:p w:rsidR="00BB33BB" w:rsidRPr="000E2EF1" w:rsidRDefault="00BB33BB" w:rsidP="00BB33BB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BB33BB" w:rsidRDefault="00BB33BB" w:rsidP="00BB33B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B33BB" w:rsidRDefault="00BB33BB" w:rsidP="00BB33B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La información se encuentra en la </w:t>
      </w:r>
      <w:r w:rsidRPr="00931693">
        <w:rPr>
          <w:rFonts w:asciiTheme="minorHAnsi" w:eastAsia="Arial Unicode MS" w:hAnsiTheme="minorHAnsi" w:cs="Arial Unicode MS"/>
        </w:rPr>
        <w:t>página web del MAG</w:t>
      </w:r>
      <w:r>
        <w:rPr>
          <w:rFonts w:asciiTheme="minorHAnsi" w:eastAsia="Arial Unicode MS" w:hAnsiTheme="minorHAnsi" w:cs="Arial Unicode MS"/>
        </w:rPr>
        <w:t xml:space="preserve"> </w:t>
      </w:r>
      <w:r w:rsidRPr="00944B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Pr="00931693">
        <w:rPr>
          <w:rFonts w:asciiTheme="minorHAnsi" w:eastAsia="Arial Unicode MS" w:hAnsiTheme="minorHAnsi" w:cs="Arial Unicode MS"/>
        </w:rPr>
        <w:t xml:space="preserve">, en la </w:t>
      </w:r>
      <w:r>
        <w:rPr>
          <w:rFonts w:asciiTheme="minorHAnsi" w:eastAsia="Arial Unicode MS" w:hAnsiTheme="minorHAnsi" w:cs="Arial Unicode MS"/>
        </w:rPr>
        <w:t>s</w:t>
      </w:r>
      <w:r w:rsidRPr="00931693">
        <w:rPr>
          <w:rFonts w:asciiTheme="minorHAnsi" w:eastAsia="Arial Unicode MS" w:hAnsiTheme="minorHAnsi" w:cs="Arial Unicode MS"/>
        </w:rPr>
        <w:t>ecci</w:t>
      </w:r>
      <w:r>
        <w:rPr>
          <w:rFonts w:asciiTheme="minorHAnsi" w:eastAsia="Arial Unicode MS" w:hAnsiTheme="minorHAnsi" w:cs="Arial Unicode MS"/>
        </w:rPr>
        <w:t xml:space="preserve">ón </w:t>
      </w:r>
      <w:r w:rsidRPr="00970B3A">
        <w:rPr>
          <w:rFonts w:asciiTheme="minorHAnsi" w:eastAsia="Arial Unicode MS" w:hAnsiTheme="minorHAnsi" w:cs="Arial Unicode MS"/>
          <w:color w:val="000099"/>
        </w:rPr>
        <w:t>PORTAL DE TRANSPARENCIA</w:t>
      </w:r>
      <w:r>
        <w:rPr>
          <w:rFonts w:asciiTheme="minorHAnsi" w:eastAsia="Arial Unicode MS" w:hAnsiTheme="minorHAnsi" w:cs="Arial Unicode MS"/>
        </w:rPr>
        <w:t xml:space="preserve"> en las siguientes secciones:</w:t>
      </w:r>
    </w:p>
    <w:p w:rsidR="00BB33BB" w:rsidRDefault="00BB33BB" w:rsidP="00BB33B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70B3A" w:rsidRPr="00970B3A" w:rsidRDefault="00970B3A" w:rsidP="00970B3A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70B3A">
        <w:rPr>
          <w:rFonts w:asciiTheme="minorHAnsi" w:eastAsia="Arial Unicode MS" w:hAnsiTheme="minorHAnsi" w:cs="Arial Unicode MS"/>
          <w:color w:val="000099"/>
        </w:rPr>
        <w:t>MARCO DE GESTIÓN ESTRATÉGICA:</w:t>
      </w:r>
    </w:p>
    <w:p w:rsidR="00970B3A" w:rsidRDefault="00970B3A" w:rsidP="00BB33B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Memoria de Labores</w:t>
      </w:r>
    </w:p>
    <w:p w:rsidR="00970B3A" w:rsidRDefault="00970B3A" w:rsidP="00BB33B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Obras en ejecución</w:t>
      </w:r>
    </w:p>
    <w:p w:rsidR="00970B3A" w:rsidRDefault="00970B3A" w:rsidP="00BB33B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B33BB" w:rsidRPr="00970B3A" w:rsidRDefault="00970B3A" w:rsidP="00970B3A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70B3A">
        <w:rPr>
          <w:rFonts w:asciiTheme="minorHAnsi" w:eastAsia="Arial Unicode MS" w:hAnsiTheme="minorHAnsi" w:cs="Arial Unicode MS"/>
          <w:color w:val="000099"/>
        </w:rPr>
        <w:t>MARCO PRESUPUESTARIO:</w:t>
      </w:r>
    </w:p>
    <w:p w:rsidR="00970B3A" w:rsidRDefault="00970B3A" w:rsidP="00BB33B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Contrataciones y Adquisiciones</w:t>
      </w:r>
    </w:p>
    <w:p w:rsidR="00F35BB8" w:rsidRDefault="00F35BB8" w:rsidP="007B6C7C">
      <w:pPr>
        <w:jc w:val="both"/>
        <w:rPr>
          <w:rFonts w:asciiTheme="minorHAnsi" w:eastAsia="Arial Unicode MS" w:hAnsiTheme="minorHAnsi" w:cs="Arial Unicode MS"/>
          <w:sz w:val="24"/>
        </w:rPr>
      </w:pPr>
    </w:p>
    <w:p w:rsidR="00F35BB8" w:rsidRDefault="00F35BB8" w:rsidP="007B6C7C">
      <w:pPr>
        <w:jc w:val="both"/>
        <w:rPr>
          <w:rFonts w:asciiTheme="minorHAnsi" w:eastAsia="Arial Unicode MS" w:hAnsiTheme="minorHAnsi" w:cs="Arial Unicode MS"/>
          <w:sz w:val="24"/>
        </w:rPr>
      </w:pPr>
    </w:p>
    <w:p w:rsidR="00F35BB8" w:rsidRPr="00F35BB8" w:rsidRDefault="00F35BB8" w:rsidP="007B6C7C">
      <w:pPr>
        <w:jc w:val="both"/>
        <w:rPr>
          <w:rFonts w:asciiTheme="minorHAnsi" w:eastAsia="Arial Unicode MS" w:hAnsiTheme="minorHAnsi" w:cs="Arial Unicode MS"/>
          <w:sz w:val="24"/>
        </w:rPr>
      </w:pPr>
    </w:p>
    <w:p w:rsidR="00126A4D" w:rsidRDefault="00126A4D" w:rsidP="00126A4D">
      <w:pPr>
        <w:spacing w:after="0" w:line="240" w:lineRule="auto"/>
        <w:rPr>
          <w:sz w:val="24"/>
          <w:szCs w:val="24"/>
        </w:rPr>
      </w:pPr>
    </w:p>
    <w:p w:rsidR="00B74C9E" w:rsidRDefault="00B74C9E" w:rsidP="00126A4D">
      <w:pPr>
        <w:spacing w:after="0" w:line="240" w:lineRule="auto"/>
        <w:rPr>
          <w:sz w:val="24"/>
          <w:szCs w:val="24"/>
        </w:rPr>
      </w:pPr>
    </w:p>
    <w:p w:rsidR="00B74C9E" w:rsidRDefault="00B74C9E" w:rsidP="00126A4D">
      <w:pPr>
        <w:spacing w:after="0" w:line="240" w:lineRule="auto"/>
        <w:rPr>
          <w:sz w:val="24"/>
          <w:szCs w:val="24"/>
        </w:rPr>
      </w:pPr>
    </w:p>
    <w:p w:rsidR="00B74C9E" w:rsidRDefault="00B74C9E" w:rsidP="00126A4D">
      <w:pPr>
        <w:spacing w:after="0" w:line="240" w:lineRule="auto"/>
        <w:rPr>
          <w:sz w:val="24"/>
          <w:szCs w:val="24"/>
        </w:rPr>
      </w:pPr>
    </w:p>
    <w:p w:rsidR="00B74C9E" w:rsidRDefault="00B74C9E" w:rsidP="00126A4D">
      <w:pPr>
        <w:spacing w:after="0" w:line="240" w:lineRule="auto"/>
        <w:rPr>
          <w:sz w:val="24"/>
          <w:szCs w:val="24"/>
        </w:rPr>
      </w:pPr>
    </w:p>
    <w:p w:rsidR="00B74C9E" w:rsidRDefault="00B74C9E" w:rsidP="00126A4D">
      <w:pPr>
        <w:spacing w:after="0" w:line="240" w:lineRule="auto"/>
        <w:rPr>
          <w:sz w:val="24"/>
          <w:szCs w:val="24"/>
        </w:rPr>
      </w:pPr>
    </w:p>
    <w:p w:rsidR="00126A4D" w:rsidRDefault="00126A4D" w:rsidP="00126A4D">
      <w:pPr>
        <w:spacing w:after="0" w:line="240" w:lineRule="auto"/>
        <w:rPr>
          <w:sz w:val="24"/>
          <w:szCs w:val="24"/>
        </w:rPr>
      </w:pPr>
    </w:p>
    <w:sectPr w:rsidR="00126A4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D8F" w:rsidRDefault="008C7D8F" w:rsidP="00F425A5">
      <w:pPr>
        <w:spacing w:after="0" w:line="240" w:lineRule="auto"/>
      </w:pPr>
      <w:r>
        <w:separator/>
      </w:r>
    </w:p>
  </w:endnote>
  <w:endnote w:type="continuationSeparator" w:id="0">
    <w:p w:rsidR="008C7D8F" w:rsidRDefault="008C7D8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Default="00DB7A91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EF9979" wp14:editId="23DF75F9">
              <wp:simplePos x="0" y="0"/>
              <wp:positionH relativeFrom="column">
                <wp:posOffset>-137160</wp:posOffset>
              </wp:positionH>
              <wp:positionV relativeFrom="paragraph">
                <wp:posOffset>642619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D006C" w:rsidRPr="009D006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D006C" w:rsidRPr="009D006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4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50.6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Hw3YT4AAAAAsBAAAPAAAAZHJzL2Rvd25yZXYu&#10;eG1sTI/BTsMwEETvSPyDtUhcUGsnRWkT4lQICQQ3KAiubrxNIux1sN00/D3mBMfVPM28rbezNWxC&#10;HwZHErKlAIbUOj1QJ+Ht9X6xARaiIq2MI5TwjQG2zflZrSrtTvSC0y52LJVQqJSEPsax4jy0PVoV&#10;lm5EStnBeatiOn3HtVenVG4Nz4UouFUDpYVejXjXY/u5O1oJm+vH6SM8rZ7f2+Jgyni1nh6+vJSX&#10;F/PtDbCIc/yD4Vc/qUOTnPbuSDowI2GRZ0VCUyCyHFgiSiFKYHsJ+SpbA29q/v+H5gc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CHw3YT4AAAAAs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D006C" w:rsidRPr="009D006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D006C" w:rsidRPr="009D006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4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B7A91">
      <w:rPr>
        <w:sz w:val="18"/>
        <w:szCs w:val="16"/>
      </w:rPr>
      <w:t>El Art. 31 de la Ley de Acceso a la Información Pública determina que el acceso a los datos personales es exclusivo de su titular o su representante, exceptuando lo dispuesto en los Art. 26 y 34 de la referida Ley; Si después de analizar lo anteriormente expuesto decide interponer un recurso de apelación puede hacerlo según lo dispuesto en el Art 82 y 83 de la LAIP.</w:t>
    </w:r>
  </w:p>
  <w:p w:rsidR="00395CC4" w:rsidRPr="00DB7A91" w:rsidRDefault="00395CC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4EBDA214" wp14:editId="5BFFC430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D8F" w:rsidRDefault="008C7D8F" w:rsidP="00F425A5">
      <w:pPr>
        <w:spacing w:after="0" w:line="240" w:lineRule="auto"/>
      </w:pPr>
      <w:r>
        <w:separator/>
      </w:r>
    </w:p>
  </w:footnote>
  <w:footnote w:type="continuationSeparator" w:id="0">
    <w:p w:rsidR="008C7D8F" w:rsidRDefault="008C7D8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5BD54F" wp14:editId="3A12F058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39B461A" wp14:editId="76DCF6A9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4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9"/>
  </w:num>
  <w:num w:numId="3">
    <w:abstractNumId w:val="17"/>
  </w:num>
  <w:num w:numId="4">
    <w:abstractNumId w:val="19"/>
  </w:num>
  <w:num w:numId="5">
    <w:abstractNumId w:val="6"/>
  </w:num>
  <w:num w:numId="6">
    <w:abstractNumId w:val="20"/>
  </w:num>
  <w:num w:numId="7">
    <w:abstractNumId w:val="42"/>
  </w:num>
  <w:num w:numId="8">
    <w:abstractNumId w:val="8"/>
  </w:num>
  <w:num w:numId="9">
    <w:abstractNumId w:val="12"/>
  </w:num>
  <w:num w:numId="10">
    <w:abstractNumId w:val="9"/>
  </w:num>
  <w:num w:numId="11">
    <w:abstractNumId w:val="16"/>
  </w:num>
  <w:num w:numId="12">
    <w:abstractNumId w:val="40"/>
  </w:num>
  <w:num w:numId="13">
    <w:abstractNumId w:val="41"/>
  </w:num>
  <w:num w:numId="14">
    <w:abstractNumId w:val="32"/>
  </w:num>
  <w:num w:numId="15">
    <w:abstractNumId w:val="0"/>
  </w:num>
  <w:num w:numId="16">
    <w:abstractNumId w:val="4"/>
  </w:num>
  <w:num w:numId="17">
    <w:abstractNumId w:val="37"/>
  </w:num>
  <w:num w:numId="18">
    <w:abstractNumId w:val="26"/>
  </w:num>
  <w:num w:numId="19">
    <w:abstractNumId w:val="21"/>
  </w:num>
  <w:num w:numId="20">
    <w:abstractNumId w:val="14"/>
  </w:num>
  <w:num w:numId="21">
    <w:abstractNumId w:val="2"/>
  </w:num>
  <w:num w:numId="22">
    <w:abstractNumId w:val="43"/>
  </w:num>
  <w:num w:numId="23">
    <w:abstractNumId w:val="15"/>
  </w:num>
  <w:num w:numId="24">
    <w:abstractNumId w:val="33"/>
  </w:num>
  <w:num w:numId="25">
    <w:abstractNumId w:val="23"/>
  </w:num>
  <w:num w:numId="26">
    <w:abstractNumId w:val="7"/>
  </w:num>
  <w:num w:numId="27">
    <w:abstractNumId w:val="11"/>
  </w:num>
  <w:num w:numId="28">
    <w:abstractNumId w:val="25"/>
  </w:num>
  <w:num w:numId="29">
    <w:abstractNumId w:val="34"/>
  </w:num>
  <w:num w:numId="30">
    <w:abstractNumId w:val="30"/>
  </w:num>
  <w:num w:numId="31">
    <w:abstractNumId w:val="28"/>
  </w:num>
  <w:num w:numId="32">
    <w:abstractNumId w:val="24"/>
  </w:num>
  <w:num w:numId="33">
    <w:abstractNumId w:val="13"/>
  </w:num>
  <w:num w:numId="34">
    <w:abstractNumId w:val="1"/>
  </w:num>
  <w:num w:numId="35">
    <w:abstractNumId w:val="44"/>
  </w:num>
  <w:num w:numId="36">
    <w:abstractNumId w:val="27"/>
  </w:num>
  <w:num w:numId="37">
    <w:abstractNumId w:val="3"/>
  </w:num>
  <w:num w:numId="38">
    <w:abstractNumId w:val="35"/>
  </w:num>
  <w:num w:numId="39">
    <w:abstractNumId w:val="5"/>
  </w:num>
  <w:num w:numId="40">
    <w:abstractNumId w:val="22"/>
  </w:num>
  <w:num w:numId="41">
    <w:abstractNumId w:val="36"/>
  </w:num>
  <w:num w:numId="42">
    <w:abstractNumId w:val="10"/>
  </w:num>
  <w:num w:numId="43">
    <w:abstractNumId w:val="31"/>
  </w:num>
  <w:num w:numId="44">
    <w:abstractNumId w:val="38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C7D8F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D006C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8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2B200-05D7-4E89-A72B-32FFABA1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14</cp:revision>
  <cp:lastPrinted>2016-07-07T22:12:00Z</cp:lastPrinted>
  <dcterms:created xsi:type="dcterms:W3CDTF">2016-07-07T21:42:00Z</dcterms:created>
  <dcterms:modified xsi:type="dcterms:W3CDTF">2016-07-07T22:39:00Z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