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5D7BDB" w:rsidRDefault="005D7BDB" w:rsidP="005D7BD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3726D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F34727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7628F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55</w:t>
      </w:r>
      <w:r w:rsidR="002C71C9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DE3698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7415A4" w:rsidRPr="007415A4">
        <w:rPr>
          <w:rFonts w:asciiTheme="minorHAnsi" w:eastAsia="Arial Unicode MS" w:hAnsiTheme="minorHAnsi" w:cs="Arial Unicode MS"/>
          <w:color w:val="000099"/>
        </w:rPr>
        <w:t>dieciséis</w:t>
      </w:r>
      <w:r w:rsidR="007415A4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7415A4">
        <w:rPr>
          <w:rFonts w:asciiTheme="minorHAnsi" w:eastAsia="Arial Unicode MS" w:hAnsiTheme="minorHAnsi" w:cs="Arial Unicode MS"/>
          <w:color w:val="000099"/>
        </w:rPr>
        <w:t xml:space="preserve">once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de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ju</w:t>
      </w:r>
      <w:r w:rsidR="007415A4">
        <w:rPr>
          <w:rFonts w:asciiTheme="minorHAnsi" w:eastAsia="Arial Unicode MS" w:hAnsiTheme="minorHAnsi" w:cs="Arial Unicode MS"/>
          <w:color w:val="000099"/>
        </w:rPr>
        <w:t>lio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</w:t>
      </w:r>
      <w:r w:rsidR="007415A4">
        <w:rPr>
          <w:rFonts w:asciiTheme="minorHAnsi" w:eastAsia="Arial Unicode MS" w:hAnsiTheme="minorHAnsi" w:cs="Arial Unicode MS"/>
          <w:b/>
          <w:color w:val="000099"/>
        </w:rPr>
        <w:t>55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751F7" w:rsidRPr="00A669A5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lang w:eastAsia="en-US"/>
        </w:rPr>
      </w:pPr>
    </w:p>
    <w:p w:rsidR="007415A4" w:rsidRPr="007415A4" w:rsidRDefault="007415A4" w:rsidP="007415A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7415A4">
        <w:rPr>
          <w:rFonts w:asciiTheme="minorHAnsi" w:eastAsia="Arial Unicode MS" w:hAnsiTheme="minorHAnsi" w:cs="Arial Unicode MS"/>
          <w:color w:val="000099"/>
          <w:sz w:val="20"/>
        </w:rPr>
        <w:t xml:space="preserve">Información de los productores de frijol y de los que recibieron paquete agrícola durante el año 2015, ubicados en los Cantones: Cantón El Coco, </w:t>
      </w:r>
      <w:proofErr w:type="spellStart"/>
      <w:r w:rsidRPr="007415A4">
        <w:rPr>
          <w:rFonts w:asciiTheme="minorHAnsi" w:eastAsia="Arial Unicode MS" w:hAnsiTheme="minorHAnsi" w:cs="Arial Unicode MS"/>
          <w:color w:val="000099"/>
          <w:sz w:val="20"/>
        </w:rPr>
        <w:t>Chalchuapa</w:t>
      </w:r>
      <w:proofErr w:type="spellEnd"/>
      <w:r w:rsidRPr="007415A4">
        <w:rPr>
          <w:rFonts w:asciiTheme="minorHAnsi" w:eastAsia="Arial Unicode MS" w:hAnsiTheme="minorHAnsi" w:cs="Arial Unicode MS"/>
          <w:color w:val="000099"/>
          <w:sz w:val="20"/>
        </w:rPr>
        <w:t>, Ahuachapán; Cantón Lomas de Santiago, Ciudad Arce, La Libertad; Cantón Tehuacán, Tecoluca, San Vicente y Cantón Las Lomitas, San Miguel.</w:t>
      </w:r>
      <w:r w:rsidR="003726DB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7415A4">
        <w:rPr>
          <w:rFonts w:asciiTheme="minorHAnsi" w:eastAsia="Arial Unicode MS" w:hAnsiTheme="minorHAnsi" w:cs="Arial Unicode MS"/>
          <w:color w:val="000099"/>
          <w:sz w:val="20"/>
        </w:rPr>
        <w:t xml:space="preserve">Específicamente: </w:t>
      </w:r>
    </w:p>
    <w:p w:rsidR="007415A4" w:rsidRPr="007415A4" w:rsidRDefault="007415A4" w:rsidP="007415A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</w:p>
    <w:p w:rsidR="007415A4" w:rsidRPr="007415A4" w:rsidRDefault="007415A4" w:rsidP="007415A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7415A4">
        <w:rPr>
          <w:rFonts w:asciiTheme="minorHAnsi" w:eastAsia="Arial Unicode MS" w:hAnsiTheme="minorHAnsi" w:cs="Arial Unicode MS"/>
          <w:color w:val="000099"/>
          <w:sz w:val="20"/>
        </w:rPr>
        <w:t>A. Listado de productores comerciales y de subsistencia, registrado en el MAG, que producen frijol de los cantones arriba mencionados.</w:t>
      </w:r>
    </w:p>
    <w:p w:rsidR="007415A4" w:rsidRPr="007415A4" w:rsidRDefault="007415A4" w:rsidP="007415A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</w:p>
    <w:p w:rsidR="00D8267D" w:rsidRPr="007415A4" w:rsidRDefault="007415A4" w:rsidP="007415A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7415A4">
        <w:rPr>
          <w:rFonts w:asciiTheme="minorHAnsi" w:eastAsia="Arial Unicode MS" w:hAnsiTheme="minorHAnsi" w:cs="Arial Unicode MS"/>
          <w:color w:val="000099"/>
          <w:sz w:val="20"/>
        </w:rPr>
        <w:t>B. Listado de beneficiarios que recibieron el paquete de frijol durante el año 2015, de los cantones arriba mencionados.</w:t>
      </w:r>
    </w:p>
    <w:p w:rsidR="007415A4" w:rsidRDefault="007415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5D7BDB" w:rsidRPr="005D7BDB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xxxxxxxxxxxxxxxxxxxx</w:t>
      </w:r>
      <w:bookmarkStart w:id="0" w:name="_GoBack"/>
      <w:bookmarkEnd w:id="0"/>
      <w:proofErr w:type="spellEnd"/>
      <w:r w:rsidRPr="007415A4">
        <w:rPr>
          <w:rFonts w:asciiTheme="minorHAnsi" w:hAnsiTheme="minorHAnsi"/>
          <w:b/>
          <w:color w:val="000099"/>
          <w:sz w:val="32"/>
        </w:rPr>
        <w:t xml:space="preserve"> </w:t>
      </w:r>
      <w:r w:rsidR="0005694E" w:rsidRPr="00A669A5">
        <w:rPr>
          <w:rFonts w:asciiTheme="minorHAnsi" w:hAnsiTheme="minorHAnsi"/>
        </w:rPr>
        <w:t xml:space="preserve">al respecto después </w:t>
      </w:r>
      <w:r w:rsidRPr="00A669A5">
        <w:rPr>
          <w:rFonts w:asciiTheme="minorHAnsi" w:hAnsiTheme="minorHAnsi" w:cs="Calibri"/>
          <w:w w:val="102"/>
        </w:rPr>
        <w:t xml:space="preserve">de haber analizado el fondo de lo solicitado y considerando que la </w:t>
      </w:r>
      <w:r w:rsidRPr="007415A4">
        <w:rPr>
          <w:rFonts w:asciiTheme="minorHAnsi" w:hAnsiTheme="minorHAnsi" w:cs="Calibri"/>
          <w:color w:val="C00000"/>
          <w:w w:val="102"/>
        </w:rPr>
        <w:t xml:space="preserve">petición requerida </w:t>
      </w:r>
      <w:r w:rsidR="007415A4" w:rsidRPr="007415A4">
        <w:rPr>
          <w:rFonts w:asciiTheme="minorHAnsi" w:hAnsiTheme="minorHAnsi" w:cs="Calibri"/>
          <w:color w:val="C00000"/>
          <w:w w:val="102"/>
        </w:rPr>
        <w:t xml:space="preserve">en el </w:t>
      </w:r>
      <w:r w:rsidR="007415A4">
        <w:rPr>
          <w:rFonts w:asciiTheme="minorHAnsi" w:hAnsiTheme="minorHAnsi" w:cs="Calibri"/>
          <w:color w:val="C00000"/>
          <w:w w:val="102"/>
        </w:rPr>
        <w:t>literal “</w:t>
      </w:r>
      <w:r w:rsidR="007415A4" w:rsidRPr="007415A4">
        <w:rPr>
          <w:rFonts w:asciiTheme="minorHAnsi" w:hAnsiTheme="minorHAnsi" w:cs="Calibri"/>
          <w:color w:val="C00000"/>
          <w:w w:val="102"/>
        </w:rPr>
        <w:t>b</w:t>
      </w:r>
      <w:r w:rsidR="007415A4">
        <w:rPr>
          <w:rFonts w:asciiTheme="minorHAnsi" w:hAnsiTheme="minorHAnsi" w:cs="Calibri"/>
          <w:color w:val="C00000"/>
          <w:w w:val="102"/>
        </w:rPr>
        <w:t>”</w:t>
      </w:r>
      <w:r w:rsidR="007415A4">
        <w:rPr>
          <w:rFonts w:asciiTheme="minorHAnsi" w:hAnsiTheme="minorHAnsi" w:cs="Calibri"/>
          <w:w w:val="102"/>
        </w:rPr>
        <w:t xml:space="preserve">, </w:t>
      </w:r>
      <w:r w:rsidRPr="00A669A5">
        <w:rPr>
          <w:rFonts w:asciiTheme="minorHAnsi" w:hAnsiTheme="minorHAnsi" w:cs="Calibri"/>
          <w:w w:val="102"/>
        </w:rPr>
        <w:t>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7415A4">
        <w:rPr>
          <w:rFonts w:asciiTheme="minorHAnsi" w:eastAsia="Arial Unicode MS" w:hAnsiTheme="minorHAnsi" w:cs="Arial Unicode MS"/>
          <w:color w:val="000099"/>
        </w:rPr>
        <w:t>CONFIDENCIAL</w:t>
      </w:r>
      <w:r w:rsidRPr="007415A4">
        <w:rPr>
          <w:rFonts w:asciiTheme="minorHAnsi" w:hAnsiTheme="minorHAnsi" w:cs="Calibri"/>
          <w:color w:val="000099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A669A5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A669A5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A669A5">
        <w:rPr>
          <w:rFonts w:asciiTheme="minorHAnsi" w:hAnsiTheme="minorHAnsi" w:cs="Calibri"/>
          <w:b/>
          <w:color w:val="000099"/>
        </w:rPr>
        <w:t xml:space="preserve">CA DE LA </w:t>
      </w:r>
      <w:r w:rsidR="007415A4">
        <w:rPr>
          <w:rFonts w:asciiTheme="minorHAnsi" w:hAnsiTheme="minorHAnsi" w:cs="Calibri"/>
          <w:b/>
          <w:color w:val="000099"/>
        </w:rPr>
        <w:t xml:space="preserve">SIGUIENTE </w:t>
      </w:r>
      <w:r w:rsidR="0005694E" w:rsidRPr="00A669A5">
        <w:rPr>
          <w:rFonts w:asciiTheme="minorHAnsi" w:hAnsiTheme="minorHAnsi" w:cs="Calibri"/>
          <w:b/>
          <w:color w:val="000099"/>
        </w:rPr>
        <w:t xml:space="preserve">INFORMACIÓN 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en formato </w:t>
      </w:r>
      <w:r w:rsidR="007415A4">
        <w:rPr>
          <w:rFonts w:asciiTheme="minorHAnsi" w:eastAsia="Arial Unicode MS" w:hAnsiTheme="minorHAnsi" w:cs="Arial Unicode MS"/>
          <w:i/>
          <w:color w:val="000099"/>
        </w:rPr>
        <w:t xml:space="preserve">Excel de los beneficiarios del Paquete de Frijol durante el año 2015 de los municipios de </w:t>
      </w:r>
      <w:r w:rsidR="003726DB">
        <w:rPr>
          <w:rFonts w:asciiTheme="minorHAnsi" w:eastAsia="Arial Unicode MS" w:hAnsiTheme="minorHAnsi" w:cs="Arial Unicode MS"/>
          <w:i/>
          <w:color w:val="000099"/>
        </w:rPr>
        <w:t xml:space="preserve">Ahuachapán, </w:t>
      </w:r>
      <w:proofErr w:type="spellStart"/>
      <w:r w:rsidR="003726DB">
        <w:rPr>
          <w:rFonts w:asciiTheme="minorHAnsi" w:eastAsia="Arial Unicode MS" w:hAnsiTheme="minorHAnsi" w:cs="Arial Unicode MS"/>
          <w:i/>
          <w:color w:val="000099"/>
        </w:rPr>
        <w:t>Chalchuapa</w:t>
      </w:r>
      <w:proofErr w:type="spellEnd"/>
      <w:r w:rsidR="003726DB">
        <w:rPr>
          <w:rFonts w:asciiTheme="minorHAnsi" w:eastAsia="Arial Unicode MS" w:hAnsiTheme="minorHAnsi" w:cs="Arial Unicode MS"/>
          <w:i/>
          <w:color w:val="000099"/>
        </w:rPr>
        <w:t xml:space="preserve">, Ciudad Arce, La Libertad, </w:t>
      </w:r>
      <w:r w:rsidR="007415A4">
        <w:rPr>
          <w:rFonts w:asciiTheme="minorHAnsi" w:eastAsia="Arial Unicode MS" w:hAnsiTheme="minorHAnsi" w:cs="Arial Unicode MS"/>
          <w:i/>
          <w:color w:val="000099"/>
        </w:rPr>
        <w:t>San</w:t>
      </w:r>
      <w:r w:rsidR="003726DB">
        <w:rPr>
          <w:rFonts w:asciiTheme="minorHAnsi" w:eastAsia="Arial Unicode MS" w:hAnsiTheme="minorHAnsi" w:cs="Arial Unicode MS"/>
          <w:i/>
          <w:color w:val="000099"/>
        </w:rPr>
        <w:t xml:space="preserve"> Miguel, San Vicente y Tecoluca; </w:t>
      </w:r>
      <w:r w:rsidR="003726DB" w:rsidRPr="003726DB">
        <w:rPr>
          <w:rFonts w:asciiTheme="minorHAnsi" w:eastAsia="Arial Unicode MS" w:hAnsiTheme="minorHAnsi" w:cs="Arial Unicode MS"/>
        </w:rPr>
        <w:t xml:space="preserve">en dicha información se describe el nombre del beneficiario, el departamento, el municipio y la bodega donde se entregó el paquete agrícola; no se entrega el </w:t>
      </w:r>
      <w:r w:rsidR="003726DB" w:rsidRPr="003726DB">
        <w:rPr>
          <w:rFonts w:asciiTheme="minorHAnsi" w:eastAsia="Arial Unicode MS" w:hAnsiTheme="minorHAnsi" w:cs="Arial Unicode MS"/>
          <w:color w:val="000099"/>
        </w:rPr>
        <w:t>nombre del cantón</w:t>
      </w:r>
      <w:r w:rsidR="0005694E" w:rsidRPr="00A669A5">
        <w:rPr>
          <w:rFonts w:asciiTheme="minorHAnsi" w:eastAsia="Arial Unicode MS" w:hAnsiTheme="minorHAnsi" w:cs="Arial Unicode MS"/>
        </w:rPr>
        <w:t xml:space="preserve">, porque </w:t>
      </w:r>
      <w:r w:rsidR="00CE32BA" w:rsidRPr="00A669A5">
        <w:rPr>
          <w:rFonts w:asciiTheme="minorHAnsi" w:eastAsia="Arial Unicode MS" w:hAnsiTheme="minorHAnsi" w:cs="Arial Unicode MS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E71A60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CE32BA" w:rsidRPr="00E71A60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71A60">
        <w:rPr>
          <w:rFonts w:asciiTheme="minorHAnsi" w:hAnsiTheme="minorHAnsi" w:cs="Calibri"/>
          <w:b/>
          <w:color w:val="000099"/>
          <w:sz w:val="20"/>
        </w:rPr>
        <w:lastRenderedPageBreak/>
        <w:t xml:space="preserve">NEGAR EL ACCESO A </w:t>
      </w:r>
      <w:r w:rsidR="0005694E" w:rsidRPr="00E71A60">
        <w:rPr>
          <w:rFonts w:asciiTheme="minorHAnsi" w:hAnsiTheme="minorHAnsi" w:cs="Calibri"/>
          <w:b/>
          <w:color w:val="000099"/>
          <w:sz w:val="20"/>
        </w:rPr>
        <w:t>DICHA</w:t>
      </w:r>
      <w:r w:rsidRPr="00E71A60">
        <w:rPr>
          <w:rFonts w:asciiTheme="minorHAnsi" w:hAnsiTheme="minorHAnsi" w:cs="Calibri"/>
          <w:b/>
          <w:color w:val="000099"/>
          <w:sz w:val="20"/>
        </w:rPr>
        <w:t xml:space="preserve"> INFORMACIÓN POR SER DE CARÁCTER CONFIDENCIAL.</w:t>
      </w:r>
    </w:p>
    <w:p w:rsidR="003948D8" w:rsidRDefault="003948D8" w:rsidP="003948D8">
      <w:pPr>
        <w:spacing w:after="0" w:line="240" w:lineRule="auto"/>
        <w:rPr>
          <w:rFonts w:asciiTheme="minorHAnsi" w:hAnsiTheme="minorHAnsi" w:cs="Calibri"/>
          <w:b/>
          <w:color w:val="000099"/>
          <w:sz w:val="24"/>
          <w:szCs w:val="24"/>
        </w:rPr>
      </w:pPr>
    </w:p>
    <w:p w:rsidR="003726DB" w:rsidRDefault="003726DB" w:rsidP="007D6D97">
      <w:pPr>
        <w:spacing w:after="0" w:line="240" w:lineRule="auto"/>
        <w:jc w:val="both"/>
      </w:pPr>
    </w:p>
    <w:p w:rsidR="003726DB" w:rsidRDefault="003726DB" w:rsidP="007D6D97">
      <w:pPr>
        <w:spacing w:after="0" w:line="240" w:lineRule="auto"/>
        <w:jc w:val="both"/>
      </w:pPr>
      <w:r>
        <w:t xml:space="preserve">Sobre la </w:t>
      </w:r>
      <w:r w:rsidRPr="003726DB">
        <w:rPr>
          <w:i/>
          <w:color w:val="000099"/>
        </w:rPr>
        <w:t>Lista de Productores de Subsistencia</w:t>
      </w:r>
      <w:r>
        <w:t xml:space="preserve"> de esos municipios, son los mismos beneficiarios del paquete de frijol. </w:t>
      </w:r>
    </w:p>
    <w:p w:rsidR="003726DB" w:rsidRDefault="003726DB" w:rsidP="007D6D97">
      <w:pPr>
        <w:spacing w:after="0" w:line="240" w:lineRule="auto"/>
        <w:jc w:val="both"/>
      </w:pPr>
    </w:p>
    <w:p w:rsidR="007D6D97" w:rsidRDefault="003726DB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t xml:space="preserve">Acerca del </w:t>
      </w:r>
      <w:r w:rsidRPr="003726DB">
        <w:rPr>
          <w:color w:val="000099"/>
        </w:rPr>
        <w:t>listado de productores comerciales de frijol</w:t>
      </w:r>
      <w:r>
        <w:t xml:space="preserve">, </w:t>
      </w:r>
      <w:r w:rsidR="007D6D97">
        <w:t xml:space="preserve">al respecto </w:t>
      </w:r>
      <w:r w:rsidR="007D6D97">
        <w:rPr>
          <w:rFonts w:asciiTheme="minorHAnsi" w:eastAsia="Arial Unicode MS" w:hAnsiTheme="minorHAnsi" w:cs="Arial Unicode MS"/>
        </w:rPr>
        <w:t xml:space="preserve">se ha analizado el fondo de lo solicitado y realizado una búsqueda exhaustiva de la información en el área respectiva siendo imposible localizarla en nuestros registros, por no contar con la misma </w:t>
      </w:r>
      <w:r w:rsidR="007D6D97">
        <w:rPr>
          <w:rFonts w:asciiTheme="minorHAnsi" w:eastAsia="Arial Unicode MS" w:hAnsiTheme="minorHAnsi" w:cs="Arial Unicode MS"/>
          <w:i/>
          <w:color w:val="000099"/>
        </w:rPr>
        <w:t xml:space="preserve">porque el </w:t>
      </w:r>
      <w:r>
        <w:rPr>
          <w:rFonts w:asciiTheme="minorHAnsi" w:eastAsia="Arial Unicode MS" w:hAnsiTheme="minorHAnsi" w:cs="Arial Unicode MS"/>
          <w:i/>
          <w:color w:val="000099"/>
        </w:rPr>
        <w:t>ministerio no cuenta con esa información</w:t>
      </w:r>
      <w:r w:rsidR="007D6D97">
        <w:rPr>
          <w:rFonts w:asciiTheme="minorHAnsi" w:eastAsia="Arial Unicode MS" w:hAnsiTheme="minorHAnsi" w:cs="Arial Unicode MS"/>
          <w:i/>
        </w:rPr>
        <w:t>.</w:t>
      </w:r>
      <w:r w:rsidR="007D6D97">
        <w:rPr>
          <w:rFonts w:asciiTheme="minorHAnsi" w:eastAsia="Arial Unicode MS" w:hAnsiTheme="minorHAnsi" w:cs="Arial Unicode MS"/>
        </w:rPr>
        <w:t xml:space="preserve"> Por tanto y considerando que la Ley de Acceso a la Información Pública dispone en el art. 73 que nos encontramos ante un caso de información </w:t>
      </w:r>
      <w:r w:rsidR="007D6D97">
        <w:rPr>
          <w:rFonts w:asciiTheme="minorHAnsi" w:eastAsia="Arial Unicode MS" w:hAnsiTheme="minorHAnsi" w:cs="Arial Unicode MS"/>
          <w:color w:val="000099"/>
        </w:rPr>
        <w:t>INEXISTENTE</w:t>
      </w:r>
      <w:r w:rsidR="007D6D97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D6D97" w:rsidRDefault="007D6D97" w:rsidP="007D6D9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6D97" w:rsidRDefault="007D6D97" w:rsidP="007D6D9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 EN NUESTROS REGISTROS</w:t>
      </w:r>
    </w:p>
    <w:p w:rsidR="007D6D97" w:rsidRDefault="007D6D97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64" w:rsidRDefault="000B7C64" w:rsidP="00F425A5">
      <w:pPr>
        <w:spacing w:after="0" w:line="240" w:lineRule="auto"/>
      </w:pPr>
      <w:r>
        <w:separator/>
      </w:r>
    </w:p>
  </w:endnote>
  <w:endnote w:type="continuationSeparator" w:id="0">
    <w:p w:rsidR="000B7C64" w:rsidRDefault="000B7C6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D7BD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D7BD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D7BD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D7BD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64" w:rsidRDefault="000B7C64" w:rsidP="00F425A5">
      <w:pPr>
        <w:spacing w:after="0" w:line="240" w:lineRule="auto"/>
      </w:pPr>
      <w:r>
        <w:separator/>
      </w:r>
    </w:p>
  </w:footnote>
  <w:footnote w:type="continuationSeparator" w:id="0">
    <w:p w:rsidR="000B7C64" w:rsidRDefault="000B7C6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B7C64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D7BDB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D551B-89D1-4BCF-BE6D-C289D859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13</cp:revision>
  <cp:lastPrinted>2016-07-12T02:33:00Z</cp:lastPrinted>
  <dcterms:created xsi:type="dcterms:W3CDTF">2016-06-16T20:26:00Z</dcterms:created>
  <dcterms:modified xsi:type="dcterms:W3CDTF">2016-07-12T21:33:00Z</dcterms:modified>
</cp:coreProperties>
</file>