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F9" w:rsidRDefault="00016DF9" w:rsidP="00016DF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1B6D2E" w:rsidRDefault="00714AA6" w:rsidP="001B6D2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</w:pPr>
      <w:r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 xml:space="preserve">RESOLUCIÓN </w:t>
      </w:r>
      <w:r w:rsidR="00A6281C"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 xml:space="preserve">EN RESPUESTA A </w:t>
      </w:r>
      <w:r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>SOLICITUD</w:t>
      </w:r>
      <w:r w:rsidR="00A6281C"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 xml:space="preserve"> DE INFORMACIÓN </w:t>
      </w:r>
      <w:r w:rsidR="00A05D71"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>N</w:t>
      </w:r>
      <w:r w:rsidR="00640AA6"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 xml:space="preserve">° </w:t>
      </w:r>
      <w:r w:rsidR="00574469"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>10</w:t>
      </w:r>
      <w:r w:rsidR="001B6D2E"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>8</w:t>
      </w:r>
      <w:r w:rsidR="002C71C9"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>-201</w:t>
      </w:r>
      <w:r w:rsidR="00DE3698" w:rsidRPr="001B6D2E">
        <w:rPr>
          <w:rFonts w:asciiTheme="minorHAnsi" w:eastAsia="Calibri" w:hAnsiTheme="minorHAnsi" w:cs="Tahoma"/>
          <w:b/>
          <w:color w:val="000099"/>
          <w:sz w:val="24"/>
          <w:szCs w:val="20"/>
          <w:lang w:eastAsia="en-US"/>
        </w:rPr>
        <w:t>6</w:t>
      </w:r>
    </w:p>
    <w:p w:rsidR="00574469" w:rsidRPr="00B3369D" w:rsidRDefault="00574469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sz w:val="12"/>
          <w:szCs w:val="20"/>
          <w:lang w:eastAsia="en-US"/>
        </w:rPr>
      </w:pPr>
    </w:p>
    <w:p w:rsidR="00DE3698" w:rsidRPr="001B6D2E" w:rsidRDefault="00714AA6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  <w:lang w:eastAsia="en-US"/>
        </w:rPr>
      </w:pPr>
      <w:r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Santa Tecla, </w:t>
      </w:r>
      <w:r w:rsidR="00B70104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departamento de La Libertad </w:t>
      </w:r>
      <w:r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a las </w:t>
      </w:r>
      <w:r w:rsidR="001B6D2E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dieciséis </w:t>
      </w:r>
      <w:r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horas</w:t>
      </w:r>
      <w:r w:rsidR="0033497B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con</w:t>
      </w:r>
      <w:r w:rsidR="002C71C9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</w:t>
      </w:r>
      <w:r w:rsidR="001B6D2E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diecisiete</w:t>
      </w:r>
      <w:r w:rsidR="00574469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</w:t>
      </w:r>
      <w:r w:rsidR="0033497B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minutos</w:t>
      </w:r>
      <w:r w:rsidR="00C244D4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</w:t>
      </w:r>
      <w:r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del día</w:t>
      </w:r>
      <w:r w:rsidR="00DE3698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</w:t>
      </w:r>
      <w:r w:rsidR="001B6D2E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27</w:t>
      </w:r>
      <w:r w:rsidR="006E2738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de</w:t>
      </w:r>
      <w:r w:rsidR="004C182F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mayo</w:t>
      </w:r>
      <w:r w:rsidR="00DE3698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</w:t>
      </w:r>
      <w:r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de 201</w:t>
      </w:r>
      <w:r w:rsidR="00DE3698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6</w:t>
      </w:r>
      <w:r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, </w:t>
      </w:r>
      <w:r w:rsidRPr="001B6D2E">
        <w:rPr>
          <w:rFonts w:asciiTheme="minorHAnsi" w:eastAsia="Calibri" w:hAnsiTheme="minorHAnsi" w:cs="Tahoma"/>
          <w:sz w:val="20"/>
          <w:szCs w:val="20"/>
          <w:lang w:eastAsia="en-US"/>
        </w:rPr>
        <w:t>el Ministerio de Agricultura y Ganadería luego de haber recibido y admitido la solicitud de información</w:t>
      </w:r>
      <w:r w:rsidR="009C6B93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 </w:t>
      </w:r>
      <w:r w:rsidRPr="001B6D2E">
        <w:rPr>
          <w:rFonts w:asciiTheme="minorHAnsi" w:eastAsia="Calibri" w:hAnsiTheme="minorHAnsi" w:cs="Tahoma"/>
          <w:b/>
          <w:color w:val="000099"/>
          <w:sz w:val="20"/>
          <w:szCs w:val="20"/>
          <w:lang w:eastAsia="en-US"/>
        </w:rPr>
        <w:t xml:space="preserve">No. </w:t>
      </w:r>
      <w:r w:rsidR="00574469" w:rsidRPr="001B6D2E">
        <w:rPr>
          <w:rFonts w:asciiTheme="minorHAnsi" w:eastAsia="Calibri" w:hAnsiTheme="minorHAnsi" w:cs="Tahoma"/>
          <w:b/>
          <w:color w:val="000099"/>
          <w:sz w:val="20"/>
          <w:szCs w:val="20"/>
          <w:lang w:eastAsia="en-US"/>
        </w:rPr>
        <w:t>10</w:t>
      </w:r>
      <w:r w:rsidR="001B6D2E" w:rsidRPr="001B6D2E">
        <w:rPr>
          <w:rFonts w:asciiTheme="minorHAnsi" w:eastAsia="Calibri" w:hAnsiTheme="minorHAnsi" w:cs="Tahoma"/>
          <w:b/>
          <w:color w:val="000099"/>
          <w:sz w:val="20"/>
          <w:szCs w:val="20"/>
          <w:lang w:eastAsia="en-US"/>
        </w:rPr>
        <w:t>8</w:t>
      </w:r>
      <w:r w:rsidR="009F7AF7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</w:t>
      </w:r>
      <w:r w:rsidRPr="001B6D2E">
        <w:rPr>
          <w:rFonts w:asciiTheme="minorHAnsi" w:eastAsia="Calibri" w:hAnsiTheme="minorHAnsi" w:cs="Tahoma"/>
          <w:sz w:val="20"/>
          <w:szCs w:val="20"/>
          <w:lang w:eastAsia="en-US"/>
        </w:rPr>
        <w:t>sobre:</w:t>
      </w:r>
    </w:p>
    <w:p w:rsidR="001B6D2E" w:rsidRPr="00B3369D" w:rsidRDefault="001B6D2E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color w:val="000099"/>
          <w:sz w:val="12"/>
          <w:szCs w:val="20"/>
          <w:lang w:eastAsia="en-US"/>
        </w:rPr>
      </w:pPr>
    </w:p>
    <w:p w:rsidR="001B6D2E" w:rsidRPr="001B6D2E" w:rsidRDefault="001B6D2E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</w:pPr>
      <w:r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1) ¿La normatividad del sector agricultura, define la responsabilidad de realizar análisis del riesgo de desastres o efectos adversos del cambio climático en el ámbito de sus competencias?</w:t>
      </w:r>
    </w:p>
    <w:p w:rsidR="001B6D2E" w:rsidRPr="001B6D2E" w:rsidRDefault="001B6D2E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</w:pPr>
      <w:r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2) ¿La normatividad del sector agricultura, define la responsabilidad de reducir el riesgo de desastres en el ámbito de sus competencias?</w:t>
      </w:r>
    </w:p>
    <w:p w:rsidR="001B6D2E" w:rsidRPr="001B6D2E" w:rsidRDefault="001B6D2E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</w:pPr>
      <w:r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3) ¿La normatividad del sector agricultura, define la responsabilidad de realizar actividades de preparación para la respuesta a desastres en el ámbito de sus competencias?</w:t>
      </w:r>
    </w:p>
    <w:p w:rsidR="00D25E70" w:rsidRPr="001B6D2E" w:rsidRDefault="001B6D2E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</w:pPr>
      <w:r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4) ¿La normatividad del sector agricultura, define la responsabilidad de realizar actividades de preparación de </w:t>
      </w:r>
      <w:r w:rsidR="00B3369D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l</w:t>
      </w:r>
      <w:r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a recuperación post desastre en el ámbito de sus competencias?</w:t>
      </w:r>
    </w:p>
    <w:p w:rsidR="001B6D2E" w:rsidRPr="00B3369D" w:rsidRDefault="001B6D2E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sz w:val="14"/>
          <w:szCs w:val="20"/>
          <w:lang w:eastAsia="en-US"/>
        </w:rPr>
      </w:pPr>
    </w:p>
    <w:p w:rsidR="001B6D2E" w:rsidRPr="001B6D2E" w:rsidRDefault="00BE0B9D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</w:pPr>
      <w:r w:rsidRPr="001B6D2E">
        <w:rPr>
          <w:rFonts w:asciiTheme="minorHAnsi" w:eastAsia="Calibri" w:hAnsiTheme="minorHAnsi" w:cs="Tahoma"/>
          <w:sz w:val="20"/>
          <w:szCs w:val="20"/>
          <w:lang w:eastAsia="en-US"/>
        </w:rPr>
        <w:t>P</w:t>
      </w:r>
      <w:r w:rsidR="00EE4B7D" w:rsidRPr="001B6D2E">
        <w:rPr>
          <w:rFonts w:asciiTheme="minorHAnsi" w:eastAsia="Calibri" w:hAnsiTheme="minorHAnsi" w:cs="Tahoma"/>
          <w:sz w:val="20"/>
          <w:szCs w:val="20"/>
          <w:lang w:eastAsia="en-US"/>
        </w:rPr>
        <w:t>resentada ante la Oficina de Información y Respuesta de esta dependencia por parte de</w:t>
      </w:r>
      <w:r w:rsidR="002B446B" w:rsidRPr="001B6D2E">
        <w:rPr>
          <w:rFonts w:asciiTheme="minorHAnsi" w:eastAsia="Calibri" w:hAnsiTheme="minorHAnsi" w:cs="Tahoma"/>
          <w:sz w:val="20"/>
          <w:szCs w:val="20"/>
          <w:lang w:eastAsia="en-US"/>
        </w:rPr>
        <w:t>:</w:t>
      </w:r>
      <w:r w:rsidR="001B6D2E" w:rsidRPr="001B6D2E">
        <w:rPr>
          <w:rFonts w:asciiTheme="minorHAnsi" w:eastAsia="Calibri" w:hAnsiTheme="minorHAnsi"/>
          <w:b/>
          <w:bCs/>
          <w:lang w:eastAsia="en-US"/>
        </w:rPr>
        <w:t xml:space="preserve"> </w:t>
      </w:r>
      <w:proofErr w:type="spellStart"/>
      <w:r w:rsidR="00016DF9" w:rsidRPr="00016DF9">
        <w:rPr>
          <w:rFonts w:asciiTheme="minorHAnsi" w:eastAsia="Calibri" w:hAnsiTheme="minorHAnsi"/>
          <w:b/>
          <w:bCs/>
          <w:color w:val="000099"/>
          <w:highlight w:val="blue"/>
          <w:lang w:eastAsia="en-US"/>
        </w:rPr>
        <w:t>xxxxxxxxxxxxxxxxxxxx</w:t>
      </w:r>
      <w:bookmarkStart w:id="0" w:name="_GoBack"/>
      <w:bookmarkEnd w:id="0"/>
      <w:proofErr w:type="spellEnd"/>
      <w:r w:rsidR="00DE3698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 </w:t>
      </w:r>
      <w:r w:rsidR="00E339B8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al </w:t>
      </w:r>
      <w:r w:rsidR="001B6D2E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respecto la </w:t>
      </w:r>
      <w:r w:rsidR="00574469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Dirección General de Ordenamiento Forestal Cuencas y Riego DGFCR del</w:t>
      </w:r>
      <w:r w:rsidR="006E2738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 Ministerio de Agricultura </w:t>
      </w:r>
      <w:r w:rsidR="00574469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 xml:space="preserve">y Ganadería </w:t>
      </w:r>
      <w:r w:rsidR="001B6D2E" w:rsidRPr="001B6D2E">
        <w:rPr>
          <w:rFonts w:asciiTheme="minorHAnsi" w:eastAsia="Calibri" w:hAnsiTheme="minorHAnsi" w:cs="Tahoma"/>
          <w:color w:val="000099"/>
          <w:sz w:val="20"/>
          <w:szCs w:val="20"/>
          <w:lang w:eastAsia="en-US"/>
        </w:rPr>
        <w:t>informa lo siguiente:</w:t>
      </w:r>
    </w:p>
    <w:p w:rsidR="001B6D2E" w:rsidRPr="00B3369D" w:rsidRDefault="001B6D2E" w:rsidP="001B6D2E">
      <w:pPr>
        <w:autoSpaceDE w:val="0"/>
        <w:autoSpaceDN w:val="0"/>
        <w:adjustRightInd w:val="0"/>
        <w:spacing w:after="0" w:line="240" w:lineRule="auto"/>
        <w:rPr>
          <w:rFonts w:eastAsia="Calibri"/>
          <w:sz w:val="14"/>
          <w:szCs w:val="20"/>
          <w:lang w:eastAsia="en-US"/>
        </w:rPr>
      </w:pPr>
    </w:p>
    <w:p w:rsidR="001B6D2E" w:rsidRPr="001B6D2E" w:rsidRDefault="001B6D2E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i/>
          <w:color w:val="000099"/>
          <w:sz w:val="20"/>
          <w:szCs w:val="20"/>
          <w:lang w:eastAsia="en-US"/>
        </w:rPr>
      </w:pPr>
      <w:r w:rsidRPr="001B6D2E">
        <w:rPr>
          <w:rFonts w:eastAsia="Calibri"/>
          <w:i/>
          <w:sz w:val="20"/>
          <w:szCs w:val="20"/>
          <w:lang w:eastAsia="en-US"/>
        </w:rPr>
        <w:t>“Para los numerales 1, 2 y 3, esa Dirección General, no cuenta en su normativa responsabilidades en lo indicado en los numerales 1, 2, y 3. Para el numeral 4, en la DGFCR, no se cuenta con responsabilidad en las actividades de preparación para la recuperación post desastres, mas sin embargo, desarrolla la participación en apoyo a otras unidades u oficinas para realizar acciones en el ámbito de nuestra competencia, que conlleva a recuperar aquellas áreas afectadas por deslizamiento erosión, inundaciones que hayan afectado áreas agrícolas”</w:t>
      </w:r>
    </w:p>
    <w:p w:rsidR="001B6D2E" w:rsidRPr="00B3369D" w:rsidRDefault="001B6D2E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sz w:val="14"/>
          <w:szCs w:val="20"/>
          <w:lang w:eastAsia="en-US"/>
        </w:rPr>
      </w:pPr>
    </w:p>
    <w:p w:rsidR="0049126D" w:rsidRPr="001B6D2E" w:rsidRDefault="001B6D2E" w:rsidP="001B6D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="Tahoma"/>
          <w:sz w:val="20"/>
          <w:szCs w:val="20"/>
          <w:lang w:eastAsia="en-US"/>
        </w:rPr>
      </w:pPr>
      <w:r>
        <w:rPr>
          <w:rFonts w:asciiTheme="minorHAnsi" w:eastAsia="Calibri" w:hAnsiTheme="minorHAnsi" w:cs="Tahoma"/>
          <w:sz w:val="20"/>
          <w:szCs w:val="20"/>
          <w:lang w:eastAsia="en-US"/>
        </w:rPr>
        <w:t>P</w:t>
      </w:r>
      <w:r w:rsidR="006E2738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or </w:t>
      </w:r>
      <w:r w:rsidR="00C03170" w:rsidRPr="001B6D2E">
        <w:rPr>
          <w:rFonts w:asciiTheme="minorHAnsi" w:eastAsia="Calibri" w:hAnsiTheme="minorHAnsi" w:cs="Tahoma"/>
          <w:sz w:val="20"/>
          <w:szCs w:val="20"/>
          <w:lang w:eastAsia="en-US"/>
        </w:rPr>
        <w:t>lo anteriormente expuesto</w:t>
      </w:r>
      <w:r w:rsidR="00574469" w:rsidRPr="001B6D2E">
        <w:rPr>
          <w:rFonts w:asciiTheme="minorHAnsi" w:eastAsia="Calibri" w:hAnsiTheme="minorHAnsi" w:cs="Tahoma"/>
          <w:sz w:val="20"/>
          <w:szCs w:val="20"/>
          <w:lang w:eastAsia="en-US"/>
        </w:rPr>
        <w:t>,</w:t>
      </w:r>
      <w:r w:rsidR="00C03170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 no se cuenta con dicha información</w:t>
      </w:r>
      <w:r w:rsidR="00DF5ACE" w:rsidRPr="001B6D2E">
        <w:rPr>
          <w:rFonts w:asciiTheme="minorHAnsi" w:eastAsia="Calibri" w:hAnsiTheme="minorHAnsi" w:cs="Tahoma"/>
          <w:sz w:val="20"/>
          <w:szCs w:val="20"/>
          <w:lang w:eastAsia="en-US"/>
        </w:rPr>
        <w:t>,</w:t>
      </w:r>
      <w:r w:rsidR="00BE4246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 </w:t>
      </w:r>
      <w:r w:rsidR="00EF7AD3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y considerando que la Ley de Acceso a la Información Pública dispone en el art. 73 que nos encontramos ante un caso de información </w:t>
      </w:r>
      <w:r w:rsidR="00EF7AD3" w:rsidRPr="001B6D2E">
        <w:rPr>
          <w:rFonts w:asciiTheme="minorHAnsi" w:eastAsia="Calibri" w:hAnsiTheme="minorHAnsi" w:cs="Tahoma"/>
          <w:b/>
          <w:color w:val="000099"/>
          <w:sz w:val="20"/>
          <w:szCs w:val="20"/>
          <w:lang w:eastAsia="en-US"/>
        </w:rPr>
        <w:t>INEXISTENTE,</w:t>
      </w:r>
      <w:r w:rsidR="00EF7AD3" w:rsidRPr="001B6D2E">
        <w:rPr>
          <w:rFonts w:asciiTheme="minorHAnsi" w:eastAsia="Calibri" w:hAnsiTheme="minorHAnsi" w:cs="Tahoma"/>
          <w:sz w:val="20"/>
          <w:szCs w:val="20"/>
          <w:lang w:eastAsia="en-US"/>
        </w:rPr>
        <w:t xml:space="preserve"> lo que  impide  brindar lo  requerido  por  el  peticionario, esta dependencia resuelve:</w:t>
      </w:r>
    </w:p>
    <w:p w:rsidR="00E916E5" w:rsidRPr="00B3369D" w:rsidRDefault="00E916E5" w:rsidP="001B6D2E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8"/>
          <w:szCs w:val="24"/>
        </w:rPr>
      </w:pPr>
    </w:p>
    <w:p w:rsidR="00EF7AD3" w:rsidRPr="001B6D2E" w:rsidRDefault="00C22C53" w:rsidP="001B6D2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="Tahoma"/>
          <w:b/>
          <w:color w:val="000099"/>
          <w:sz w:val="20"/>
          <w:szCs w:val="20"/>
          <w:lang w:eastAsia="en-US"/>
        </w:rPr>
      </w:pPr>
      <w:r w:rsidRPr="001B6D2E">
        <w:rPr>
          <w:rFonts w:asciiTheme="minorHAnsi" w:eastAsia="Calibri" w:hAnsiTheme="minorHAnsi" w:cs="Tahoma"/>
          <w:b/>
          <w:color w:val="000099"/>
          <w:sz w:val="20"/>
          <w:szCs w:val="20"/>
          <w:lang w:eastAsia="en-US"/>
        </w:rPr>
        <w:t>N</w:t>
      </w:r>
      <w:r w:rsidR="002811CB" w:rsidRPr="001B6D2E">
        <w:rPr>
          <w:rFonts w:asciiTheme="minorHAnsi" w:eastAsia="Calibri" w:hAnsiTheme="minorHAnsi" w:cs="Tahoma"/>
          <w:b/>
          <w:color w:val="000099"/>
          <w:sz w:val="20"/>
          <w:szCs w:val="20"/>
          <w:lang w:eastAsia="en-US"/>
        </w:rPr>
        <w:t>O ENTREGAR</w:t>
      </w:r>
      <w:r w:rsidR="00EF7AD3" w:rsidRPr="001B6D2E">
        <w:rPr>
          <w:rFonts w:asciiTheme="minorHAnsi" w:eastAsia="Calibri" w:hAnsiTheme="minorHAnsi" w:cs="Tahoma"/>
          <w:b/>
          <w:color w:val="000099"/>
          <w:sz w:val="20"/>
          <w:szCs w:val="20"/>
          <w:lang w:eastAsia="en-US"/>
        </w:rPr>
        <w:t xml:space="preserve"> LA INFORMACIÓN SOLICITADA POR INEXISTENCIA</w:t>
      </w:r>
    </w:p>
    <w:p w:rsidR="001B6D2E" w:rsidRPr="00B3369D" w:rsidRDefault="001B6D2E" w:rsidP="001B6D2E">
      <w:pPr>
        <w:spacing w:after="0" w:line="240" w:lineRule="auto"/>
        <w:rPr>
          <w:rFonts w:asciiTheme="minorHAnsi" w:eastAsia="Arial Unicode MS" w:hAnsiTheme="minorHAnsi" w:cs="Arial Unicode MS"/>
          <w:sz w:val="14"/>
        </w:rPr>
      </w:pPr>
    </w:p>
    <w:p w:rsidR="001B6D2E" w:rsidRPr="001B6D2E" w:rsidRDefault="001B6D2E" w:rsidP="00B3369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No obstante adjuntamos a la presente resolución la </w:t>
      </w:r>
      <w:r w:rsidR="00864BCF" w:rsidRPr="00B3369D">
        <w:rPr>
          <w:rFonts w:asciiTheme="minorHAnsi" w:eastAsia="Arial Unicode MS" w:hAnsiTheme="minorHAnsi" w:cs="Arial Unicode MS"/>
          <w:b/>
          <w:i/>
        </w:rPr>
        <w:t>Estrategia Ambiental de Adaptación y Mitigación al Cambio Climático del Sector Agropecuario, Forestal, Pesquero y Acuícola</w:t>
      </w:r>
      <w:r w:rsidR="00864BCF">
        <w:rPr>
          <w:rFonts w:asciiTheme="minorHAnsi" w:eastAsia="Arial Unicode MS" w:hAnsiTheme="minorHAnsi" w:cs="Arial Unicode MS"/>
        </w:rPr>
        <w:t xml:space="preserve">, </w:t>
      </w:r>
      <w:r w:rsidR="00B3369D">
        <w:rPr>
          <w:rFonts w:asciiTheme="minorHAnsi" w:eastAsia="Arial Unicode MS" w:hAnsiTheme="minorHAnsi" w:cs="Arial Unicode MS"/>
        </w:rPr>
        <w:t>cuyo objetivo es c</w:t>
      </w:r>
      <w:r w:rsidR="00B3369D" w:rsidRPr="00B3369D">
        <w:rPr>
          <w:rFonts w:asciiTheme="minorHAnsi" w:eastAsia="Arial Unicode MS" w:hAnsiTheme="minorHAnsi" w:cs="Arial Unicode MS"/>
        </w:rPr>
        <w:t>ontribuir a la adaptación de los impactos del cambio y la variabilidad climática en el sector</w:t>
      </w:r>
      <w:r w:rsidR="00B3369D">
        <w:rPr>
          <w:rFonts w:asciiTheme="minorHAnsi" w:eastAsia="Arial Unicode MS" w:hAnsiTheme="minorHAnsi" w:cs="Arial Unicode MS"/>
        </w:rPr>
        <w:t xml:space="preserve"> agropecuario, f</w:t>
      </w:r>
      <w:r w:rsidR="00B3369D" w:rsidRPr="00B3369D">
        <w:rPr>
          <w:rFonts w:asciiTheme="minorHAnsi" w:eastAsia="Arial Unicode MS" w:hAnsiTheme="minorHAnsi" w:cs="Arial Unicode MS"/>
        </w:rPr>
        <w:t>orestal, pesquero y acuícola, bajo el enfoque de manejo sostenible de Cuencas</w:t>
      </w:r>
      <w:r w:rsidR="00B3369D">
        <w:rPr>
          <w:rFonts w:asciiTheme="minorHAnsi" w:eastAsia="Arial Unicode MS" w:hAnsiTheme="minorHAnsi" w:cs="Arial Unicode MS"/>
        </w:rPr>
        <w:t xml:space="preserve"> </w:t>
      </w:r>
      <w:r w:rsidR="00B3369D" w:rsidRPr="00B3369D">
        <w:rPr>
          <w:rFonts w:asciiTheme="minorHAnsi" w:eastAsia="Arial Unicode MS" w:hAnsiTheme="minorHAnsi" w:cs="Arial Unicode MS"/>
        </w:rPr>
        <w:t>hidrográficas y género</w:t>
      </w:r>
      <w:r w:rsidR="00B3369D">
        <w:rPr>
          <w:rFonts w:asciiTheme="minorHAnsi" w:eastAsia="Arial Unicode MS" w:hAnsiTheme="minorHAnsi" w:cs="Arial Unicode MS"/>
        </w:rPr>
        <w:t>.</w:t>
      </w:r>
    </w:p>
    <w:sectPr w:rsidR="001B6D2E" w:rsidRPr="001B6D2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54" w:rsidRDefault="006D4254" w:rsidP="00F425A5">
      <w:pPr>
        <w:spacing w:after="0" w:line="240" w:lineRule="auto"/>
      </w:pPr>
      <w:r>
        <w:separator/>
      </w:r>
    </w:p>
  </w:endnote>
  <w:endnote w:type="continuationSeparator" w:id="0">
    <w:p w:rsidR="006D4254" w:rsidRDefault="006D425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D00A6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16DF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16DF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D00A6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16DF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16DF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54" w:rsidRDefault="006D4254" w:rsidP="00F425A5">
      <w:pPr>
        <w:spacing w:after="0" w:line="240" w:lineRule="auto"/>
      </w:pPr>
      <w:r>
        <w:separator/>
      </w:r>
    </w:p>
  </w:footnote>
  <w:footnote w:type="continuationSeparator" w:id="0">
    <w:p w:rsidR="006D4254" w:rsidRDefault="006D425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E32E0"/>
    <w:multiLevelType w:val="hybridMultilevel"/>
    <w:tmpl w:val="0F9EA38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3F9A"/>
    <w:rsid w:val="00016DF9"/>
    <w:rsid w:val="00021DEC"/>
    <w:rsid w:val="00022615"/>
    <w:rsid w:val="00023CF8"/>
    <w:rsid w:val="000250C5"/>
    <w:rsid w:val="00035395"/>
    <w:rsid w:val="0003544B"/>
    <w:rsid w:val="000363C5"/>
    <w:rsid w:val="00047C80"/>
    <w:rsid w:val="000511EF"/>
    <w:rsid w:val="0005325B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6D2E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3E94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4F5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822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06E3D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182F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469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42F8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254"/>
    <w:rsid w:val="006D58A0"/>
    <w:rsid w:val="006E2738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54D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53E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64BCF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04D3B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1A1D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3369D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009E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4E30"/>
    <w:rsid w:val="00BF5A29"/>
    <w:rsid w:val="00C03170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106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0A62"/>
    <w:rsid w:val="00D024FD"/>
    <w:rsid w:val="00D029A4"/>
    <w:rsid w:val="00D02E37"/>
    <w:rsid w:val="00D03B93"/>
    <w:rsid w:val="00D13F34"/>
    <w:rsid w:val="00D2049F"/>
    <w:rsid w:val="00D20FD5"/>
    <w:rsid w:val="00D25E70"/>
    <w:rsid w:val="00D3386D"/>
    <w:rsid w:val="00D36494"/>
    <w:rsid w:val="00D5173D"/>
    <w:rsid w:val="00D53570"/>
    <w:rsid w:val="00D5384D"/>
    <w:rsid w:val="00D563F1"/>
    <w:rsid w:val="00D57B37"/>
    <w:rsid w:val="00D61B71"/>
    <w:rsid w:val="00D623FC"/>
    <w:rsid w:val="00D63B51"/>
    <w:rsid w:val="00D71D54"/>
    <w:rsid w:val="00D71FFD"/>
    <w:rsid w:val="00D72D7A"/>
    <w:rsid w:val="00D73729"/>
    <w:rsid w:val="00D80533"/>
    <w:rsid w:val="00D84DB2"/>
    <w:rsid w:val="00D85A12"/>
    <w:rsid w:val="00D90105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074F"/>
    <w:rsid w:val="00DD1DB3"/>
    <w:rsid w:val="00DD51AE"/>
    <w:rsid w:val="00DD7313"/>
    <w:rsid w:val="00DD7EE6"/>
    <w:rsid w:val="00DE163E"/>
    <w:rsid w:val="00DE221A"/>
    <w:rsid w:val="00DE3698"/>
    <w:rsid w:val="00DE450E"/>
    <w:rsid w:val="00DF045C"/>
    <w:rsid w:val="00DF0F89"/>
    <w:rsid w:val="00DF1A86"/>
    <w:rsid w:val="00DF4A79"/>
    <w:rsid w:val="00DF5ACE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56B9"/>
    <w:rsid w:val="00E877D6"/>
    <w:rsid w:val="00E916E5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E8"/>
    <w:rsid w:val="00F05857"/>
    <w:rsid w:val="00F077B9"/>
    <w:rsid w:val="00F1042D"/>
    <w:rsid w:val="00F10552"/>
    <w:rsid w:val="00F11398"/>
    <w:rsid w:val="00F14D08"/>
    <w:rsid w:val="00F20872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C913B-9C40-49CF-85E3-08F040BE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2016-05-27T22:30:00Z</cp:lastPrinted>
  <dcterms:created xsi:type="dcterms:W3CDTF">2016-05-27T22:30:00Z</dcterms:created>
  <dcterms:modified xsi:type="dcterms:W3CDTF">2016-05-27T22:31:00Z</dcterms:modified>
</cp:coreProperties>
</file>