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8A" w:rsidRPr="00DD7011" w:rsidRDefault="0017328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0"/>
        </w:rPr>
      </w:pPr>
    </w:p>
    <w:p w:rsidR="00B677B2" w:rsidRDefault="00B677B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DD7011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DD701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DD701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DD701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DD701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DD7011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DD701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934670" w:rsidRPr="00DD7011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3402DD" w:rsidRPr="00DD7011">
        <w:rPr>
          <w:rFonts w:asciiTheme="minorHAnsi" w:eastAsia="Arial Unicode MS" w:hAnsiTheme="minorHAnsi" w:cs="Arial Unicode MS"/>
          <w:b/>
          <w:color w:val="000099"/>
          <w:sz w:val="24"/>
        </w:rPr>
        <w:t>3</w:t>
      </w:r>
      <w:r w:rsidR="002C71C9" w:rsidRPr="00DD7011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DD7011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3402DD">
        <w:rPr>
          <w:rFonts w:asciiTheme="minorHAnsi" w:eastAsia="Arial Unicode MS" w:hAnsiTheme="minorHAnsi" w:cs="Arial Unicode MS"/>
          <w:color w:val="000099"/>
        </w:rPr>
        <w:t xml:space="preserve">dieciocho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127BC8">
        <w:rPr>
          <w:rFonts w:asciiTheme="minorHAnsi" w:eastAsia="Arial Unicode MS" w:hAnsiTheme="minorHAnsi" w:cs="Arial Unicode MS"/>
          <w:color w:val="000099"/>
        </w:rPr>
        <w:t>quince</w:t>
      </w:r>
      <w:r w:rsidR="00934670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127BC8">
        <w:rPr>
          <w:rFonts w:asciiTheme="minorHAnsi" w:eastAsia="Arial Unicode MS" w:hAnsiTheme="minorHAnsi" w:cs="Arial Unicode MS"/>
          <w:color w:val="000099"/>
        </w:rPr>
        <w:t xml:space="preserve">dos mayo </w:t>
      </w:r>
      <w:r w:rsidR="00934670">
        <w:rPr>
          <w:rFonts w:asciiTheme="minorHAnsi" w:eastAsia="Arial Unicode MS" w:hAnsiTheme="minorHAnsi" w:cs="Arial Unicode MS"/>
          <w:color w:val="000099"/>
        </w:rPr>
        <w:t>de dos mil dieciséis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934670">
        <w:rPr>
          <w:rFonts w:asciiTheme="minorHAnsi" w:eastAsia="Arial Unicode MS" w:hAnsiTheme="minorHAnsi" w:cs="Arial Unicode MS"/>
          <w:b/>
          <w:color w:val="000099"/>
        </w:rPr>
        <w:t>6</w:t>
      </w:r>
      <w:r w:rsidR="00127BC8">
        <w:rPr>
          <w:rFonts w:asciiTheme="minorHAnsi" w:eastAsia="Arial Unicode MS" w:hAnsiTheme="minorHAnsi" w:cs="Arial Unicode MS"/>
          <w:b/>
          <w:color w:val="000099"/>
        </w:rPr>
        <w:t>3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026CA6" w:rsidRPr="00DD7011" w:rsidRDefault="00026CA6" w:rsidP="00026CA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0"/>
          <w:szCs w:val="24"/>
          <w:lang w:eastAsia="en-US"/>
        </w:rPr>
      </w:pPr>
      <w:r w:rsidRPr="00026CA6">
        <w:rPr>
          <w:rFonts w:eastAsia="Calibri" w:cs="Calibri"/>
          <w:color w:val="000000"/>
          <w:sz w:val="24"/>
          <w:szCs w:val="24"/>
          <w:lang w:eastAsia="en-US"/>
        </w:rPr>
        <w:t xml:space="preserve"> </w:t>
      </w:r>
    </w:p>
    <w:p w:rsidR="00127BC8" w:rsidRPr="00DD7011" w:rsidRDefault="00DD7011" w:rsidP="00DD701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“</w:t>
      </w:r>
      <w:r w:rsidR="00127BC8" w:rsidRPr="00127BC8">
        <w:rPr>
          <w:rFonts w:asciiTheme="minorHAnsi" w:eastAsia="Arial Unicode MS" w:hAnsiTheme="minorHAnsi" w:cs="Arial Unicode MS"/>
          <w:color w:val="000099"/>
        </w:rPr>
        <w:t>Lista de funcionarios y sus respectivos currícu</w:t>
      </w:r>
      <w:r w:rsidRPr="00DD7011">
        <w:rPr>
          <w:rFonts w:asciiTheme="minorHAnsi" w:eastAsia="Arial Unicode MS" w:hAnsiTheme="minorHAnsi" w:cs="Arial Unicode MS"/>
          <w:color w:val="000099"/>
        </w:rPr>
        <w:t>l</w:t>
      </w:r>
      <w:r w:rsidR="00127BC8" w:rsidRPr="00127BC8">
        <w:rPr>
          <w:rFonts w:asciiTheme="minorHAnsi" w:eastAsia="Arial Unicode MS" w:hAnsiTheme="minorHAnsi" w:cs="Arial Unicode MS"/>
          <w:color w:val="000099"/>
        </w:rPr>
        <w:t xml:space="preserve">os vitae de </w:t>
      </w:r>
      <w:r w:rsidRPr="00DD7011">
        <w:rPr>
          <w:rFonts w:asciiTheme="minorHAnsi" w:eastAsia="Arial Unicode MS" w:hAnsiTheme="minorHAnsi" w:cs="Arial Unicode MS"/>
          <w:color w:val="000099"/>
        </w:rPr>
        <w:t>l</w:t>
      </w:r>
      <w:r w:rsidR="00127BC8" w:rsidRPr="00127BC8">
        <w:rPr>
          <w:rFonts w:asciiTheme="minorHAnsi" w:eastAsia="Arial Unicode MS" w:hAnsiTheme="minorHAnsi" w:cs="Arial Unicode MS"/>
          <w:color w:val="000099"/>
        </w:rPr>
        <w:t>os principales cargos del ministerio para tas siguientes administraciones:</w:t>
      </w:r>
    </w:p>
    <w:p w:rsidR="00DD7011" w:rsidRPr="00127BC8" w:rsidRDefault="00DD7011" w:rsidP="00DD701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8"/>
        </w:rPr>
      </w:pPr>
    </w:p>
    <w:p w:rsidR="00127BC8" w:rsidRPr="00127BC8" w:rsidRDefault="00127BC8" w:rsidP="00DD701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27BC8">
        <w:rPr>
          <w:rFonts w:asciiTheme="minorHAnsi" w:eastAsia="Arial Unicode MS" w:hAnsiTheme="minorHAnsi" w:cs="Arial Unicode MS"/>
          <w:color w:val="000099"/>
        </w:rPr>
        <w:t>1. Salvador Sánchez Cerén (2014 - presente)</w:t>
      </w:r>
    </w:p>
    <w:p w:rsidR="00127BC8" w:rsidRPr="00127BC8" w:rsidRDefault="00127BC8" w:rsidP="00DD701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27BC8">
        <w:rPr>
          <w:rFonts w:asciiTheme="minorHAnsi" w:eastAsia="Arial Unicode MS" w:hAnsiTheme="minorHAnsi" w:cs="Arial Unicode MS"/>
          <w:color w:val="000099"/>
        </w:rPr>
        <w:t>2. Mauricio Funes (2009 - 2014)</w:t>
      </w:r>
    </w:p>
    <w:p w:rsidR="00127BC8" w:rsidRPr="00127BC8" w:rsidRDefault="00127BC8" w:rsidP="00DD701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27BC8">
        <w:rPr>
          <w:rFonts w:asciiTheme="minorHAnsi" w:eastAsia="Arial Unicode MS" w:hAnsiTheme="minorHAnsi" w:cs="Arial Unicode MS"/>
          <w:color w:val="000099"/>
        </w:rPr>
        <w:t xml:space="preserve">3. </w:t>
      </w:r>
      <w:r w:rsidR="00DD7011" w:rsidRPr="00DD7011">
        <w:rPr>
          <w:rFonts w:asciiTheme="minorHAnsi" w:eastAsia="Arial Unicode MS" w:hAnsiTheme="minorHAnsi" w:cs="Arial Unicode MS"/>
          <w:color w:val="000099"/>
        </w:rPr>
        <w:t>Elías</w:t>
      </w:r>
      <w:r w:rsidRPr="00127BC8">
        <w:rPr>
          <w:rFonts w:asciiTheme="minorHAnsi" w:eastAsia="Arial Unicode MS" w:hAnsiTheme="minorHAnsi" w:cs="Arial Unicode MS"/>
          <w:color w:val="000099"/>
        </w:rPr>
        <w:t xml:space="preserve"> Saca (2004 - 2009)</w:t>
      </w:r>
    </w:p>
    <w:p w:rsidR="00127BC8" w:rsidRPr="00127BC8" w:rsidRDefault="00127BC8" w:rsidP="00DD701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27BC8">
        <w:rPr>
          <w:rFonts w:asciiTheme="minorHAnsi" w:eastAsia="Arial Unicode MS" w:hAnsiTheme="minorHAnsi" w:cs="Arial Unicode MS"/>
          <w:color w:val="000099"/>
        </w:rPr>
        <w:t>4. Francisco Flores (1999 - 2004)</w:t>
      </w:r>
    </w:p>
    <w:p w:rsidR="00DD7011" w:rsidRPr="00DD7011" w:rsidRDefault="00DD7011" w:rsidP="00DD701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847588" w:rsidRPr="00DD7011" w:rsidRDefault="00127BC8" w:rsidP="00DD701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D7011">
        <w:rPr>
          <w:rFonts w:asciiTheme="minorHAnsi" w:eastAsia="Arial Unicode MS" w:hAnsiTheme="minorHAnsi" w:cs="Arial Unicode MS"/>
          <w:color w:val="000099"/>
        </w:rPr>
        <w:t>La información se solicita cómo se encuentre (total o parcial) para los diferente periodos</w:t>
      </w:r>
      <w:r w:rsidR="00DD7011">
        <w:rPr>
          <w:rFonts w:asciiTheme="minorHAnsi" w:eastAsia="Arial Unicode MS" w:hAnsiTheme="minorHAnsi" w:cs="Arial Unicode MS"/>
          <w:color w:val="000099"/>
        </w:rPr>
        <w:t>”</w:t>
      </w:r>
    </w:p>
    <w:p w:rsidR="00127BC8" w:rsidRPr="00127BC8" w:rsidRDefault="00127BC8" w:rsidP="00127BC8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sz w:val="8"/>
          <w:szCs w:val="24"/>
          <w:lang w:eastAsia="en-US"/>
        </w:rPr>
      </w:pPr>
      <w:r w:rsidRPr="00127BC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607EB" w:rsidRPr="007607EB">
        <w:rPr>
          <w:rFonts w:cs="Calibri"/>
          <w:b/>
          <w:sz w:val="24"/>
          <w:szCs w:val="24"/>
        </w:rPr>
        <w:t xml:space="preserve"> </w:t>
      </w:r>
      <w:proofErr w:type="spellStart"/>
      <w:r w:rsidR="00B677B2" w:rsidRPr="00B677B2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</w:t>
      </w:r>
      <w:bookmarkStart w:id="0" w:name="_GoBack"/>
      <w:bookmarkEnd w:id="0"/>
      <w:proofErr w:type="spellEnd"/>
      <w:r w:rsidR="00026CA6" w:rsidRPr="00026CA6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Pr="00DD7011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33497B" w:rsidRPr="00DD7011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4"/>
        </w:rPr>
      </w:pPr>
      <w:r w:rsidRPr="00DD7011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DD7011" w:rsidRPr="00DD7011">
        <w:rPr>
          <w:rFonts w:asciiTheme="minorHAnsi" w:eastAsia="Arial Unicode MS" w:hAnsiTheme="minorHAnsi" w:cs="Arial Unicode MS"/>
          <w:b/>
          <w:color w:val="17365D" w:themeColor="text2" w:themeShade="BF"/>
        </w:rPr>
        <w:t xml:space="preserve">PARTE DE </w:t>
      </w:r>
      <w:r w:rsidRPr="00DD7011">
        <w:rPr>
          <w:rFonts w:asciiTheme="minorHAnsi" w:eastAsia="Arial Unicode MS" w:hAnsiTheme="minorHAnsi" w:cs="Arial Unicode MS"/>
          <w:b/>
          <w:color w:val="000099"/>
        </w:rPr>
        <w:t>LA</w:t>
      </w:r>
      <w:r w:rsidR="00E74110" w:rsidRPr="00DD7011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</w:p>
    <w:p w:rsidR="00C22C53" w:rsidRPr="00DD7011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0"/>
        </w:rPr>
      </w:pPr>
    </w:p>
    <w:p w:rsidR="00DD7011" w:rsidRDefault="00DD7011" w:rsidP="00DD701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0"/>
        </w:rPr>
      </w:pPr>
      <w:r>
        <w:rPr>
          <w:rFonts w:cs="Calibri"/>
          <w:color w:val="000000"/>
          <w:szCs w:val="20"/>
        </w:rPr>
        <w:t>Se adjunta a la presente resolución versiones públicas de los CV de los siguientes períodos:</w:t>
      </w:r>
    </w:p>
    <w:p w:rsidR="00DD7011" w:rsidRPr="00DD7011" w:rsidRDefault="00DD7011" w:rsidP="00DD7011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</w:rPr>
      </w:pPr>
    </w:p>
    <w:p w:rsidR="00DD7011" w:rsidRPr="00DD7011" w:rsidRDefault="00DD7011" w:rsidP="00DD7011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D7011">
        <w:rPr>
          <w:rFonts w:asciiTheme="minorHAnsi" w:eastAsia="Arial Unicode MS" w:hAnsiTheme="minorHAnsi" w:cs="Arial Unicode MS"/>
          <w:color w:val="000099"/>
        </w:rPr>
        <w:t>Mauricio Funes (2009 - 2014)</w:t>
      </w:r>
    </w:p>
    <w:p w:rsidR="00DD7011" w:rsidRPr="00DD7011" w:rsidRDefault="00DD7011" w:rsidP="00DD7011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D7011">
        <w:rPr>
          <w:rFonts w:asciiTheme="minorHAnsi" w:eastAsia="Arial Unicode MS" w:hAnsiTheme="minorHAnsi" w:cs="Arial Unicode MS"/>
          <w:color w:val="000099"/>
        </w:rPr>
        <w:t>Elías Saca (2004 - 2009)</w:t>
      </w:r>
    </w:p>
    <w:p w:rsidR="00DD7011" w:rsidRPr="00DD7011" w:rsidRDefault="00DD7011" w:rsidP="00DD7011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D7011">
        <w:rPr>
          <w:rFonts w:asciiTheme="minorHAnsi" w:eastAsia="Arial Unicode MS" w:hAnsiTheme="minorHAnsi" w:cs="Arial Unicode MS"/>
          <w:color w:val="000099"/>
        </w:rPr>
        <w:t>Francisco Flores (1999 - 2004)</w:t>
      </w:r>
    </w:p>
    <w:p w:rsidR="00016778" w:rsidRPr="00DD7011" w:rsidRDefault="00016778">
      <w:pPr>
        <w:spacing w:after="0" w:line="240" w:lineRule="auto"/>
        <w:rPr>
          <w:rFonts w:asciiTheme="minorHAnsi" w:eastAsia="Arial Unicode MS" w:hAnsiTheme="minorHAnsi" w:cs="Arial Unicode MS"/>
          <w:sz w:val="12"/>
        </w:rPr>
      </w:pPr>
    </w:p>
    <w:p w:rsidR="00016778" w:rsidRPr="0017328A" w:rsidRDefault="0017328A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lang w:val="es-ES"/>
        </w:rPr>
        <w:t>Sobre</w:t>
      </w:r>
      <w:r w:rsidR="00C27E2E">
        <w:rPr>
          <w:rFonts w:asciiTheme="minorHAnsi" w:eastAsia="Arial Unicode MS" w:hAnsiTheme="minorHAnsi" w:cs="Arial Unicode MS"/>
          <w:lang w:val="es-ES"/>
        </w:rPr>
        <w:t xml:space="preserve"> la información</w:t>
      </w:r>
      <w:r w:rsidR="00DD7011">
        <w:rPr>
          <w:rFonts w:asciiTheme="minorHAnsi" w:eastAsia="Arial Unicode MS" w:hAnsiTheme="minorHAnsi" w:cs="Arial Unicode MS"/>
          <w:lang w:val="es-ES"/>
        </w:rPr>
        <w:t xml:space="preserve"> del período del </w:t>
      </w:r>
      <w:r w:rsidR="00DD7011" w:rsidRPr="00DD7011">
        <w:rPr>
          <w:rFonts w:asciiTheme="minorHAnsi" w:eastAsia="Arial Unicode MS" w:hAnsiTheme="minorHAnsi" w:cs="Arial Unicode MS"/>
          <w:b/>
          <w:i/>
          <w:lang w:val="es-ES"/>
        </w:rPr>
        <w:t>Presidente Profesor Salvador Sánchez Cerén, 2014 a la fecha</w:t>
      </w:r>
      <w:r w:rsidR="00DD7011">
        <w:rPr>
          <w:rFonts w:asciiTheme="minorHAnsi" w:eastAsia="Arial Unicode MS" w:hAnsiTheme="minorHAnsi" w:cs="Arial Unicode MS"/>
          <w:lang w:val="es-ES"/>
        </w:rPr>
        <w:t>, s</w:t>
      </w:r>
      <w:r>
        <w:rPr>
          <w:rFonts w:asciiTheme="minorHAnsi" w:eastAsia="Arial Unicode MS" w:hAnsiTheme="minorHAnsi" w:cs="Arial Unicode MS"/>
        </w:rPr>
        <w:t xml:space="preserve">e </w:t>
      </w:r>
      <w:r w:rsidRPr="0017328A">
        <w:rPr>
          <w:rFonts w:asciiTheme="minorHAnsi" w:eastAsia="Arial Unicode MS" w:hAnsiTheme="minorHAnsi" w:cs="Arial Unicode MS"/>
        </w:rPr>
        <w:t xml:space="preserve">estudió lo solicitado determinándose con base al art. 62 inciso 2º que la misma ya está disponible al público la cual puede </w:t>
      </w:r>
      <w:r w:rsidR="00016778" w:rsidRPr="00016778">
        <w:rPr>
          <w:rFonts w:asciiTheme="minorHAnsi" w:eastAsia="Arial Unicode MS" w:hAnsiTheme="minorHAnsi" w:cs="Arial Unicode MS"/>
        </w:rPr>
        <w:t xml:space="preserve">consultarse, reproducirse </w:t>
      </w:r>
      <w:r w:rsidR="00016778">
        <w:rPr>
          <w:rFonts w:asciiTheme="minorHAnsi" w:eastAsia="Arial Unicode MS" w:hAnsiTheme="minorHAnsi" w:cs="Arial Unicode MS"/>
        </w:rPr>
        <w:t xml:space="preserve">descargarse, </w:t>
      </w:r>
      <w:r w:rsidR="00016778" w:rsidRPr="0017328A">
        <w:rPr>
          <w:rFonts w:asciiTheme="minorHAnsi" w:eastAsia="Arial Unicode MS" w:hAnsiTheme="minorHAnsi" w:cs="Arial Unicode MS"/>
        </w:rPr>
        <w:t xml:space="preserve">en la página web del MAG </w:t>
      </w:r>
      <w:r w:rsidR="00016778" w:rsidRPr="00016778">
        <w:rPr>
          <w:rFonts w:asciiTheme="minorHAnsi" w:eastAsia="Arial Unicode MS" w:hAnsiTheme="minorHAnsi" w:cs="Arial Unicode MS"/>
          <w:color w:val="000099"/>
        </w:rPr>
        <w:t>www.mag.gob.sv</w:t>
      </w:r>
      <w:r w:rsidR="00016778" w:rsidRPr="0017328A">
        <w:rPr>
          <w:rFonts w:asciiTheme="minorHAnsi" w:eastAsia="Arial Unicode MS" w:hAnsiTheme="minorHAnsi" w:cs="Arial Unicode MS"/>
        </w:rPr>
        <w:t>, en la siguiente sección:</w:t>
      </w:r>
    </w:p>
    <w:p w:rsidR="00016778" w:rsidRPr="00DD7011" w:rsidRDefault="00016778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96DC7" w:rsidRDefault="00C27E2E" w:rsidP="00B96DC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6DC7">
        <w:rPr>
          <w:rFonts w:asciiTheme="minorHAnsi" w:eastAsia="Arial Unicode MS" w:hAnsiTheme="minorHAnsi" w:cs="Arial Unicode MS"/>
          <w:i/>
          <w:color w:val="000099"/>
        </w:rPr>
        <w:t xml:space="preserve">Portal de Transparencia/Marco </w:t>
      </w:r>
      <w:r w:rsidR="00DD7011" w:rsidRPr="00B96DC7">
        <w:rPr>
          <w:rFonts w:asciiTheme="minorHAnsi" w:eastAsia="Arial Unicode MS" w:hAnsiTheme="minorHAnsi" w:cs="Arial Unicode MS"/>
          <w:i/>
          <w:color w:val="000099"/>
        </w:rPr>
        <w:t>de Gestión Estratégica/Directorio de Funcionarios</w:t>
      </w:r>
      <w:r w:rsidR="00B96DC7">
        <w:rPr>
          <w:rFonts w:asciiTheme="minorHAnsi" w:eastAsia="Arial Unicode MS" w:hAnsiTheme="minorHAnsi" w:cs="Arial Unicode MS"/>
        </w:rPr>
        <w:t>;</w:t>
      </w:r>
      <w:r w:rsidR="00DD7011">
        <w:rPr>
          <w:rFonts w:asciiTheme="minorHAnsi" w:eastAsia="Arial Unicode MS" w:hAnsiTheme="minorHAnsi" w:cs="Arial Unicode MS"/>
        </w:rPr>
        <w:t xml:space="preserve"> </w:t>
      </w:r>
      <w:r w:rsidR="00B96DC7">
        <w:rPr>
          <w:rFonts w:asciiTheme="minorHAnsi" w:eastAsia="Arial Unicode MS" w:hAnsiTheme="minorHAnsi" w:cs="Arial Unicode MS"/>
        </w:rPr>
        <w:t xml:space="preserve">o acceder a la siguiente dirección electrónica: </w:t>
      </w:r>
      <w:hyperlink r:id="rId9" w:history="1">
        <w:r w:rsidR="00B96DC7" w:rsidRPr="00C10BFD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http://publica.gobiernoabierto.gob.sv/institutions/ministerio-de-agricultura-y-ganaderia/information_standards/directorio-de-funcionari</w:t>
        </w:r>
      </w:hyperlink>
      <w:r w:rsidR="00B96DC7">
        <w:rPr>
          <w:rFonts w:asciiTheme="minorHAnsi" w:eastAsia="Arial Unicode MS" w:hAnsiTheme="minorHAnsi" w:cs="Arial Unicode MS"/>
        </w:rPr>
        <w:t>.</w:t>
      </w:r>
    </w:p>
    <w:p w:rsidR="00B96DC7" w:rsidRPr="00B96DC7" w:rsidRDefault="00B96DC7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17328A" w:rsidRPr="00016778" w:rsidRDefault="00B96DC7" w:rsidP="00B96DC7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</w:rPr>
        <w:t>P</w:t>
      </w:r>
      <w:r w:rsidR="0017328A" w:rsidRPr="0017328A">
        <w:rPr>
          <w:rFonts w:asciiTheme="minorHAnsi" w:eastAsia="Arial Unicode MS" w:hAnsiTheme="minorHAnsi" w:cs="Arial Unicode MS"/>
        </w:rPr>
        <w:t>or lo tanto resuelve:</w:t>
      </w:r>
      <w:r>
        <w:rPr>
          <w:rFonts w:asciiTheme="minorHAnsi" w:eastAsia="Arial Unicode MS" w:hAnsiTheme="minorHAnsi" w:cs="Arial Unicode MS"/>
        </w:rPr>
        <w:t xml:space="preserve"> </w:t>
      </w:r>
      <w:r w:rsidR="0017328A" w:rsidRPr="00016778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17328A" w:rsidRPr="0017328A" w:rsidRDefault="0017328A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44BBC" w:rsidRDefault="0093169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931693" w:rsidRPr="00944BBC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7A" w:rsidRDefault="00D2237A" w:rsidP="00F425A5">
      <w:pPr>
        <w:spacing w:after="0" w:line="240" w:lineRule="auto"/>
      </w:pPr>
      <w:r>
        <w:separator/>
      </w:r>
    </w:p>
  </w:endnote>
  <w:endnote w:type="continuationSeparator" w:id="0">
    <w:p w:rsidR="00D2237A" w:rsidRDefault="00D2237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677B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677B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677B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677B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7A" w:rsidRDefault="00D2237A" w:rsidP="00F425A5">
      <w:pPr>
        <w:spacing w:after="0" w:line="240" w:lineRule="auto"/>
      </w:pPr>
      <w:r>
        <w:separator/>
      </w:r>
    </w:p>
  </w:footnote>
  <w:footnote w:type="continuationSeparator" w:id="0">
    <w:p w:rsidR="00D2237A" w:rsidRDefault="00D2237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2CC2"/>
    <w:multiLevelType w:val="hybridMultilevel"/>
    <w:tmpl w:val="8A708D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865720"/>
    <w:multiLevelType w:val="hybridMultilevel"/>
    <w:tmpl w:val="6EEA9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A43CEB"/>
    <w:multiLevelType w:val="hybridMultilevel"/>
    <w:tmpl w:val="7C1847B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483A4E"/>
    <w:multiLevelType w:val="hybridMultilevel"/>
    <w:tmpl w:val="E5B4F0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093488"/>
    <w:multiLevelType w:val="hybridMultilevel"/>
    <w:tmpl w:val="08C603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43ACA"/>
    <w:multiLevelType w:val="hybridMultilevel"/>
    <w:tmpl w:val="20EC72F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C4A5A"/>
    <w:multiLevelType w:val="hybridMultilevel"/>
    <w:tmpl w:val="267EF1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71680"/>
    <w:multiLevelType w:val="hybridMultilevel"/>
    <w:tmpl w:val="B5506A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63FE0"/>
    <w:multiLevelType w:val="hybridMultilevel"/>
    <w:tmpl w:val="651655EE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ABD02CA"/>
    <w:multiLevelType w:val="hybridMultilevel"/>
    <w:tmpl w:val="2BEA2D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24"/>
  </w:num>
  <w:num w:numId="6">
    <w:abstractNumId w:val="13"/>
  </w:num>
  <w:num w:numId="7">
    <w:abstractNumId w:val="20"/>
  </w:num>
  <w:num w:numId="8">
    <w:abstractNumId w:val="1"/>
  </w:num>
  <w:num w:numId="9">
    <w:abstractNumId w:val="28"/>
  </w:num>
  <w:num w:numId="10">
    <w:abstractNumId w:val="23"/>
  </w:num>
  <w:num w:numId="11">
    <w:abstractNumId w:val="10"/>
  </w:num>
  <w:num w:numId="12">
    <w:abstractNumId w:val="17"/>
  </w:num>
  <w:num w:numId="13">
    <w:abstractNumId w:val="25"/>
  </w:num>
  <w:num w:numId="14">
    <w:abstractNumId w:val="2"/>
  </w:num>
  <w:num w:numId="15">
    <w:abstractNumId w:val="21"/>
  </w:num>
  <w:num w:numId="16">
    <w:abstractNumId w:val="22"/>
  </w:num>
  <w:num w:numId="17">
    <w:abstractNumId w:val="3"/>
  </w:num>
  <w:num w:numId="18">
    <w:abstractNumId w:val="8"/>
  </w:num>
  <w:num w:numId="19">
    <w:abstractNumId w:val="19"/>
  </w:num>
  <w:num w:numId="20">
    <w:abstractNumId w:val="6"/>
  </w:num>
  <w:num w:numId="21">
    <w:abstractNumId w:val="12"/>
  </w:num>
  <w:num w:numId="22">
    <w:abstractNumId w:val="16"/>
  </w:num>
  <w:num w:numId="23">
    <w:abstractNumId w:val="4"/>
  </w:num>
  <w:num w:numId="24">
    <w:abstractNumId w:val="27"/>
  </w:num>
  <w:num w:numId="25">
    <w:abstractNumId w:val="7"/>
  </w:num>
  <w:num w:numId="26">
    <w:abstractNumId w:val="26"/>
  </w:num>
  <w:num w:numId="27">
    <w:abstractNumId w:val="29"/>
  </w:num>
  <w:num w:numId="28">
    <w:abstractNumId w:val="11"/>
  </w:num>
  <w:num w:numId="29">
    <w:abstractNumId w:val="18"/>
  </w:num>
  <w:num w:numId="3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778"/>
    <w:rsid w:val="00021DEC"/>
    <w:rsid w:val="00022615"/>
    <w:rsid w:val="00023CF8"/>
    <w:rsid w:val="000250C5"/>
    <w:rsid w:val="00026CA6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CE0"/>
    <w:rsid w:val="0008686D"/>
    <w:rsid w:val="00087127"/>
    <w:rsid w:val="00094536"/>
    <w:rsid w:val="000A483F"/>
    <w:rsid w:val="000A4CBF"/>
    <w:rsid w:val="000B0877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2CA9"/>
    <w:rsid w:val="00113F89"/>
    <w:rsid w:val="00115811"/>
    <w:rsid w:val="00115AC5"/>
    <w:rsid w:val="00117396"/>
    <w:rsid w:val="001173B9"/>
    <w:rsid w:val="00123F84"/>
    <w:rsid w:val="001256ED"/>
    <w:rsid w:val="00126EED"/>
    <w:rsid w:val="00127BC8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28A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02DD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66B9"/>
    <w:rsid w:val="003E7751"/>
    <w:rsid w:val="003E7F5E"/>
    <w:rsid w:val="003F2FF0"/>
    <w:rsid w:val="003F3BD3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3C8F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96360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6FD1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0ED2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308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4670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77B2"/>
    <w:rsid w:val="00B70104"/>
    <w:rsid w:val="00B71B7B"/>
    <w:rsid w:val="00B77D4A"/>
    <w:rsid w:val="00B86E15"/>
    <w:rsid w:val="00B96DC7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39B1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E2E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68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2237A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51A"/>
    <w:rsid w:val="00D72D7A"/>
    <w:rsid w:val="00D73729"/>
    <w:rsid w:val="00D80533"/>
    <w:rsid w:val="00D80DFA"/>
    <w:rsid w:val="00D85A12"/>
    <w:rsid w:val="00D91AE0"/>
    <w:rsid w:val="00D91DB8"/>
    <w:rsid w:val="00D95AF5"/>
    <w:rsid w:val="00DA19FE"/>
    <w:rsid w:val="00DA2A29"/>
    <w:rsid w:val="00DA62AD"/>
    <w:rsid w:val="00DC039E"/>
    <w:rsid w:val="00DC09E1"/>
    <w:rsid w:val="00DC3256"/>
    <w:rsid w:val="00DC416F"/>
    <w:rsid w:val="00DC4C0A"/>
    <w:rsid w:val="00DC784C"/>
    <w:rsid w:val="00DD1DB3"/>
    <w:rsid w:val="00DD51AE"/>
    <w:rsid w:val="00DD7011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4E1B"/>
    <w:rsid w:val="00E65032"/>
    <w:rsid w:val="00E670ED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2AA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.gobiernoabierto.gob.sv/institutions/ministerio-de-agricultura-y-ganaderia/information_standards/directorio-de-funcionar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5A0D0-A9AD-4EBD-AF15-5C24CA08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2016-05-03T00:37:00Z</cp:lastPrinted>
  <dcterms:created xsi:type="dcterms:W3CDTF">2016-05-03T00:37:00Z</dcterms:created>
  <dcterms:modified xsi:type="dcterms:W3CDTF">2016-05-03T00:38:00Z</dcterms:modified>
</cp:coreProperties>
</file>