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FB" w:rsidRDefault="005741FB" w:rsidP="003E5914">
      <w:pPr>
        <w:spacing w:after="0" w:line="240" w:lineRule="auto"/>
        <w:jc w:val="center"/>
        <w:rPr>
          <w:rFonts w:asciiTheme="minorHAnsi" w:eastAsia="Arial Unicode MS" w:hAnsiTheme="minorHAnsi" w:cs="Arial Unicode MS"/>
          <w:b/>
          <w:color w:val="000099"/>
          <w:sz w:val="28"/>
        </w:rPr>
      </w:pPr>
    </w:p>
    <w:p w:rsidR="007366A8" w:rsidRDefault="007366A8" w:rsidP="007366A8">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proofErr w:type="spellStart"/>
      <w:r>
        <w:rPr>
          <w:rFonts w:asciiTheme="minorHAnsi" w:eastAsia="Arial Unicode MS" w:hAnsiTheme="minorHAnsi" w:cstheme="majorBidi"/>
          <w:b/>
          <w:bCs/>
          <w:color w:val="C00000"/>
          <w:sz w:val="18"/>
          <w:szCs w:val="28"/>
          <w:lang w:eastAsia="en-US"/>
        </w:rPr>
        <w:t>pa</w:t>
      </w:r>
      <w:r>
        <w:rPr>
          <w:rFonts w:asciiTheme="minorHAnsi" w:eastAsia="Arial Unicode MS" w:hAnsiTheme="minorHAnsi" w:cstheme="majorBidi"/>
          <w:b/>
          <w:bCs/>
          <w:color w:val="C00000"/>
          <w:sz w:val="18"/>
          <w:szCs w:val="28"/>
          <w:lang w:eastAsia="en-US"/>
        </w:rPr>
        <w:t>g</w:t>
      </w:r>
      <w:proofErr w:type="spellEnd"/>
      <w:r>
        <w:rPr>
          <w:rFonts w:asciiTheme="minorHAnsi" w:eastAsia="Arial Unicode MS" w:hAnsiTheme="minorHAnsi" w:cstheme="majorBidi"/>
          <w:b/>
          <w:bCs/>
          <w:color w:val="C00000"/>
          <w:sz w:val="18"/>
          <w:szCs w:val="28"/>
          <w:lang w:eastAsia="en-US"/>
        </w:rPr>
        <w:t xml:space="preserve"> 2 </w:t>
      </w:r>
      <w:bookmarkStart w:id="0" w:name="_GoBack"/>
      <w:bookmarkEnd w:id="0"/>
      <w:r>
        <w:rPr>
          <w:rFonts w:asciiTheme="minorHAnsi" w:eastAsia="Arial Unicode MS" w:hAnsiTheme="minorHAnsi" w:cstheme="majorBidi"/>
          <w:b/>
          <w:bCs/>
          <w:color w:val="C00000"/>
          <w:sz w:val="18"/>
          <w:szCs w:val="28"/>
          <w:lang w:eastAsia="en-US"/>
        </w:rPr>
        <w:t xml:space="preserve"> de la presente resolución</w:t>
      </w: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w:t>
      </w:r>
      <w:r w:rsidR="005741FB">
        <w:rPr>
          <w:rFonts w:asciiTheme="minorHAnsi" w:eastAsia="Arial Unicode MS" w:hAnsiTheme="minorHAnsi" w:cs="Arial Unicode MS"/>
          <w:b/>
          <w:color w:val="000099"/>
          <w:sz w:val="28"/>
        </w:rPr>
        <w:t>I</w:t>
      </w:r>
      <w:r w:rsidR="00A6281C" w:rsidRPr="00733C02">
        <w:rPr>
          <w:rFonts w:asciiTheme="minorHAnsi" w:eastAsia="Arial Unicode MS" w:hAnsiTheme="minorHAnsi" w:cs="Arial Unicode MS"/>
          <w:b/>
          <w:color w:val="000099"/>
          <w:sz w:val="28"/>
        </w:rPr>
        <w:t xml:space="preserve">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5741FB">
        <w:rPr>
          <w:rFonts w:asciiTheme="minorHAnsi" w:eastAsia="Arial Unicode MS" w:hAnsiTheme="minorHAnsi" w:cs="Arial Unicode MS"/>
          <w:b/>
          <w:color w:val="000099"/>
          <w:sz w:val="28"/>
        </w:rPr>
        <w:t>80</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DE3698" w:rsidRDefault="00714AA6" w:rsidP="00DE3698">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B70104" w:rsidRPr="003E5914">
        <w:rPr>
          <w:rFonts w:asciiTheme="minorHAnsi" w:eastAsia="Arial Unicode MS" w:hAnsiTheme="minorHAnsi" w:cs="Arial Unicode MS"/>
        </w:rPr>
        <w:t xml:space="preserve">departamento de La </w:t>
      </w:r>
      <w:r w:rsidR="00B70104" w:rsidRPr="00B57747">
        <w:rPr>
          <w:rFonts w:asciiTheme="minorHAnsi" w:eastAsia="Arial Unicode MS" w:hAnsiTheme="minorHAnsi" w:cs="Arial Unicode MS"/>
        </w:rPr>
        <w:t xml:space="preserve">Libertad </w:t>
      </w:r>
      <w:r w:rsidRPr="00B57747">
        <w:rPr>
          <w:rFonts w:asciiTheme="minorHAnsi" w:eastAsia="Arial Unicode MS" w:hAnsiTheme="minorHAnsi" w:cs="Arial Unicode MS"/>
        </w:rPr>
        <w:t xml:space="preserve">a las </w:t>
      </w:r>
      <w:r w:rsidR="005741FB">
        <w:rPr>
          <w:rFonts w:asciiTheme="minorHAnsi" w:eastAsia="Arial Unicode MS" w:hAnsiTheme="minorHAnsi" w:cs="Arial Unicode MS"/>
          <w:color w:val="000099"/>
        </w:rPr>
        <w:t xml:space="preserve">dieciséis </w:t>
      </w:r>
      <w:r w:rsidRPr="00B57747">
        <w:rPr>
          <w:rFonts w:asciiTheme="minorHAnsi" w:eastAsia="Arial Unicode MS" w:hAnsiTheme="minorHAnsi" w:cs="Arial Unicode MS"/>
          <w:color w:val="000099"/>
        </w:rPr>
        <w:t>horas</w:t>
      </w:r>
      <w:r w:rsidR="0033497B" w:rsidRPr="00B57747">
        <w:rPr>
          <w:rFonts w:asciiTheme="minorHAnsi" w:eastAsia="Arial Unicode MS" w:hAnsiTheme="minorHAnsi" w:cs="Arial Unicode MS"/>
          <w:color w:val="000099"/>
        </w:rPr>
        <w:t xml:space="preserve"> </w:t>
      </w:r>
      <w:r w:rsidRPr="00B57747">
        <w:rPr>
          <w:rFonts w:asciiTheme="minorHAnsi" w:eastAsia="Arial Unicode MS" w:hAnsiTheme="minorHAnsi" w:cs="Arial Unicode MS"/>
          <w:color w:val="000099"/>
        </w:rPr>
        <w:t>del día</w:t>
      </w:r>
      <w:r w:rsidR="00DE3698" w:rsidRPr="00B57747">
        <w:rPr>
          <w:rFonts w:asciiTheme="minorHAnsi" w:eastAsia="Arial Unicode MS" w:hAnsiTheme="minorHAnsi" w:cs="Arial Unicode MS"/>
          <w:color w:val="000099"/>
        </w:rPr>
        <w:t xml:space="preserve"> </w:t>
      </w:r>
      <w:r w:rsidR="005741FB">
        <w:rPr>
          <w:rFonts w:asciiTheme="minorHAnsi" w:eastAsia="Arial Unicode MS" w:hAnsiTheme="minorHAnsi" w:cs="Arial Unicode MS"/>
          <w:color w:val="000099"/>
        </w:rPr>
        <w:t>dos de mayo</w:t>
      </w:r>
      <w:r w:rsidR="007607EB" w:rsidRPr="00B57747">
        <w:rPr>
          <w:rFonts w:asciiTheme="minorHAnsi" w:eastAsia="Arial Unicode MS" w:hAnsiTheme="minorHAnsi" w:cs="Arial Unicode MS"/>
          <w:color w:val="000099"/>
        </w:rPr>
        <w:t xml:space="preserve"> </w:t>
      </w:r>
      <w:r w:rsidRPr="00B57747">
        <w:rPr>
          <w:rFonts w:asciiTheme="minorHAnsi" w:eastAsia="Arial Unicode MS" w:hAnsiTheme="minorHAnsi" w:cs="Arial Unicode MS"/>
          <w:color w:val="000099"/>
        </w:rPr>
        <w:t>de 201</w:t>
      </w:r>
      <w:r w:rsidR="00DE3698" w:rsidRPr="00B57747">
        <w:rPr>
          <w:rFonts w:asciiTheme="minorHAnsi" w:eastAsia="Arial Unicode MS" w:hAnsiTheme="minorHAnsi" w:cs="Arial Unicode MS"/>
          <w:color w:val="000099"/>
        </w:rPr>
        <w:t>6</w:t>
      </w:r>
      <w:r w:rsidRPr="00B57747">
        <w:rPr>
          <w:rFonts w:asciiTheme="minorHAnsi" w:eastAsia="Arial Unicode MS" w:hAnsiTheme="minorHAnsi" w:cs="Arial Unicode MS"/>
        </w:rPr>
        <w:t>, el Ministerio</w:t>
      </w:r>
      <w:r w:rsidRPr="003E5914">
        <w:rPr>
          <w:rFonts w:asciiTheme="minorHAnsi" w:eastAsia="Arial Unicode MS" w:hAnsiTheme="minorHAnsi" w:cs="Arial Unicode MS"/>
        </w:rPr>
        <w:t xml:space="preserve"> de Agricultura y Ganadería luego de haber recibido y admitido la solicitud de información</w:t>
      </w:r>
      <w:r w:rsidR="009C6B93" w:rsidRPr="003E5914">
        <w:rPr>
          <w:rFonts w:asciiTheme="minorHAnsi" w:eastAsia="Arial Unicode MS" w:hAnsiTheme="minorHAnsi" w:cs="Arial Unicode MS"/>
        </w:rPr>
        <w:t xml:space="preserve"> </w:t>
      </w:r>
      <w:r w:rsidRPr="002C71C9">
        <w:rPr>
          <w:rFonts w:asciiTheme="minorHAnsi" w:eastAsia="Arial Unicode MS" w:hAnsiTheme="minorHAnsi" w:cs="Arial Unicode MS"/>
          <w:b/>
          <w:color w:val="000099"/>
        </w:rPr>
        <w:t xml:space="preserve">No. </w:t>
      </w:r>
      <w:r w:rsidR="00DE3698">
        <w:rPr>
          <w:rFonts w:asciiTheme="minorHAnsi" w:eastAsia="Arial Unicode MS" w:hAnsiTheme="minorHAnsi" w:cs="Arial Unicode MS"/>
          <w:b/>
          <w:color w:val="000099"/>
        </w:rPr>
        <w:t>0</w:t>
      </w:r>
      <w:r w:rsidR="005741FB">
        <w:rPr>
          <w:rFonts w:asciiTheme="minorHAnsi" w:eastAsia="Arial Unicode MS" w:hAnsiTheme="minorHAnsi" w:cs="Arial Unicode MS"/>
          <w:b/>
          <w:color w:val="000099"/>
        </w:rPr>
        <w:t>80</w:t>
      </w:r>
      <w:r w:rsidR="009F7AF7">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5741FB" w:rsidRDefault="005741FB" w:rsidP="005741FB">
      <w:pPr>
        <w:autoSpaceDE w:val="0"/>
        <w:autoSpaceDN w:val="0"/>
        <w:adjustRightInd w:val="0"/>
        <w:spacing w:after="0" w:line="240" w:lineRule="auto"/>
        <w:rPr>
          <w:rFonts w:eastAsia="Calibri"/>
          <w:b/>
          <w:bCs/>
          <w:lang w:eastAsia="en-US"/>
        </w:rPr>
      </w:pP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Proporcionarme respuesta (Si o No) a cada una de las preguntas que a continuación se detalla, cada respuesta positiva deberá sustentarse con la documentación legal o técnica que compruebe la afirmación. Por ejemplo, para la pregunta uno, si se asignaron recursos al MAG para realizar análisis de riesgo de desastres que pueden ser verificados a través de instrumentos de clasificación presupuestal, adjuntar el documento del presupuesto aprobado por la Asamblea Legislativa (con el sello que garantice que es oficial) donde se evidencie que fueron otorgados los fondos a través de instrumentos de clasificación presupuestal. Los documentos se requieren en formato PDF. Última vigencia fiscal: 2015.</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Preguntas</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1. ¿En la última vigencia fiscal, se asignaron recursos a! Ministerio de Agricultura para realizar análisis de riesgo de desastres que pueden ser verificados a través de instrumentos de clasificación presupuestal?</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2. ¿En la última vigencia fiscal, se asignaron recursos al Ministerio de Agricultura para realizar actividades de reducción del riesgo de desastres que pueden ser verificados a través de instrumentos de clasificación presupuestal?</w:t>
      </w:r>
    </w:p>
    <w:p w:rsidR="005741FB" w:rsidRPr="005741FB" w:rsidRDefault="005741FB" w:rsidP="005741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sz w:val="24"/>
          <w:szCs w:val="24"/>
          <w:lang w:eastAsia="en-US"/>
        </w:rPr>
      </w:pPr>
      <w:r w:rsidRPr="005741FB">
        <w:rPr>
          <w:rFonts w:eastAsia="Calibri"/>
          <w:bCs/>
          <w:color w:val="000099"/>
          <w:lang w:eastAsia="en-US"/>
        </w:rPr>
        <w:t>3. ¿Cuenta el sector agricultura con un Plan Nacional de Emergencias o contingencia o continuidad de operaciones o equivalente que haya sido aprobado formalmente al menos en los últimos 5 años y su entidad coordinadora o rectora ha recibido recursos para la preparación en caso de desastres en la última vivencia fiscal?</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 xml:space="preserve">4. </w:t>
      </w:r>
      <w:r w:rsidRPr="005741FB">
        <w:rPr>
          <w:rFonts w:eastAsia="Calibri"/>
          <w:bCs/>
          <w:color w:val="000099"/>
          <w:lang w:eastAsia="en-US"/>
        </w:rPr>
        <w:t>¿Las entidades nacionales encargadas de la preparación y la respuesta, han adoptado estándares de calidad en la asistencia humanitaria al menos en relación con agua, saneamiento, nutrición y albergue temporal?</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5. ¿Cuenta el Ministerio de Agricultura (o entidad equivalente) con un Plan ex ante de recuperación post desastre para su sector que haya sido aprobado formalmente al menos en los últimos 5 años?</w:t>
      </w:r>
    </w:p>
    <w:p w:rsidR="005741FB" w:rsidRPr="005741FB" w:rsidRDefault="005741FB" w:rsidP="005741FB">
      <w:pPr>
        <w:autoSpaceDE w:val="0"/>
        <w:autoSpaceDN w:val="0"/>
        <w:adjustRightInd w:val="0"/>
        <w:spacing w:after="0" w:line="240" w:lineRule="auto"/>
        <w:jc w:val="both"/>
        <w:rPr>
          <w:rFonts w:eastAsia="Calibri"/>
          <w:color w:val="000099"/>
          <w:lang w:eastAsia="en-US"/>
        </w:rPr>
      </w:pPr>
      <w:r w:rsidRPr="005741FB">
        <w:rPr>
          <w:rFonts w:eastAsia="Calibri"/>
          <w:bCs/>
          <w:color w:val="000099"/>
          <w:lang w:eastAsia="en-US"/>
        </w:rPr>
        <w:t>6. ¿El Ministerio o Secretaría de Planificación del Desarrollo Nacional, o el Ministerio de Hacienda, Finanzas o Economía, o la Entidad encargada de la Gestión del Riesgo de Desastres o el sector Agricultura, cuenta con al menos un instrumento financiero diseñado ex ante para incentivar la reactivación económica en áreas afectadas por desastres?</w:t>
      </w:r>
    </w:p>
    <w:p w:rsidR="005741FB" w:rsidRPr="005741FB" w:rsidRDefault="005741FB" w:rsidP="005741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bCs/>
          <w:color w:val="000099"/>
          <w:lang w:eastAsia="en-US"/>
        </w:rPr>
      </w:pPr>
      <w:r w:rsidRPr="005741FB">
        <w:rPr>
          <w:rFonts w:eastAsia="Calibri"/>
          <w:bCs/>
          <w:color w:val="000099"/>
          <w:lang w:eastAsia="en-US"/>
        </w:rPr>
        <w:t>7. ¿El Ministerio de Agricultura tiene una estructura de protección financiera del sector agricultura (o equivalente) frente al riesgo de desastres?</w:t>
      </w:r>
    </w:p>
    <w:p w:rsidR="005741FB" w:rsidRDefault="005741FB" w:rsidP="005741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Calibri"/>
          <w:bCs/>
          <w:color w:val="000099"/>
          <w:lang w:eastAsia="en-US"/>
        </w:rPr>
      </w:pPr>
    </w:p>
    <w:p w:rsidR="005741FB" w:rsidRPr="005741FB" w:rsidRDefault="005741FB" w:rsidP="005741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Calibri"/>
          <w:color w:val="000099"/>
          <w:sz w:val="24"/>
          <w:szCs w:val="24"/>
        </w:rPr>
      </w:pPr>
    </w:p>
    <w:p w:rsidR="002C5FD4" w:rsidRPr="005741FB" w:rsidRDefault="00BE0B9D" w:rsidP="005741FB">
      <w:pPr>
        <w:pStyle w:val="Default"/>
        <w:jc w:val="both"/>
        <w:rPr>
          <w:rFonts w:asciiTheme="minorHAnsi" w:eastAsia="Arial Unicode MS" w:hAnsiTheme="minorHAnsi" w:cs="Arial Unicode MS"/>
          <w:sz w:val="22"/>
          <w:szCs w:val="22"/>
        </w:rPr>
      </w:pPr>
      <w:r w:rsidRPr="005741FB">
        <w:rPr>
          <w:rFonts w:asciiTheme="minorHAnsi" w:eastAsia="Arial Unicode MS" w:hAnsiTheme="minorHAnsi" w:cs="Arial Unicode MS"/>
          <w:sz w:val="22"/>
          <w:szCs w:val="22"/>
        </w:rPr>
        <w:t>P</w:t>
      </w:r>
      <w:r w:rsidR="00EE4B7D" w:rsidRPr="005741FB">
        <w:rPr>
          <w:rFonts w:asciiTheme="minorHAnsi" w:eastAsia="Arial Unicode MS" w:hAnsiTheme="minorHAnsi" w:cs="Arial Unicode MS"/>
          <w:sz w:val="22"/>
          <w:szCs w:val="22"/>
        </w:rPr>
        <w:t>resentada ante la Oficina de Información y Respuesta de esta dependencia por parte de</w:t>
      </w:r>
      <w:r w:rsidR="005741FB" w:rsidRPr="005741FB">
        <w:rPr>
          <w:rFonts w:asciiTheme="minorHAnsi" w:eastAsia="Arial Unicode MS" w:hAnsiTheme="minorHAnsi" w:cs="Arial Unicode MS"/>
          <w:color w:val="000099"/>
          <w:sz w:val="22"/>
          <w:szCs w:val="22"/>
        </w:rPr>
        <w:t xml:space="preserve">: </w:t>
      </w:r>
      <w:r w:rsidR="005741FB" w:rsidRPr="005741FB">
        <w:rPr>
          <w:rFonts w:eastAsia="Calibri"/>
          <w:b/>
          <w:bCs/>
          <w:color w:val="000099"/>
          <w:sz w:val="22"/>
          <w:szCs w:val="22"/>
          <w:lang w:eastAsia="en-US"/>
        </w:rPr>
        <w:t>ELDA GUADALUPE VÁSQUEZ DE GODOY</w:t>
      </w:r>
      <w:r w:rsidR="00DE3698" w:rsidRPr="005741FB">
        <w:rPr>
          <w:b/>
          <w:color w:val="000099"/>
          <w:sz w:val="22"/>
          <w:szCs w:val="22"/>
        </w:rPr>
        <w:t xml:space="preserve">, </w:t>
      </w:r>
      <w:r w:rsidR="00326E1B" w:rsidRPr="005741FB">
        <w:rPr>
          <w:rFonts w:asciiTheme="minorHAnsi" w:eastAsia="Arial Unicode MS" w:hAnsiTheme="minorHAnsi" w:cs="Arial Unicode MS"/>
          <w:sz w:val="22"/>
          <w:szCs w:val="22"/>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326E1B" w:rsidRPr="005741FB">
        <w:rPr>
          <w:rFonts w:asciiTheme="minorHAnsi" w:eastAsia="Arial Unicode MS" w:hAnsiTheme="minorHAnsi" w:cs="Arial Unicode MS"/>
          <w:sz w:val="22"/>
          <w:szCs w:val="22"/>
        </w:rPr>
        <w:t>resuelve</w:t>
      </w:r>
      <w:proofErr w:type="gramEnd"/>
      <w:r w:rsidR="00326E1B" w:rsidRPr="005741FB">
        <w:rPr>
          <w:rFonts w:asciiTheme="minorHAnsi" w:eastAsia="Arial Unicode MS" w:hAnsiTheme="minorHAnsi" w:cs="Arial Unicode MS"/>
          <w:sz w:val="22"/>
          <w:szCs w:val="22"/>
        </w:rPr>
        <w:t xml:space="preserve">: </w:t>
      </w:r>
    </w:p>
    <w:p w:rsidR="002C5FD4" w:rsidRPr="005741FB" w:rsidRDefault="002C5FD4" w:rsidP="002C5FD4">
      <w:pPr>
        <w:spacing w:after="0" w:line="240" w:lineRule="auto"/>
        <w:jc w:val="both"/>
        <w:rPr>
          <w:rFonts w:asciiTheme="minorHAnsi" w:eastAsia="Arial Unicode MS" w:hAnsiTheme="minorHAnsi" w:cs="Arial Unicode MS"/>
        </w:rPr>
      </w:pPr>
    </w:p>
    <w:p w:rsidR="0033497B" w:rsidRPr="005741FB" w:rsidRDefault="00326E1B" w:rsidP="002C5FD4">
      <w:pPr>
        <w:spacing w:after="0" w:line="240" w:lineRule="auto"/>
        <w:jc w:val="center"/>
        <w:rPr>
          <w:rFonts w:asciiTheme="minorHAnsi" w:eastAsia="Arial Unicode MS" w:hAnsiTheme="minorHAnsi" w:cs="Arial Unicode MS"/>
          <w:color w:val="000099"/>
          <w:sz w:val="24"/>
        </w:rPr>
      </w:pPr>
      <w:r w:rsidRPr="005741FB">
        <w:rPr>
          <w:rFonts w:asciiTheme="minorHAnsi" w:eastAsia="Arial Unicode MS" w:hAnsiTheme="minorHAnsi" w:cs="Arial Unicode MS"/>
          <w:b/>
          <w:color w:val="000099"/>
          <w:sz w:val="24"/>
        </w:rPr>
        <w:t>PROPORCIONAR LA</w:t>
      </w:r>
      <w:r w:rsidR="00E74110" w:rsidRPr="005741FB">
        <w:rPr>
          <w:rFonts w:asciiTheme="minorHAnsi" w:eastAsia="Arial Unicode MS" w:hAnsiTheme="minorHAnsi" w:cs="Arial Unicode MS"/>
          <w:b/>
          <w:color w:val="000099"/>
          <w:sz w:val="24"/>
        </w:rPr>
        <w:t xml:space="preserve"> INFORMACIÓN PÚBLICA SOLICITADA</w:t>
      </w:r>
    </w:p>
    <w:p w:rsidR="00C22C53" w:rsidRPr="005741FB" w:rsidRDefault="00C22C53" w:rsidP="002C5FD4">
      <w:pPr>
        <w:spacing w:after="0" w:line="240" w:lineRule="auto"/>
        <w:jc w:val="center"/>
        <w:rPr>
          <w:rFonts w:asciiTheme="minorHAnsi" w:eastAsia="Arial Unicode MS" w:hAnsiTheme="minorHAnsi" w:cs="Arial Unicode MS"/>
          <w:color w:val="000099"/>
        </w:rPr>
      </w:pPr>
    </w:p>
    <w:p w:rsidR="005741FB" w:rsidRDefault="00326E1B" w:rsidP="007607EB">
      <w:pPr>
        <w:spacing w:after="0" w:line="240" w:lineRule="auto"/>
        <w:jc w:val="both"/>
        <w:rPr>
          <w:rFonts w:asciiTheme="minorHAnsi" w:eastAsia="Arial Unicode MS" w:hAnsiTheme="minorHAnsi" w:cs="Arial Unicode MS"/>
        </w:rPr>
      </w:pPr>
      <w:r w:rsidRPr="005741FB">
        <w:rPr>
          <w:rFonts w:asciiTheme="minorHAnsi" w:eastAsia="Arial Unicode MS" w:hAnsiTheme="minorHAnsi" w:cs="Arial Unicode MS"/>
        </w:rPr>
        <w:t>S</w:t>
      </w:r>
      <w:r w:rsidR="00DE3698" w:rsidRPr="005741FB">
        <w:rPr>
          <w:rFonts w:asciiTheme="minorHAnsi" w:eastAsia="Arial Unicode MS" w:hAnsiTheme="minorHAnsi" w:cs="Arial Unicode MS"/>
        </w:rPr>
        <w:t xml:space="preserve">e adjunta </w:t>
      </w:r>
      <w:r w:rsidR="00756275" w:rsidRPr="005741FB">
        <w:rPr>
          <w:rFonts w:asciiTheme="minorHAnsi" w:eastAsia="Arial Unicode MS" w:hAnsiTheme="minorHAnsi" w:cs="Arial Unicode MS"/>
        </w:rPr>
        <w:t xml:space="preserve">a la presente resolución </w:t>
      </w:r>
      <w:r w:rsidR="00E415CA" w:rsidRPr="005741FB">
        <w:rPr>
          <w:rFonts w:asciiTheme="minorHAnsi" w:eastAsia="Arial Unicode MS" w:hAnsiTheme="minorHAnsi" w:cs="Arial Unicode MS"/>
        </w:rPr>
        <w:t xml:space="preserve">información </w:t>
      </w:r>
      <w:r w:rsidR="005741FB">
        <w:rPr>
          <w:rFonts w:asciiTheme="minorHAnsi" w:eastAsia="Arial Unicode MS" w:hAnsiTheme="minorHAnsi" w:cs="Arial Unicode MS"/>
        </w:rPr>
        <w:t xml:space="preserve">contenida 7 archivos </w:t>
      </w:r>
      <w:r w:rsidR="009328B8" w:rsidRPr="005741FB">
        <w:rPr>
          <w:rFonts w:asciiTheme="minorHAnsi" w:eastAsia="Arial Unicode MS" w:hAnsiTheme="minorHAnsi" w:cs="Arial Unicode MS"/>
        </w:rPr>
        <w:t xml:space="preserve">en </w:t>
      </w:r>
      <w:r w:rsidR="00E415CA" w:rsidRPr="005741FB">
        <w:rPr>
          <w:rFonts w:asciiTheme="minorHAnsi" w:eastAsia="Arial Unicode MS" w:hAnsiTheme="minorHAnsi" w:cs="Arial Unicode MS"/>
        </w:rPr>
        <w:t>formato PDF</w:t>
      </w:r>
      <w:r w:rsidR="005741FB">
        <w:rPr>
          <w:rFonts w:asciiTheme="minorHAnsi" w:eastAsia="Arial Unicode MS" w:hAnsiTheme="minorHAnsi" w:cs="Arial Unicode MS"/>
        </w:rPr>
        <w:t xml:space="preserve"> y 1 en formato Word sobre:</w:t>
      </w:r>
    </w:p>
    <w:p w:rsidR="005741FB" w:rsidRDefault="005741FB" w:rsidP="007607EB">
      <w:pPr>
        <w:spacing w:after="0" w:line="240" w:lineRule="auto"/>
        <w:jc w:val="both"/>
        <w:rPr>
          <w:rFonts w:asciiTheme="minorHAnsi" w:eastAsia="Arial Unicode MS" w:hAnsiTheme="minorHAnsi" w:cs="Arial Unicode MS"/>
        </w:rPr>
      </w:pPr>
    </w:p>
    <w:p w:rsidR="005741FB" w:rsidRPr="00AD07EB" w:rsidRDefault="005741FB"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Respuestas al cuestionario arriba descrito</w:t>
      </w:r>
    </w:p>
    <w:p w:rsidR="00BF0A9F" w:rsidRPr="00AD07EB" w:rsidRDefault="00BF0A9F"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Plan de Acción del Proyecto Instalación de Módulos de Riego para el Incremento de la Producción en los departamentos de San Miguel y La Unión afectados por la Sequía</w:t>
      </w:r>
    </w:p>
    <w:p w:rsidR="005741FB" w:rsidRPr="00AD07EB" w:rsidRDefault="005741FB"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Acuerdo N° 1178 de noviembre de 2011 modificación a la Ley de Presupuesto</w:t>
      </w:r>
    </w:p>
    <w:p w:rsidR="00931693" w:rsidRPr="00AD07EB" w:rsidRDefault="00BF0A9F"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Perfil del Proyecto Código 40708 “Compra y Entrega de Paquetes Alimenticios a Familias de Pequeños Productores y Productoras de Granos Básicos de Subsistencia en Municipios de la Región Oriental del País, Afectados por la Sequía</w:t>
      </w:r>
      <w:r w:rsidR="00AD07EB">
        <w:rPr>
          <w:rFonts w:asciiTheme="minorHAnsi" w:eastAsia="Arial Unicode MS" w:hAnsiTheme="minorHAnsi" w:cs="Arial Unicode MS"/>
          <w:color w:val="000099"/>
        </w:rPr>
        <w:t>”</w:t>
      </w:r>
      <w:r w:rsidRPr="00AD07EB">
        <w:rPr>
          <w:rFonts w:asciiTheme="minorHAnsi" w:eastAsia="Arial Unicode MS" w:hAnsiTheme="minorHAnsi" w:cs="Arial Unicode MS"/>
          <w:color w:val="000099"/>
        </w:rPr>
        <w:t xml:space="preserve"> y nota para la OPPS de la DGFCR N° MAG/DGFCR/DG/859/15</w:t>
      </w:r>
    </w:p>
    <w:p w:rsidR="00BF0A9F" w:rsidRPr="00AD07EB" w:rsidRDefault="00BF0A9F"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Proyecto Adquisición y Entrega de Paquetes de Alimentos a Familias de Productores Agropecuarios de los departamentos del corredor seco y otras zonas afectadas por la sequía en el marco de apoyo a la seguridad alimentaria y nutricional.</w:t>
      </w:r>
    </w:p>
    <w:p w:rsidR="00BF0A9F" w:rsidRPr="00AD07EB" w:rsidRDefault="00AD07EB" w:rsidP="00BF0A9F">
      <w:pPr>
        <w:pStyle w:val="Prrafodelista"/>
        <w:numPr>
          <w:ilvl w:val="0"/>
          <w:numId w:val="22"/>
        </w:numPr>
        <w:spacing w:after="0" w:line="240" w:lineRule="auto"/>
        <w:jc w:val="both"/>
        <w:rPr>
          <w:rFonts w:asciiTheme="minorHAnsi" w:eastAsia="Arial Unicode MS" w:hAnsiTheme="minorHAnsi" w:cs="Arial Unicode MS"/>
          <w:color w:val="000099"/>
        </w:rPr>
      </w:pPr>
      <w:r w:rsidRPr="00AD07EB">
        <w:rPr>
          <w:rFonts w:asciiTheme="minorHAnsi" w:eastAsia="Arial Unicode MS" w:hAnsiTheme="minorHAnsi" w:cs="Arial Unicode MS"/>
          <w:color w:val="000099"/>
        </w:rPr>
        <w:t>Perfil de Proyecto Atención, Prevención y Mitigación de los efectos del Cambio Climático a productores agropecuarios en municipios del Corredor Seco y otras zonas afectados por la Sequía en El Salvador</w:t>
      </w:r>
    </w:p>
    <w:p w:rsidR="00BF0A9F" w:rsidRPr="00AD07EB" w:rsidRDefault="00BF0A9F" w:rsidP="00BF0A9F">
      <w:pPr>
        <w:pStyle w:val="Prrafodelista"/>
        <w:spacing w:after="0" w:line="240" w:lineRule="auto"/>
        <w:jc w:val="both"/>
        <w:rPr>
          <w:rFonts w:asciiTheme="minorHAnsi" w:eastAsia="Arial Unicode MS" w:hAnsiTheme="minorHAnsi" w:cs="Arial Unicode MS"/>
          <w:color w:val="000099"/>
        </w:rPr>
      </w:pPr>
    </w:p>
    <w:p w:rsidR="00BF0A9F" w:rsidRDefault="00BF0A9F" w:rsidP="00BF0A9F">
      <w:pPr>
        <w:pStyle w:val="Prrafodelista"/>
        <w:spacing w:after="0" w:line="240" w:lineRule="auto"/>
        <w:jc w:val="both"/>
        <w:rPr>
          <w:rFonts w:asciiTheme="minorHAnsi" w:eastAsia="Arial Unicode MS" w:hAnsiTheme="minorHAnsi" w:cs="Arial Unicode MS"/>
        </w:rPr>
      </w:pPr>
    </w:p>
    <w:p w:rsidR="00BF0A9F" w:rsidRPr="00BF0A9F" w:rsidRDefault="00BF0A9F" w:rsidP="00BF0A9F">
      <w:pPr>
        <w:spacing w:after="0" w:line="240" w:lineRule="auto"/>
        <w:jc w:val="both"/>
        <w:rPr>
          <w:rFonts w:asciiTheme="minorHAnsi" w:eastAsia="Arial Unicode MS" w:hAnsiTheme="minorHAnsi" w:cs="Arial Unicode MS"/>
        </w:rPr>
      </w:pPr>
    </w:p>
    <w:sectPr w:rsidR="00BF0A9F" w:rsidRPr="00BF0A9F"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85" w:rsidRDefault="00783085" w:rsidP="00F425A5">
      <w:pPr>
        <w:spacing w:after="0" w:line="240" w:lineRule="auto"/>
      </w:pPr>
      <w:r>
        <w:separator/>
      </w:r>
    </w:p>
  </w:endnote>
  <w:endnote w:type="continuationSeparator" w:id="0">
    <w:p w:rsidR="00783085" w:rsidRDefault="0078308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194E6D10" wp14:editId="70BACB3D">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7366A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7366A8">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7366A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7366A8">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4913C77D" wp14:editId="16D8E8A5">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85" w:rsidRDefault="00783085" w:rsidP="00F425A5">
      <w:pPr>
        <w:spacing w:after="0" w:line="240" w:lineRule="auto"/>
      </w:pPr>
      <w:r>
        <w:separator/>
      </w:r>
    </w:p>
  </w:footnote>
  <w:footnote w:type="continuationSeparator" w:id="0">
    <w:p w:rsidR="00783085" w:rsidRDefault="00783085"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6B6B55D1" wp14:editId="0FC81B74">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1F39B" wp14:editId="337B3935">
          <wp:extent cx="1806415" cy="974784"/>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97692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3E05C5D"/>
    <w:multiLevelType w:val="hybridMultilevel"/>
    <w:tmpl w:val="48DEBF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56577CC"/>
    <w:multiLevelType w:val="hybridMultilevel"/>
    <w:tmpl w:val="872E9A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1"/>
  </w:num>
  <w:num w:numId="2">
    <w:abstractNumId w:val="0"/>
  </w:num>
  <w:num w:numId="3">
    <w:abstractNumId w:val="7"/>
  </w:num>
  <w:num w:numId="4">
    <w:abstractNumId w:val="4"/>
  </w:num>
  <w:num w:numId="5">
    <w:abstractNumId w:val="19"/>
  </w:num>
  <w:num w:numId="6">
    <w:abstractNumId w:val="10"/>
  </w:num>
  <w:num w:numId="7">
    <w:abstractNumId w:val="15"/>
  </w:num>
  <w:num w:numId="8">
    <w:abstractNumId w:val="1"/>
  </w:num>
  <w:num w:numId="9">
    <w:abstractNumId w:val="21"/>
  </w:num>
  <w:num w:numId="10">
    <w:abstractNumId w:val="18"/>
  </w:num>
  <w:num w:numId="11">
    <w:abstractNumId w:val="8"/>
  </w:num>
  <w:num w:numId="12">
    <w:abstractNumId w:val="13"/>
  </w:num>
  <w:num w:numId="13">
    <w:abstractNumId w:val="20"/>
  </w:num>
  <w:num w:numId="14">
    <w:abstractNumId w:val="2"/>
  </w:num>
  <w:num w:numId="15">
    <w:abstractNumId w:val="16"/>
  </w:num>
  <w:num w:numId="16">
    <w:abstractNumId w:val="17"/>
  </w:num>
  <w:num w:numId="17">
    <w:abstractNumId w:val="3"/>
  </w:num>
  <w:num w:numId="18">
    <w:abstractNumId w:val="6"/>
  </w:num>
  <w:num w:numId="19">
    <w:abstractNumId w:val="14"/>
  </w:num>
  <w:num w:numId="20">
    <w:abstractNumId w:val="5"/>
  </w:num>
  <w:num w:numId="21">
    <w:abstractNumId w:val="12"/>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67CE0"/>
    <w:rsid w:val="00072693"/>
    <w:rsid w:val="00076375"/>
    <w:rsid w:val="00076DC9"/>
    <w:rsid w:val="00082DBE"/>
    <w:rsid w:val="0008686D"/>
    <w:rsid w:val="00087127"/>
    <w:rsid w:val="00092754"/>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50564"/>
    <w:rsid w:val="001507F7"/>
    <w:rsid w:val="00151491"/>
    <w:rsid w:val="0015401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F3808"/>
    <w:rsid w:val="001F4BF6"/>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15549"/>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045F"/>
    <w:rsid w:val="0049126D"/>
    <w:rsid w:val="00492D49"/>
    <w:rsid w:val="00494B6F"/>
    <w:rsid w:val="004958DF"/>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5879"/>
    <w:rsid w:val="00510D09"/>
    <w:rsid w:val="005216D5"/>
    <w:rsid w:val="00522680"/>
    <w:rsid w:val="00527FC1"/>
    <w:rsid w:val="00537D6F"/>
    <w:rsid w:val="00547BFB"/>
    <w:rsid w:val="005534AF"/>
    <w:rsid w:val="00556C07"/>
    <w:rsid w:val="00563C88"/>
    <w:rsid w:val="00564092"/>
    <w:rsid w:val="005741FB"/>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12FD"/>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6A8"/>
    <w:rsid w:val="00736BF1"/>
    <w:rsid w:val="00742BD3"/>
    <w:rsid w:val="007450ED"/>
    <w:rsid w:val="00755C25"/>
    <w:rsid w:val="00756275"/>
    <w:rsid w:val="00760376"/>
    <w:rsid w:val="007607EB"/>
    <w:rsid w:val="00762E80"/>
    <w:rsid w:val="00764073"/>
    <w:rsid w:val="00764B83"/>
    <w:rsid w:val="00765591"/>
    <w:rsid w:val="00766F26"/>
    <w:rsid w:val="00770789"/>
    <w:rsid w:val="00783085"/>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6ED"/>
    <w:rsid w:val="007F3DD3"/>
    <w:rsid w:val="007F4B65"/>
    <w:rsid w:val="007F53DD"/>
    <w:rsid w:val="007F7DF5"/>
    <w:rsid w:val="00812151"/>
    <w:rsid w:val="008221B6"/>
    <w:rsid w:val="0082470A"/>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1693"/>
    <w:rsid w:val="009328B8"/>
    <w:rsid w:val="00933636"/>
    <w:rsid w:val="00933E84"/>
    <w:rsid w:val="009372A0"/>
    <w:rsid w:val="00942A66"/>
    <w:rsid w:val="00942D26"/>
    <w:rsid w:val="00944BBC"/>
    <w:rsid w:val="00953BB6"/>
    <w:rsid w:val="00953D9A"/>
    <w:rsid w:val="00960348"/>
    <w:rsid w:val="00963746"/>
    <w:rsid w:val="00970D9E"/>
    <w:rsid w:val="00970DBA"/>
    <w:rsid w:val="0097572D"/>
    <w:rsid w:val="00975D3C"/>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73C2B"/>
    <w:rsid w:val="00A755D7"/>
    <w:rsid w:val="00A76A25"/>
    <w:rsid w:val="00A779D4"/>
    <w:rsid w:val="00A808C3"/>
    <w:rsid w:val="00A8217B"/>
    <w:rsid w:val="00A86F1B"/>
    <w:rsid w:val="00AA29D1"/>
    <w:rsid w:val="00AA3B51"/>
    <w:rsid w:val="00AA5F13"/>
    <w:rsid w:val="00AB1228"/>
    <w:rsid w:val="00AB377C"/>
    <w:rsid w:val="00AB6791"/>
    <w:rsid w:val="00AC3075"/>
    <w:rsid w:val="00AC6F8C"/>
    <w:rsid w:val="00AC795E"/>
    <w:rsid w:val="00AD07EB"/>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0A9F"/>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155BB"/>
    <w:rsid w:val="00E25718"/>
    <w:rsid w:val="00E2659E"/>
    <w:rsid w:val="00E339B8"/>
    <w:rsid w:val="00E36D6A"/>
    <w:rsid w:val="00E415CA"/>
    <w:rsid w:val="00E45207"/>
    <w:rsid w:val="00E46F1D"/>
    <w:rsid w:val="00E50548"/>
    <w:rsid w:val="00E56FB6"/>
    <w:rsid w:val="00E65032"/>
    <w:rsid w:val="00E675F9"/>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43EC9"/>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6D1B7-7674-49F0-8000-30B7D94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2016-05-02T22:26:00Z</cp:lastPrinted>
  <dcterms:created xsi:type="dcterms:W3CDTF">2016-05-02T22:27:00Z</dcterms:created>
  <dcterms:modified xsi:type="dcterms:W3CDTF">2016-05-02T22:28:00Z</dcterms:modified>
</cp:coreProperties>
</file>