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A" w:rsidRDefault="0017328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6676B" w:rsidRDefault="0016676B" w:rsidP="001667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934670">
        <w:rPr>
          <w:rFonts w:asciiTheme="minorHAnsi" w:eastAsia="Arial Unicode MS" w:hAnsiTheme="minorHAnsi" w:cs="Arial Unicode MS"/>
          <w:b/>
          <w:color w:val="000099"/>
          <w:sz w:val="28"/>
        </w:rPr>
        <w:t>68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934670">
        <w:rPr>
          <w:rFonts w:asciiTheme="minorHAnsi" w:eastAsia="Arial Unicode MS" w:hAnsiTheme="minorHAnsi" w:cs="Arial Unicode MS"/>
          <w:color w:val="000099"/>
        </w:rPr>
        <w:t xml:space="preserve">trece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934670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934670">
        <w:rPr>
          <w:rFonts w:asciiTheme="minorHAnsi" w:eastAsia="Arial Unicode MS" w:hAnsiTheme="minorHAnsi" w:cs="Arial Unicode MS"/>
          <w:color w:val="000099"/>
        </w:rPr>
        <w:t>trece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934670">
        <w:rPr>
          <w:rFonts w:asciiTheme="minorHAnsi" w:eastAsia="Arial Unicode MS" w:hAnsiTheme="minorHAnsi" w:cs="Arial Unicode MS"/>
          <w:color w:val="000099"/>
        </w:rPr>
        <w:t>abril de dos mil dieciséis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934670">
        <w:rPr>
          <w:rFonts w:asciiTheme="minorHAnsi" w:eastAsia="Arial Unicode MS" w:hAnsiTheme="minorHAnsi" w:cs="Arial Unicode MS"/>
          <w:b/>
          <w:color w:val="000099"/>
        </w:rPr>
        <w:t>68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  <w:r w:rsidRPr="00026CA6">
        <w:rPr>
          <w:rFonts w:eastAsia="Calibri" w:cs="Calibri"/>
          <w:color w:val="000000"/>
          <w:sz w:val="24"/>
          <w:szCs w:val="24"/>
          <w:lang w:eastAsia="en-US"/>
        </w:rPr>
        <w:t xml:space="preserve"> 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Información sobre Contabilidad Gubernamental: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1. Proceso contable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2. Presupuesto inicial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3. Balance general inicial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4. Libro diario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5. Libro mayor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6. Balance de comprobación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7. Partidas de cierre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8. Estado de rendimiento económico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9. Estado de situación financiera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10. Estado de flujos de fondos</w:t>
      </w:r>
    </w:p>
    <w:p w:rsidR="00026CA6" w:rsidRPr="00026CA6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0"/>
          <w:lang w:eastAsia="en-US"/>
        </w:rPr>
      </w:pPr>
      <w:r w:rsidRPr="00026CA6">
        <w:rPr>
          <w:rFonts w:eastAsia="Calibri" w:cs="Calibri"/>
          <w:color w:val="000000"/>
          <w:szCs w:val="20"/>
          <w:lang w:eastAsia="en-US"/>
        </w:rPr>
        <w:t>11. Estado de ejecución presupuestaria</w:t>
      </w:r>
    </w:p>
    <w:p w:rsidR="00DA2A29" w:rsidRPr="00026CA6" w:rsidRDefault="00026CA6" w:rsidP="00026C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8"/>
          <w:szCs w:val="24"/>
        </w:rPr>
      </w:pPr>
      <w:r w:rsidRPr="00026CA6">
        <w:rPr>
          <w:rFonts w:eastAsia="Calibri" w:cs="Calibri"/>
          <w:color w:val="000000"/>
          <w:szCs w:val="20"/>
          <w:lang w:eastAsia="en-US"/>
        </w:rPr>
        <w:t>12. Notas explicativas a tos estados financieros</w:t>
      </w:r>
    </w:p>
    <w:p w:rsidR="00847588" w:rsidRPr="0085715A" w:rsidRDefault="00847588" w:rsidP="00F74FD2">
      <w:pPr>
        <w:spacing w:after="0" w:line="240" w:lineRule="auto"/>
        <w:jc w:val="both"/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r w:rsidR="0016676B" w:rsidRPr="0016676B">
        <w:rPr>
          <w:rFonts w:cs="Calibri"/>
          <w:b/>
          <w:color w:val="000099"/>
          <w:sz w:val="24"/>
          <w:szCs w:val="24"/>
          <w:highlight w:val="blue"/>
        </w:rPr>
        <w:t>XXXXXXXXXXXXXXXXX</w:t>
      </w:r>
      <w:bookmarkStart w:id="0" w:name="_GoBack"/>
      <w:bookmarkEnd w:id="0"/>
      <w:r w:rsidR="00026CA6" w:rsidRPr="00026CA6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17328A" w:rsidRPr="00EA2AA6" w:rsidRDefault="00026CA6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  <w:r w:rsidRPr="00EA2AA6">
        <w:rPr>
          <w:rFonts w:asciiTheme="minorHAnsi" w:eastAsia="Arial Unicode MS" w:hAnsiTheme="minorHAnsi" w:cs="Arial Unicode MS"/>
          <w:lang w:val="es-ES"/>
        </w:rPr>
        <w:t>Sobre</w:t>
      </w:r>
      <w:r w:rsidR="00CE768E" w:rsidRPr="00EA2AA6">
        <w:rPr>
          <w:rFonts w:asciiTheme="minorHAnsi" w:eastAsia="Arial Unicode MS" w:hAnsiTheme="minorHAnsi" w:cs="Arial Unicode MS"/>
          <w:lang w:val="es-ES"/>
        </w:rPr>
        <w:t xml:space="preserve"> la siguiente información:</w:t>
      </w:r>
    </w:p>
    <w:p w:rsidR="00CE768E" w:rsidRPr="00EA2AA6" w:rsidRDefault="00CE768E" w:rsidP="00EA2AA6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EA2AA6">
        <w:rPr>
          <w:rFonts w:cs="Calibri"/>
          <w:color w:val="000000"/>
          <w:szCs w:val="20"/>
        </w:rPr>
        <w:t>Proceso contable</w:t>
      </w:r>
      <w:r w:rsidR="00EA2AA6">
        <w:rPr>
          <w:rFonts w:cs="Calibri"/>
          <w:color w:val="000000"/>
          <w:szCs w:val="20"/>
        </w:rPr>
        <w:t xml:space="preserve"> (</w:t>
      </w:r>
      <w:r w:rsidR="00C27E2E">
        <w:rPr>
          <w:rFonts w:cs="Calibri"/>
          <w:color w:val="000000"/>
          <w:szCs w:val="20"/>
        </w:rPr>
        <w:t xml:space="preserve">se </w:t>
      </w:r>
      <w:r w:rsidR="00EA2AA6">
        <w:rPr>
          <w:rFonts w:cs="Calibri"/>
          <w:color w:val="000000"/>
          <w:szCs w:val="20"/>
        </w:rPr>
        <w:t>entreg</w:t>
      </w:r>
      <w:r w:rsidR="00C27E2E">
        <w:rPr>
          <w:rFonts w:cs="Calibri"/>
          <w:color w:val="000000"/>
          <w:szCs w:val="20"/>
        </w:rPr>
        <w:t xml:space="preserve">ó el Manual Financiero Institucional </w:t>
      </w:r>
      <w:r w:rsidR="00473C8F">
        <w:rPr>
          <w:rFonts w:cs="Calibri"/>
          <w:color w:val="000000"/>
          <w:szCs w:val="20"/>
        </w:rPr>
        <w:t>el 1 de abril</w:t>
      </w:r>
      <w:r w:rsidR="00C27E2E">
        <w:rPr>
          <w:rFonts w:cs="Calibri"/>
          <w:color w:val="000000"/>
          <w:szCs w:val="20"/>
        </w:rPr>
        <w:t>)</w:t>
      </w:r>
    </w:p>
    <w:p w:rsidR="00CE768E" w:rsidRPr="00EA2AA6" w:rsidRDefault="00CE768E" w:rsidP="00EA2AA6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EA2AA6">
        <w:rPr>
          <w:rFonts w:cs="Calibri"/>
          <w:color w:val="000000"/>
          <w:szCs w:val="20"/>
        </w:rPr>
        <w:t>Libro diario</w:t>
      </w:r>
      <w:r w:rsidR="00C27E2E">
        <w:rPr>
          <w:rFonts w:cs="Calibri"/>
          <w:color w:val="000000"/>
          <w:szCs w:val="20"/>
        </w:rPr>
        <w:t xml:space="preserve"> (Se entrega información contenida en el libro mayor en formato PDF)</w:t>
      </w:r>
    </w:p>
    <w:p w:rsidR="00CE768E" w:rsidRPr="00EA2AA6" w:rsidRDefault="00CE768E" w:rsidP="00EA2AA6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EA2AA6">
        <w:rPr>
          <w:rFonts w:cs="Calibri"/>
          <w:color w:val="000000"/>
          <w:szCs w:val="20"/>
        </w:rPr>
        <w:t>Libro mayor</w:t>
      </w:r>
      <w:r w:rsidR="00C27E2E">
        <w:rPr>
          <w:rFonts w:cs="Calibri"/>
          <w:color w:val="000000"/>
          <w:szCs w:val="20"/>
        </w:rPr>
        <w:t xml:space="preserve"> ( Se entrega en formato PDF)</w:t>
      </w:r>
    </w:p>
    <w:p w:rsidR="00EA2AA6" w:rsidRDefault="00CE768E" w:rsidP="00EA2AA6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EA2AA6">
        <w:rPr>
          <w:rFonts w:cs="Calibri"/>
          <w:color w:val="000000"/>
          <w:szCs w:val="20"/>
        </w:rPr>
        <w:t>Partidas de cierre</w:t>
      </w:r>
      <w:r w:rsidR="00C27E2E">
        <w:rPr>
          <w:rFonts w:cs="Calibri"/>
          <w:color w:val="000000"/>
          <w:szCs w:val="20"/>
        </w:rPr>
        <w:t xml:space="preserve"> (Se entrega en formato PDF)</w:t>
      </w:r>
    </w:p>
    <w:p w:rsidR="00CE768E" w:rsidRPr="00EA2AA6" w:rsidRDefault="00CE768E" w:rsidP="00EA2AA6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EA2AA6">
        <w:rPr>
          <w:rFonts w:cs="Calibri"/>
          <w:color w:val="000000"/>
          <w:szCs w:val="20"/>
        </w:rPr>
        <w:t>Notas explicativas a tos estados financieros</w:t>
      </w:r>
      <w:r w:rsidR="00C27E2E">
        <w:rPr>
          <w:rFonts w:cs="Calibri"/>
          <w:color w:val="000000"/>
          <w:szCs w:val="20"/>
        </w:rPr>
        <w:t xml:space="preserve"> (Se entrega en formato PDF)</w:t>
      </w:r>
    </w:p>
    <w:p w:rsidR="00016778" w:rsidRDefault="00016778">
      <w:pPr>
        <w:spacing w:after="0" w:line="240" w:lineRule="auto"/>
        <w:rPr>
          <w:rFonts w:asciiTheme="minorHAnsi" w:eastAsia="Arial Unicode MS" w:hAnsiTheme="minorHAnsi" w:cs="Arial Unicode MS"/>
          <w:lang w:val="es-ES"/>
        </w:rPr>
      </w:pPr>
      <w:r>
        <w:rPr>
          <w:rFonts w:asciiTheme="minorHAnsi" w:eastAsia="Arial Unicode MS" w:hAnsiTheme="minorHAnsi" w:cs="Arial Unicode MS"/>
          <w:lang w:val="es-ES"/>
        </w:rPr>
        <w:br w:type="page"/>
      </w:r>
    </w:p>
    <w:p w:rsidR="00016778" w:rsidRDefault="00016778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CE768E" w:rsidRDefault="0017328A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  <w:r>
        <w:rPr>
          <w:rFonts w:asciiTheme="minorHAnsi" w:eastAsia="Arial Unicode MS" w:hAnsiTheme="minorHAnsi" w:cs="Arial Unicode MS"/>
          <w:lang w:val="es-ES"/>
        </w:rPr>
        <w:t>Sobre</w:t>
      </w:r>
      <w:r w:rsidR="00C27E2E">
        <w:rPr>
          <w:rFonts w:asciiTheme="minorHAnsi" w:eastAsia="Arial Unicode MS" w:hAnsiTheme="minorHAnsi" w:cs="Arial Unicode MS"/>
          <w:lang w:val="es-ES"/>
        </w:rPr>
        <w:t xml:space="preserve"> la siguiente información</w:t>
      </w:r>
      <w:r w:rsidR="00CE768E">
        <w:rPr>
          <w:rFonts w:asciiTheme="minorHAnsi" w:eastAsia="Arial Unicode MS" w:hAnsiTheme="minorHAnsi" w:cs="Arial Unicode MS"/>
          <w:lang w:val="es-ES"/>
        </w:rPr>
        <w:t>: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Presupuesto inicial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Balance general inicial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Balance de comprobación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Estado de rendimiento económico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Estado de situación financiera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Estado de flujos de fondos</w:t>
      </w:r>
    </w:p>
    <w:p w:rsidR="00CE768E" w:rsidRPr="00CE768E" w:rsidRDefault="00CE768E" w:rsidP="00CE768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 w:rsidRPr="00CE768E">
        <w:rPr>
          <w:rFonts w:cs="Calibri"/>
          <w:color w:val="000000"/>
          <w:szCs w:val="20"/>
        </w:rPr>
        <w:t>Estado de ejecución presupuestaria</w:t>
      </w:r>
    </w:p>
    <w:p w:rsidR="00C27E2E" w:rsidRDefault="00C27E2E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16778" w:rsidRPr="0017328A" w:rsidRDefault="00C27E2E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17328A">
        <w:rPr>
          <w:rFonts w:asciiTheme="minorHAnsi" w:eastAsia="Arial Unicode MS" w:hAnsiTheme="minorHAnsi" w:cs="Arial Unicode MS"/>
        </w:rPr>
        <w:t xml:space="preserve">e </w:t>
      </w:r>
      <w:r w:rsidR="0017328A" w:rsidRPr="0017328A">
        <w:rPr>
          <w:rFonts w:asciiTheme="minorHAnsi" w:eastAsia="Arial Unicode MS" w:hAnsiTheme="minorHAnsi" w:cs="Arial Unicode MS"/>
        </w:rPr>
        <w:t xml:space="preserve">estudió lo solicitado determinándose con base al art. 62 inciso 2º que la misma ya está disponible al público la cual puede </w:t>
      </w:r>
      <w:r w:rsidR="00016778" w:rsidRPr="00016778">
        <w:rPr>
          <w:rFonts w:asciiTheme="minorHAnsi" w:eastAsia="Arial Unicode MS" w:hAnsiTheme="minorHAnsi" w:cs="Arial Unicode MS"/>
        </w:rPr>
        <w:t xml:space="preserve">consultarse, reproducirse </w:t>
      </w:r>
      <w:r w:rsidR="00016778">
        <w:rPr>
          <w:rFonts w:asciiTheme="minorHAnsi" w:eastAsia="Arial Unicode MS" w:hAnsiTheme="minorHAnsi" w:cs="Arial Unicode MS"/>
        </w:rPr>
        <w:t xml:space="preserve">descargarse, </w:t>
      </w:r>
      <w:r w:rsidR="00016778" w:rsidRPr="0017328A">
        <w:rPr>
          <w:rFonts w:asciiTheme="minorHAnsi" w:eastAsia="Arial Unicode MS" w:hAnsiTheme="minorHAnsi" w:cs="Arial Unicode MS"/>
        </w:rPr>
        <w:t xml:space="preserve">en la página web del MAG </w:t>
      </w:r>
      <w:r w:rsidR="00016778" w:rsidRPr="00016778">
        <w:rPr>
          <w:rFonts w:asciiTheme="minorHAnsi" w:eastAsia="Arial Unicode MS" w:hAnsiTheme="minorHAnsi" w:cs="Arial Unicode MS"/>
          <w:color w:val="000099"/>
        </w:rPr>
        <w:t>www.mag.gob.sv</w:t>
      </w:r>
      <w:r w:rsidR="00016778" w:rsidRPr="0017328A">
        <w:rPr>
          <w:rFonts w:asciiTheme="minorHAnsi" w:eastAsia="Arial Unicode MS" w:hAnsiTheme="minorHAnsi" w:cs="Arial Unicode MS"/>
        </w:rPr>
        <w:t>, en la siguiente sección:</w:t>
      </w:r>
    </w:p>
    <w:p w:rsidR="00016778" w:rsidRDefault="00016778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27E2E" w:rsidRDefault="00C27E2E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Portal de Transparencia/Marco Presupuestario/Presupuesto Actual</w:t>
      </w:r>
    </w:p>
    <w:p w:rsidR="00C27E2E" w:rsidRPr="0017328A" w:rsidRDefault="00C27E2E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Portal de Transparencia/Marco Presupuestario/Estados Financieros</w:t>
      </w:r>
    </w:p>
    <w:p w:rsidR="00016778" w:rsidRPr="00944BBC" w:rsidRDefault="00016778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7328A" w:rsidRPr="0017328A" w:rsidRDefault="00016778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</w:t>
      </w:r>
      <w:r w:rsidR="0017328A" w:rsidRPr="0017328A">
        <w:rPr>
          <w:rFonts w:asciiTheme="minorHAnsi" w:eastAsia="Arial Unicode MS" w:hAnsiTheme="minorHAnsi" w:cs="Arial Unicode MS"/>
        </w:rPr>
        <w:t>or lo tanto resuelve: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7328A" w:rsidRPr="00016778" w:rsidRDefault="0017328A" w:rsidP="000167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16778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44BBC" w:rsidRDefault="0093169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6F" w:rsidRDefault="001A0B6F" w:rsidP="00F425A5">
      <w:pPr>
        <w:spacing w:after="0" w:line="240" w:lineRule="auto"/>
      </w:pPr>
      <w:r>
        <w:separator/>
      </w:r>
    </w:p>
  </w:endnote>
  <w:endnote w:type="continuationSeparator" w:id="0">
    <w:p w:rsidR="001A0B6F" w:rsidRDefault="001A0B6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6676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6676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6676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6676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6F" w:rsidRDefault="001A0B6F" w:rsidP="00F425A5">
      <w:pPr>
        <w:spacing w:after="0" w:line="240" w:lineRule="auto"/>
      </w:pPr>
      <w:r>
        <w:separator/>
      </w:r>
    </w:p>
  </w:footnote>
  <w:footnote w:type="continuationSeparator" w:id="0">
    <w:p w:rsidR="001A0B6F" w:rsidRDefault="001A0B6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CC2"/>
    <w:multiLevelType w:val="hybridMultilevel"/>
    <w:tmpl w:val="8A708D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65720"/>
    <w:multiLevelType w:val="hybridMultilevel"/>
    <w:tmpl w:val="6EEA9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43CEB"/>
    <w:multiLevelType w:val="hybridMultilevel"/>
    <w:tmpl w:val="7C1847B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483A4E"/>
    <w:multiLevelType w:val="hybridMultilevel"/>
    <w:tmpl w:val="E5B4F0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743ACA"/>
    <w:multiLevelType w:val="hybridMultilevel"/>
    <w:tmpl w:val="20EC72F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4A5A"/>
    <w:multiLevelType w:val="hybridMultilevel"/>
    <w:tmpl w:val="267EF1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71680"/>
    <w:multiLevelType w:val="hybridMultilevel"/>
    <w:tmpl w:val="B5506A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63FE0"/>
    <w:multiLevelType w:val="hybridMultilevel"/>
    <w:tmpl w:val="651655EE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ABD02CA"/>
    <w:multiLevelType w:val="hybridMultilevel"/>
    <w:tmpl w:val="2BEA2D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23"/>
  </w:num>
  <w:num w:numId="6">
    <w:abstractNumId w:val="13"/>
  </w:num>
  <w:num w:numId="7">
    <w:abstractNumId w:val="19"/>
  </w:num>
  <w:num w:numId="8">
    <w:abstractNumId w:val="1"/>
  </w:num>
  <w:num w:numId="9">
    <w:abstractNumId w:val="27"/>
  </w:num>
  <w:num w:numId="10">
    <w:abstractNumId w:val="22"/>
  </w:num>
  <w:num w:numId="11">
    <w:abstractNumId w:val="10"/>
  </w:num>
  <w:num w:numId="12">
    <w:abstractNumId w:val="16"/>
  </w:num>
  <w:num w:numId="13">
    <w:abstractNumId w:val="24"/>
  </w:num>
  <w:num w:numId="14">
    <w:abstractNumId w:val="2"/>
  </w:num>
  <w:num w:numId="15">
    <w:abstractNumId w:val="20"/>
  </w:num>
  <w:num w:numId="16">
    <w:abstractNumId w:val="21"/>
  </w:num>
  <w:num w:numId="17">
    <w:abstractNumId w:val="3"/>
  </w:num>
  <w:num w:numId="18">
    <w:abstractNumId w:val="8"/>
  </w:num>
  <w:num w:numId="19">
    <w:abstractNumId w:val="18"/>
  </w:num>
  <w:num w:numId="20">
    <w:abstractNumId w:val="6"/>
  </w:num>
  <w:num w:numId="21">
    <w:abstractNumId w:val="12"/>
  </w:num>
  <w:num w:numId="22">
    <w:abstractNumId w:val="15"/>
  </w:num>
  <w:num w:numId="23">
    <w:abstractNumId w:val="4"/>
  </w:num>
  <w:num w:numId="24">
    <w:abstractNumId w:val="26"/>
  </w:num>
  <w:num w:numId="25">
    <w:abstractNumId w:val="7"/>
  </w:num>
  <w:num w:numId="26">
    <w:abstractNumId w:val="25"/>
  </w:num>
  <w:num w:numId="27">
    <w:abstractNumId w:val="28"/>
  </w:num>
  <w:num w:numId="28">
    <w:abstractNumId w:val="11"/>
  </w:num>
  <w:num w:numId="2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778"/>
    <w:rsid w:val="00021DEC"/>
    <w:rsid w:val="00022615"/>
    <w:rsid w:val="00023CF8"/>
    <w:rsid w:val="000250C5"/>
    <w:rsid w:val="00026CA6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83F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EED"/>
    <w:rsid w:val="00150564"/>
    <w:rsid w:val="001507F7"/>
    <w:rsid w:val="00151491"/>
    <w:rsid w:val="001612BF"/>
    <w:rsid w:val="0016481B"/>
    <w:rsid w:val="00164C1C"/>
    <w:rsid w:val="00165178"/>
    <w:rsid w:val="0016676B"/>
    <w:rsid w:val="00171316"/>
    <w:rsid w:val="0017152E"/>
    <w:rsid w:val="0017328A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0B6F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3BD3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3C8F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66EBB"/>
    <w:rsid w:val="00574C00"/>
    <w:rsid w:val="005824AB"/>
    <w:rsid w:val="00587E7C"/>
    <w:rsid w:val="0059636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6FD1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0ED2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308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4670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39B1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E2E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68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0DFA"/>
    <w:rsid w:val="00D85A12"/>
    <w:rsid w:val="00D91AE0"/>
    <w:rsid w:val="00D91DB8"/>
    <w:rsid w:val="00D95AF5"/>
    <w:rsid w:val="00DA19FE"/>
    <w:rsid w:val="00DA2A29"/>
    <w:rsid w:val="00DA62A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4E1B"/>
    <w:rsid w:val="00E65032"/>
    <w:rsid w:val="00E670ED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2AA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9670E-2A57-4742-800D-F82A9E29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2016-04-13T20:22:00Z</cp:lastPrinted>
  <dcterms:created xsi:type="dcterms:W3CDTF">2016-04-13T20:23:00Z</dcterms:created>
  <dcterms:modified xsi:type="dcterms:W3CDTF">2016-04-13T20:24:00Z</dcterms:modified>
</cp:coreProperties>
</file>