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3D" w:rsidRPr="005A4108" w:rsidRDefault="00F4463D" w:rsidP="00F4463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F4463D" w:rsidRPr="00503B2D" w:rsidRDefault="00F4463D" w:rsidP="000B38A1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 w:val="20"/>
        </w:rPr>
      </w:pPr>
    </w:p>
    <w:p w:rsidR="00714AA6" w:rsidRPr="000B38A1" w:rsidRDefault="00714AA6" w:rsidP="000B38A1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u w:val="single"/>
        </w:rPr>
      </w:pPr>
      <w:r w:rsidRPr="000B38A1">
        <w:rPr>
          <w:rFonts w:ascii="Arial" w:eastAsia="Arial Unicode MS" w:hAnsi="Arial" w:cs="Arial"/>
          <w:b/>
          <w:color w:val="000099"/>
          <w:w w:val="102"/>
        </w:rPr>
        <w:t xml:space="preserve">RESOLUCIÓN </w:t>
      </w:r>
      <w:r w:rsidR="00F90A51" w:rsidRPr="000B38A1">
        <w:rPr>
          <w:rFonts w:ascii="Arial" w:eastAsia="Arial Unicode MS" w:hAnsi="Arial" w:cs="Arial"/>
          <w:b/>
          <w:color w:val="000099"/>
          <w:w w:val="102"/>
        </w:rPr>
        <w:t xml:space="preserve">EN </w:t>
      </w:r>
      <w:r w:rsidR="00B96D3F" w:rsidRPr="000B38A1">
        <w:rPr>
          <w:rFonts w:ascii="Arial" w:eastAsia="Arial Unicode MS" w:hAnsi="Arial" w:cs="Arial"/>
          <w:b/>
          <w:color w:val="000099"/>
          <w:w w:val="102"/>
        </w:rPr>
        <w:t xml:space="preserve">RESPUESTA A </w:t>
      </w:r>
      <w:r w:rsidRPr="000B38A1">
        <w:rPr>
          <w:rFonts w:ascii="Arial" w:eastAsia="Arial Unicode MS" w:hAnsi="Arial" w:cs="Arial"/>
          <w:b/>
          <w:color w:val="000099"/>
          <w:w w:val="102"/>
        </w:rPr>
        <w:t>SOLICITUD</w:t>
      </w:r>
      <w:r w:rsidR="00B96D3F" w:rsidRPr="000B38A1">
        <w:rPr>
          <w:rFonts w:ascii="Arial" w:eastAsia="Arial Unicode MS" w:hAnsi="Arial" w:cs="Arial"/>
          <w:b/>
          <w:color w:val="000099"/>
          <w:w w:val="102"/>
        </w:rPr>
        <w:t xml:space="preserve"> DE INFORMACIÓN </w:t>
      </w:r>
      <w:r w:rsidR="00A05D71" w:rsidRPr="000B38A1">
        <w:rPr>
          <w:rFonts w:ascii="Arial" w:eastAsia="Arial Unicode MS" w:hAnsi="Arial" w:cs="Arial"/>
          <w:b/>
          <w:color w:val="000099"/>
          <w:w w:val="102"/>
          <w:u w:val="single"/>
        </w:rPr>
        <w:t>N°</w:t>
      </w:r>
      <w:r w:rsidR="003D3010" w:rsidRPr="000B38A1">
        <w:rPr>
          <w:rFonts w:ascii="Arial" w:eastAsia="Arial Unicode MS" w:hAnsi="Arial" w:cs="Arial"/>
          <w:b/>
          <w:color w:val="000099"/>
          <w:w w:val="102"/>
          <w:u w:val="single"/>
        </w:rPr>
        <w:t>2</w:t>
      </w:r>
      <w:r w:rsidR="004C059F" w:rsidRPr="000B38A1">
        <w:rPr>
          <w:rFonts w:ascii="Arial" w:eastAsia="Arial Unicode MS" w:hAnsi="Arial" w:cs="Arial"/>
          <w:b/>
          <w:color w:val="000099"/>
          <w:w w:val="102"/>
          <w:u w:val="single"/>
        </w:rPr>
        <w:t>12</w:t>
      </w:r>
      <w:r w:rsidR="00F90A51" w:rsidRPr="000B38A1">
        <w:rPr>
          <w:rFonts w:ascii="Arial" w:eastAsia="Arial Unicode MS" w:hAnsi="Arial" w:cs="Arial"/>
          <w:b/>
          <w:color w:val="000099"/>
          <w:w w:val="102"/>
          <w:u w:val="single"/>
        </w:rPr>
        <w:t xml:space="preserve"> - 2015</w:t>
      </w:r>
    </w:p>
    <w:p w:rsidR="00F51B7F" w:rsidRPr="00C050D9" w:rsidRDefault="00F51B7F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16"/>
        </w:rPr>
      </w:pPr>
    </w:p>
    <w:p w:rsidR="00BC4D05" w:rsidRDefault="00714AA6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>Santa Tecla,</w:t>
      </w:r>
      <w:r w:rsidR="00503B2D">
        <w:rPr>
          <w:rFonts w:asciiTheme="minorHAnsi" w:eastAsia="Arial Unicode MS" w:hAnsiTheme="minorHAnsi" w:cs="Arial"/>
          <w:w w:val="102"/>
          <w:sz w:val="20"/>
          <w:szCs w:val="20"/>
        </w:rPr>
        <w:t xml:space="preserve"> D</w:t>
      </w:r>
      <w:r w:rsidR="00DE562A" w:rsidRPr="00C050D9">
        <w:rPr>
          <w:rFonts w:asciiTheme="minorHAnsi" w:eastAsia="Arial Unicode MS" w:hAnsiTheme="minorHAnsi" w:cs="Arial"/>
          <w:sz w:val="20"/>
          <w:szCs w:val="20"/>
        </w:rPr>
        <w:t xml:space="preserve">epartamento de La Libertad, </w:t>
      </w: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>a</w:t>
      </w:r>
      <w:r w:rsidR="00503B2D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C050D9">
        <w:rPr>
          <w:rFonts w:asciiTheme="minorHAnsi" w:eastAsia="Arial Unicode MS" w:hAnsiTheme="minorHAnsi" w:cs="Arial"/>
          <w:spacing w:val="1"/>
          <w:w w:val="102"/>
          <w:sz w:val="20"/>
          <w:szCs w:val="20"/>
        </w:rPr>
        <w:t>l</w:t>
      </w:r>
      <w:r w:rsidR="009F4A38" w:rsidRPr="00C050D9">
        <w:rPr>
          <w:rFonts w:asciiTheme="minorHAnsi" w:eastAsia="Arial Unicode MS" w:hAnsiTheme="minorHAnsi" w:cs="Arial"/>
          <w:w w:val="102"/>
          <w:sz w:val="20"/>
          <w:szCs w:val="20"/>
        </w:rPr>
        <w:t xml:space="preserve">as </w:t>
      </w:r>
      <w:r w:rsidR="00B9088B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dos horas y </w:t>
      </w:r>
      <w:r w:rsidR="00577C3F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quince</w:t>
      </w:r>
      <w:r w:rsidR="005324CA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minutos</w:t>
      </w:r>
      <w:r w:rsidR="00503B2D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d</w:t>
      </w:r>
      <w:r w:rsidRPr="00C050D9">
        <w:rPr>
          <w:rFonts w:asciiTheme="minorHAnsi" w:eastAsia="Arial Unicode MS" w:hAnsiTheme="minorHAnsi" w:cs="Arial"/>
          <w:b/>
          <w:color w:val="000099"/>
          <w:spacing w:val="-4"/>
          <w:w w:val="102"/>
          <w:sz w:val="20"/>
          <w:szCs w:val="20"/>
        </w:rPr>
        <w:t>e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l</w:t>
      </w:r>
      <w:r w:rsidR="00503B2D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d</w:t>
      </w:r>
      <w:r w:rsidRPr="00C050D9">
        <w:rPr>
          <w:rFonts w:asciiTheme="minorHAnsi" w:eastAsia="Arial Unicode MS" w:hAnsiTheme="minorHAnsi" w:cs="Arial"/>
          <w:b/>
          <w:color w:val="000099"/>
          <w:spacing w:val="1"/>
          <w:w w:val="102"/>
          <w:sz w:val="20"/>
          <w:szCs w:val="20"/>
        </w:rPr>
        <w:t>í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a</w:t>
      </w:r>
      <w:r w:rsidR="00503B2D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="00B9088B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dieciocho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de </w:t>
      </w:r>
      <w:r w:rsidR="003D3010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agosto</w:t>
      </w:r>
      <w:r w:rsidR="00503B2D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de 201</w:t>
      </w:r>
      <w:r w:rsidR="00F90A51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5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,</w:t>
      </w: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 xml:space="preserve"> el Ministerio de Agricultura y Ganadería luego de haber recibido y admitido la solicitud de información 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No. </w:t>
      </w:r>
      <w:r w:rsidR="003D3010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2</w:t>
      </w:r>
      <w:r w:rsidR="00B9088B"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12</w:t>
      </w: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 xml:space="preserve"> sobre:</w:t>
      </w:r>
    </w:p>
    <w:p w:rsidR="00503B2D" w:rsidRPr="00503B2D" w:rsidRDefault="00503B2D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6"/>
          <w:szCs w:val="20"/>
        </w:rPr>
      </w:pPr>
    </w:p>
    <w:p w:rsidR="00B9088B" w:rsidRPr="00C050D9" w:rsidRDefault="00B9088B" w:rsidP="000B38A1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>Datos relativos a las gestiones financieras de los servicios sanitarios oficiales que se tomarán en cuenta en el procedimiento de evaluación.</w:t>
      </w:r>
    </w:p>
    <w:p w:rsidR="00577C3F" w:rsidRPr="00C050D9" w:rsidRDefault="00B9088B" w:rsidP="000B38A1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Presupuesto total asignado a los servicios sanitarios oficiales para el ejercicio considerado y los ejercicios de los dos años anteriores: </w:t>
      </w:r>
    </w:p>
    <w:p w:rsidR="00577C3F" w:rsidRPr="00C050D9" w:rsidRDefault="00B9088B" w:rsidP="000B38A1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A los servicios sanitarios oficiales. </w:t>
      </w:r>
    </w:p>
    <w:p w:rsidR="00577C3F" w:rsidRPr="00C050D9" w:rsidRDefault="00B9088B" w:rsidP="000B38A1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A cada una de las autoridades regionales que prestan servicios sanitarios oficiales </w:t>
      </w:r>
    </w:p>
    <w:p w:rsidR="000B38A1" w:rsidRPr="00C050D9" w:rsidRDefault="00B9088B" w:rsidP="000B38A1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A otras instituciones subvencionadas por el gobierno.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Origen e importe de las dotaciones presupuestarias: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Presupuesto nacional.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Autoridades regionales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Tasas y multas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Subvenciones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Servicios remunerados (autogestión)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>Proporción relativa, en el presupuesto citado en dotaciones as</w:t>
      </w:r>
      <w:r w:rsidR="000B38A1"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>ignadas a los distintos sectores y de P</w:t>
      </w: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rogramas de los servicios sanitarios oficiales. </w:t>
      </w:r>
    </w:p>
    <w:p w:rsidR="000B38A1" w:rsidRPr="00C050D9" w:rsidRDefault="00A521CC" w:rsidP="000B38A1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 xml:space="preserve">Proporción que representa el presupuesto total de los servicios sanitarios oficiales en el presupuesto nacional. </w:t>
      </w:r>
    </w:p>
    <w:p w:rsidR="00B9088B" w:rsidRPr="00C050D9" w:rsidRDefault="00A521CC" w:rsidP="000B38A1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color w:val="000099"/>
          <w:w w:val="102"/>
          <w:sz w:val="20"/>
          <w:szCs w:val="20"/>
        </w:rPr>
        <w:t>Contribución real y relativa de la producción animal al producto interno bruto.</w:t>
      </w:r>
    </w:p>
    <w:p w:rsidR="00A521CC" w:rsidRPr="00C050D9" w:rsidRDefault="00A521CC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6"/>
          <w:szCs w:val="20"/>
        </w:rPr>
      </w:pPr>
    </w:p>
    <w:p w:rsidR="00C050D9" w:rsidRPr="00C050D9" w:rsidRDefault="00BE0B9D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>P</w:t>
      </w:r>
      <w:r w:rsidR="00EE4B7D" w:rsidRPr="00C050D9">
        <w:rPr>
          <w:rFonts w:asciiTheme="minorHAnsi" w:eastAsia="Arial Unicode MS" w:hAnsiTheme="minorHAnsi" w:cs="Arial"/>
          <w:w w:val="102"/>
          <w:sz w:val="20"/>
          <w:szCs w:val="20"/>
        </w:rPr>
        <w:t>resentada ante la Oficina de Información y Respuesta de esta dependencia por parte de</w:t>
      </w:r>
      <w:r w:rsidR="00EE4B7D" w:rsidRPr="00C050D9">
        <w:rPr>
          <w:rFonts w:asciiTheme="minorHAnsi" w:eastAsia="Arial Unicode MS" w:hAnsiTheme="minorHAnsi" w:cs="Arial"/>
          <w:sz w:val="20"/>
          <w:szCs w:val="20"/>
        </w:rPr>
        <w:t>:</w:t>
      </w:r>
      <w:r w:rsidR="00503B2D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503B2D" w:rsidRPr="00F22514">
        <w:rPr>
          <w:highlight w:val="black"/>
        </w:rPr>
        <w:t>Xxxxxxxxxxxx</w:t>
      </w:r>
      <w:r w:rsidR="00503B2D">
        <w:rPr>
          <w:highlight w:val="black"/>
        </w:rPr>
        <w:t>xxxxx</w:t>
      </w:r>
      <w:r w:rsidR="00503B2D" w:rsidRPr="00F22514">
        <w:rPr>
          <w:highlight w:val="black"/>
        </w:rPr>
        <w:t>xxxxx</w:t>
      </w:r>
      <w:r w:rsidR="00571F9C">
        <w:rPr>
          <w:rFonts w:asciiTheme="minorHAnsi" w:eastAsia="Arial Unicode MS" w:hAnsiTheme="minorHAnsi" w:cs="Arial"/>
          <w:b/>
          <w:sz w:val="20"/>
          <w:szCs w:val="20"/>
        </w:rPr>
        <w:t xml:space="preserve"> </w:t>
      </w:r>
      <w:r w:rsidR="0087168D" w:rsidRPr="00C050D9">
        <w:rPr>
          <w:rFonts w:asciiTheme="minorHAnsi" w:eastAsia="Arial Unicode MS" w:hAnsiTheme="minorHAnsi" w:cs="Arial"/>
          <w:sz w:val="20"/>
          <w:szCs w:val="20"/>
        </w:rPr>
        <w:t xml:space="preserve">se estudió lo solicitado determinándose con base al art. 62 inciso 2º que </w:t>
      </w:r>
      <w:r w:rsidR="0087168D" w:rsidRPr="00C050D9">
        <w:rPr>
          <w:rFonts w:asciiTheme="minorHAnsi" w:eastAsia="Arial Unicode MS" w:hAnsiTheme="minorHAnsi" w:cs="Arial"/>
          <w:color w:val="C00000"/>
          <w:sz w:val="20"/>
          <w:szCs w:val="20"/>
        </w:rPr>
        <w:t>parte</w:t>
      </w:r>
      <w:r w:rsidR="0087168D" w:rsidRPr="00C050D9">
        <w:rPr>
          <w:rFonts w:asciiTheme="minorHAnsi" w:eastAsia="Arial Unicode MS" w:hAnsiTheme="minorHAnsi" w:cs="Arial"/>
          <w:sz w:val="20"/>
          <w:szCs w:val="20"/>
        </w:rPr>
        <w:t xml:space="preserve"> de la misma ya está disponible al público. Por lo tanto resuelve</w:t>
      </w:r>
      <w:r w:rsidR="00503B2D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87168D" w:rsidRPr="00C050D9">
        <w:rPr>
          <w:rFonts w:asciiTheme="minorHAnsi" w:eastAsia="Arial Unicode MS" w:hAnsiTheme="minorHAnsi" w:cs="Arial"/>
          <w:sz w:val="20"/>
          <w:szCs w:val="20"/>
        </w:rPr>
        <w:t>:</w:t>
      </w:r>
      <w:r w:rsidR="0087168D" w:rsidRPr="00C050D9">
        <w:rPr>
          <w:rFonts w:asciiTheme="minorHAnsi" w:eastAsia="Arial Unicode MS" w:hAnsiTheme="minorHAnsi" w:cs="Arial"/>
          <w:b/>
          <w:color w:val="000099"/>
          <w:sz w:val="20"/>
          <w:szCs w:val="20"/>
        </w:rPr>
        <w:t>ORIENTAR LA UBICACIÓN DE LA INFORMACIÓN SOLICITADA</w:t>
      </w:r>
      <w:r w:rsidR="000B38A1" w:rsidRPr="00C050D9">
        <w:rPr>
          <w:rFonts w:asciiTheme="minorHAnsi" w:eastAsia="Arial Unicode MS" w:hAnsiTheme="minorHAnsi" w:cs="Arial"/>
          <w:b/>
          <w:color w:val="000099"/>
          <w:sz w:val="20"/>
          <w:szCs w:val="20"/>
        </w:rPr>
        <w:t xml:space="preserve"> EN LOS NUMERALES DEL 1 AL 5</w:t>
      </w:r>
      <w:r w:rsidR="00C050D9">
        <w:rPr>
          <w:rFonts w:asciiTheme="minorHAnsi" w:eastAsia="Arial Unicode MS" w:hAnsiTheme="minorHAnsi" w:cs="Arial"/>
          <w:b/>
          <w:color w:val="000099"/>
          <w:sz w:val="20"/>
          <w:szCs w:val="20"/>
        </w:rPr>
        <w:t>, e</w:t>
      </w:r>
      <w:r w:rsidR="00C84AAC" w:rsidRPr="00C050D9">
        <w:rPr>
          <w:rFonts w:asciiTheme="minorHAnsi" w:hAnsiTheme="minorHAnsi" w:cs="Arial"/>
          <w:sz w:val="20"/>
          <w:szCs w:val="20"/>
        </w:rPr>
        <w:t>sta</w:t>
      </w:r>
      <w:r w:rsidR="000E02FE" w:rsidRPr="00C050D9">
        <w:rPr>
          <w:rFonts w:asciiTheme="minorHAnsi" w:eastAsia="Arial Unicode MS" w:hAnsiTheme="minorHAnsi" w:cs="Arial"/>
          <w:w w:val="102"/>
          <w:sz w:val="20"/>
          <w:szCs w:val="20"/>
        </w:rPr>
        <w:t xml:space="preserve"> p</w:t>
      </w:r>
      <w:r w:rsidR="0087168D" w:rsidRPr="00C050D9">
        <w:rPr>
          <w:rFonts w:asciiTheme="minorHAnsi" w:eastAsia="Arial Unicode MS" w:hAnsiTheme="minorHAnsi" w:cs="Arial"/>
          <w:sz w:val="20"/>
          <w:szCs w:val="20"/>
        </w:rPr>
        <w:t xml:space="preserve">uede consultarse, adquirirse o reproducirse en la página web del MAG </w:t>
      </w:r>
      <w:r w:rsidR="0087168D" w:rsidRPr="00C050D9">
        <w:rPr>
          <w:rFonts w:asciiTheme="minorHAnsi" w:eastAsia="Arial Unicode MS" w:hAnsiTheme="minorHAnsi" w:cs="Arial"/>
          <w:color w:val="000099"/>
          <w:sz w:val="20"/>
          <w:szCs w:val="20"/>
        </w:rPr>
        <w:t xml:space="preserve">www.mag.gob.sv, </w:t>
      </w:r>
      <w:r w:rsidR="00293855" w:rsidRPr="00C050D9">
        <w:rPr>
          <w:rFonts w:asciiTheme="minorHAnsi" w:eastAsia="Arial Unicode MS" w:hAnsiTheme="minorHAnsi" w:cs="Arial"/>
          <w:color w:val="000099"/>
          <w:sz w:val="20"/>
          <w:szCs w:val="20"/>
        </w:rPr>
        <w:t>e</w:t>
      </w:r>
      <w:r w:rsidR="0087168D" w:rsidRPr="00C050D9">
        <w:rPr>
          <w:rFonts w:asciiTheme="minorHAnsi" w:eastAsia="Arial Unicode MS" w:hAnsiTheme="minorHAnsi" w:cs="Arial"/>
          <w:sz w:val="20"/>
          <w:szCs w:val="20"/>
        </w:rPr>
        <w:t>n la</w:t>
      </w:r>
      <w:r w:rsidR="00293855" w:rsidRPr="00C050D9">
        <w:rPr>
          <w:rFonts w:asciiTheme="minorHAnsi" w:eastAsia="Arial Unicode MS" w:hAnsiTheme="minorHAnsi" w:cs="Arial"/>
          <w:sz w:val="20"/>
          <w:szCs w:val="20"/>
        </w:rPr>
        <w:t>s siguientes</w:t>
      </w:r>
      <w:r w:rsidR="00503B2D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293855" w:rsidRPr="00C050D9">
        <w:rPr>
          <w:rFonts w:asciiTheme="minorHAnsi" w:eastAsia="Arial Unicode MS" w:hAnsiTheme="minorHAnsi" w:cs="Arial"/>
          <w:sz w:val="20"/>
          <w:szCs w:val="20"/>
        </w:rPr>
        <w:t>s</w:t>
      </w:r>
      <w:r w:rsidR="0087168D" w:rsidRPr="00C050D9">
        <w:rPr>
          <w:rFonts w:asciiTheme="minorHAnsi" w:eastAsia="Arial Unicode MS" w:hAnsiTheme="minorHAnsi" w:cs="Arial"/>
          <w:sz w:val="20"/>
          <w:szCs w:val="20"/>
        </w:rPr>
        <w:t>ecci</w:t>
      </w:r>
      <w:r w:rsidR="00293855" w:rsidRPr="00C050D9">
        <w:rPr>
          <w:rFonts w:asciiTheme="minorHAnsi" w:eastAsia="Arial Unicode MS" w:hAnsiTheme="minorHAnsi" w:cs="Arial"/>
          <w:sz w:val="20"/>
          <w:szCs w:val="20"/>
        </w:rPr>
        <w:t>ones:</w:t>
      </w:r>
      <w:r w:rsidR="00503B2D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0B38A1" w:rsidRPr="00C050D9">
        <w:rPr>
          <w:rFonts w:asciiTheme="minorHAnsi" w:eastAsia="Arial Unicode MS" w:hAnsiTheme="minorHAnsi" w:cs="Arial"/>
          <w:b/>
          <w:color w:val="000099"/>
          <w:sz w:val="20"/>
          <w:szCs w:val="20"/>
        </w:rPr>
        <w:t>Gobierno Abierto/Marco Presupuestario (Ley General de Presupuesto y Estados Financieros) y Marco Estratégico (Servicios).</w:t>
      </w:r>
      <w:r w:rsidR="000B38A1" w:rsidRPr="00C050D9">
        <w:rPr>
          <w:rFonts w:asciiTheme="minorHAnsi" w:eastAsia="Arial Unicode MS" w:hAnsiTheme="minorHAnsi" w:cs="Arial"/>
          <w:sz w:val="20"/>
          <w:szCs w:val="20"/>
        </w:rPr>
        <w:t xml:space="preserve">Sobre lo solicitado en el </w:t>
      </w:r>
      <w:r w:rsidR="000B38A1" w:rsidRPr="00C050D9">
        <w:rPr>
          <w:rFonts w:asciiTheme="minorHAnsi" w:eastAsia="Arial Unicode MS" w:hAnsiTheme="minorHAnsi" w:cs="Arial"/>
          <w:i/>
          <w:color w:val="000099"/>
          <w:sz w:val="20"/>
          <w:szCs w:val="20"/>
        </w:rPr>
        <w:t>numeral 6</w:t>
      </w:r>
      <w:r w:rsidR="000B38A1" w:rsidRPr="00C050D9">
        <w:rPr>
          <w:rFonts w:asciiTheme="minorHAnsi" w:eastAsia="Arial Unicode MS" w:hAnsiTheme="minorHAnsi" w:cs="Arial"/>
          <w:sz w:val="20"/>
          <w:szCs w:val="20"/>
        </w:rPr>
        <w:t xml:space="preserve">, </w:t>
      </w:r>
      <w:r w:rsidR="000B38A1" w:rsidRPr="00C050D9">
        <w:rPr>
          <w:rFonts w:asciiTheme="minorHAnsi" w:eastAsia="Arial Unicode MS" w:hAnsiTheme="minorHAnsi" w:cs="Arial"/>
          <w:w w:val="102"/>
          <w:sz w:val="20"/>
          <w:szCs w:val="20"/>
        </w:rPr>
        <w:t>se analizó lo requerido</w:t>
      </w:r>
      <w:r w:rsidR="00C050D9" w:rsidRPr="00C050D9">
        <w:rPr>
          <w:rFonts w:asciiTheme="minorHAnsi" w:eastAsia="Arial Unicode MS" w:hAnsiTheme="minorHAnsi" w:cs="Arial"/>
          <w:w w:val="102"/>
          <w:sz w:val="20"/>
          <w:szCs w:val="20"/>
        </w:rPr>
        <w:t xml:space="preserve">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C050D9" w:rsidRPr="00503B2D" w:rsidRDefault="00C050D9" w:rsidP="00C05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6"/>
          <w:szCs w:val="20"/>
        </w:rPr>
      </w:pP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C050D9" w:rsidRPr="00C050D9" w:rsidRDefault="00C050D9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NO ENTREGAR LA INFORMACION POR NO SER ESTA INSTITUCIÓN COMPETENTE PARA CONOCER DE LA MISMA</w:t>
      </w:r>
    </w:p>
    <w:p w:rsidR="00C050D9" w:rsidRPr="00C050D9" w:rsidRDefault="00C050D9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0"/>
          <w:szCs w:val="20"/>
        </w:rPr>
      </w:pPr>
    </w:p>
    <w:p w:rsidR="00C050D9" w:rsidRPr="00C050D9" w:rsidRDefault="00C050D9" w:rsidP="00C050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0"/>
        </w:rPr>
      </w:pP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>La instituci</w:t>
      </w:r>
      <w:r>
        <w:rPr>
          <w:rFonts w:asciiTheme="minorHAnsi" w:eastAsia="Arial Unicode MS" w:hAnsiTheme="minorHAnsi" w:cs="Arial"/>
          <w:w w:val="102"/>
          <w:sz w:val="20"/>
          <w:szCs w:val="20"/>
        </w:rPr>
        <w:t>ón</w:t>
      </w: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 xml:space="preserve"> que puede brindar información </w:t>
      </w:r>
      <w:r>
        <w:rPr>
          <w:rFonts w:asciiTheme="minorHAnsi" w:eastAsia="Arial Unicode MS" w:hAnsiTheme="minorHAnsi" w:cs="Arial"/>
          <w:w w:val="102"/>
          <w:sz w:val="20"/>
          <w:szCs w:val="20"/>
        </w:rPr>
        <w:t>es</w:t>
      </w: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>:</w:t>
      </w:r>
      <w:r w:rsidR="00503B2D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C050D9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Banco Central de Reserva BCR</w:t>
      </w:r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 xml:space="preserve">: Oficial de Información: Flor Idania Romero de Fernández, Edificio BCR, Alameda Juan Pablo II, entre 15 y 17 Av. Norte, Planta Principal; </w:t>
      </w:r>
      <w:hyperlink r:id="rId8" w:history="1">
        <w:r w:rsidRPr="00C050D9">
          <w:rPr>
            <w:rFonts w:asciiTheme="minorHAnsi" w:eastAsia="Arial Unicode MS" w:hAnsiTheme="minorHAnsi" w:cs="Arial"/>
            <w:w w:val="102"/>
            <w:sz w:val="20"/>
            <w:szCs w:val="20"/>
          </w:rPr>
          <w:t>oficial.informacion@bcr.gob.sv</w:t>
        </w:r>
      </w:hyperlink>
      <w:r w:rsidRPr="00C050D9">
        <w:rPr>
          <w:rFonts w:asciiTheme="minorHAnsi" w:eastAsia="Arial Unicode MS" w:hAnsiTheme="minorHAnsi" w:cs="Arial"/>
          <w:w w:val="102"/>
          <w:sz w:val="20"/>
          <w:szCs w:val="20"/>
        </w:rPr>
        <w:t>,  2281-8030.</w:t>
      </w:r>
    </w:p>
    <w:p w:rsidR="00293855" w:rsidRPr="00C050D9" w:rsidRDefault="00293855" w:rsidP="000B38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0E02FE" w:rsidRPr="00C050D9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A521CC" w:rsidRPr="00C050D9" w:rsidRDefault="00571F9C" w:rsidP="00503B2D">
      <w:pPr>
        <w:spacing w:after="0" w:line="240" w:lineRule="auto"/>
        <w:jc w:val="center"/>
        <w:rPr>
          <w:rFonts w:asciiTheme="minorHAnsi" w:eastAsia="Arial Unicode MS" w:hAnsiTheme="minorHAnsi" w:cs="Arial"/>
          <w:sz w:val="20"/>
          <w:szCs w:val="20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A521CC" w:rsidRPr="00C050D9" w:rsidSect="00503B2D">
      <w:headerReference w:type="default" r:id="rId9"/>
      <w:footerReference w:type="default" r:id="rId10"/>
      <w:pgSz w:w="12240" w:h="15840" w:code="1"/>
      <w:pgMar w:top="2226" w:right="1701" w:bottom="1134" w:left="1701" w:header="850" w:footer="17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BC6" w:rsidRDefault="00131BC6" w:rsidP="00F425A5">
      <w:pPr>
        <w:spacing w:after="0" w:line="240" w:lineRule="auto"/>
      </w:pPr>
      <w:r>
        <w:separator/>
      </w:r>
    </w:p>
  </w:endnote>
  <w:endnote w:type="continuationSeparator" w:id="1">
    <w:p w:rsidR="00131BC6" w:rsidRDefault="00131BC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03B2D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878205</wp:posOffset>
          </wp:positionV>
          <wp:extent cx="4229100" cy="495300"/>
          <wp:effectExtent l="1905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0.05pt;margin-top:31.1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BC6" w:rsidRDefault="00131BC6" w:rsidP="00F425A5">
      <w:pPr>
        <w:spacing w:after="0" w:line="240" w:lineRule="auto"/>
      </w:pPr>
      <w:r>
        <w:separator/>
      </w:r>
    </w:p>
  </w:footnote>
  <w:footnote w:type="continuationSeparator" w:id="1">
    <w:p w:rsidR="00131BC6" w:rsidRDefault="00131BC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50D9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3741420</wp:posOffset>
          </wp:positionH>
          <wp:positionV relativeFrom="paragraph">
            <wp:posOffset>-272415</wp:posOffset>
          </wp:positionV>
          <wp:extent cx="1835785" cy="111252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-177800</wp:posOffset>
          </wp:positionV>
          <wp:extent cx="1805940" cy="914400"/>
          <wp:effectExtent l="0" t="0" r="381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D3688"/>
    <w:multiLevelType w:val="hybridMultilevel"/>
    <w:tmpl w:val="73B68A3E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80F95"/>
    <w:multiLevelType w:val="multilevel"/>
    <w:tmpl w:val="58C60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9E7"/>
    <w:multiLevelType w:val="hybridMultilevel"/>
    <w:tmpl w:val="70C831F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15"/>
  </w:num>
  <w:num w:numId="4">
    <w:abstractNumId w:val="17"/>
  </w:num>
  <w:num w:numId="5">
    <w:abstractNumId w:val="5"/>
  </w:num>
  <w:num w:numId="6">
    <w:abstractNumId w:val="19"/>
  </w:num>
  <w:num w:numId="7">
    <w:abstractNumId w:val="37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3"/>
  </w:num>
  <w:num w:numId="13">
    <w:abstractNumId w:val="34"/>
  </w:num>
  <w:num w:numId="14">
    <w:abstractNumId w:val="26"/>
  </w:num>
  <w:num w:numId="15">
    <w:abstractNumId w:val="0"/>
  </w:num>
  <w:num w:numId="16">
    <w:abstractNumId w:val="3"/>
  </w:num>
  <w:num w:numId="17">
    <w:abstractNumId w:val="28"/>
  </w:num>
  <w:num w:numId="18">
    <w:abstractNumId w:val="30"/>
  </w:num>
  <w:num w:numId="19">
    <w:abstractNumId w:val="21"/>
  </w:num>
  <w:num w:numId="20">
    <w:abstractNumId w:val="11"/>
  </w:num>
  <w:num w:numId="21">
    <w:abstractNumId w:val="38"/>
  </w:num>
  <w:num w:numId="22">
    <w:abstractNumId w:val="35"/>
  </w:num>
  <w:num w:numId="23">
    <w:abstractNumId w:val="22"/>
  </w:num>
  <w:num w:numId="24">
    <w:abstractNumId w:val="6"/>
  </w:num>
  <w:num w:numId="25">
    <w:abstractNumId w:val="39"/>
  </w:num>
  <w:num w:numId="26">
    <w:abstractNumId w:val="1"/>
  </w:num>
  <w:num w:numId="27">
    <w:abstractNumId w:val="36"/>
  </w:num>
  <w:num w:numId="28">
    <w:abstractNumId w:val="7"/>
  </w:num>
  <w:num w:numId="29">
    <w:abstractNumId w:val="20"/>
  </w:num>
  <w:num w:numId="30">
    <w:abstractNumId w:val="41"/>
  </w:num>
  <w:num w:numId="31">
    <w:abstractNumId w:val="27"/>
  </w:num>
  <w:num w:numId="32">
    <w:abstractNumId w:val="25"/>
  </w:num>
  <w:num w:numId="33">
    <w:abstractNumId w:val="29"/>
  </w:num>
  <w:num w:numId="34">
    <w:abstractNumId w:val="23"/>
  </w:num>
  <w:num w:numId="35">
    <w:abstractNumId w:val="2"/>
  </w:num>
  <w:num w:numId="36">
    <w:abstractNumId w:val="18"/>
  </w:num>
  <w:num w:numId="37">
    <w:abstractNumId w:val="16"/>
  </w:num>
  <w:num w:numId="38">
    <w:abstractNumId w:val="40"/>
  </w:num>
  <w:num w:numId="39">
    <w:abstractNumId w:val="13"/>
  </w:num>
  <w:num w:numId="40">
    <w:abstractNumId w:val="10"/>
  </w:num>
  <w:num w:numId="41">
    <w:abstractNumId w:val="4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18FF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B38A1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1BC6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671E8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C41CC"/>
    <w:rsid w:val="004E1D0F"/>
    <w:rsid w:val="004E7D1E"/>
    <w:rsid w:val="004F0296"/>
    <w:rsid w:val="004F2607"/>
    <w:rsid w:val="004F333D"/>
    <w:rsid w:val="00503B2D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71F9C"/>
    <w:rsid w:val="005776A2"/>
    <w:rsid w:val="00577C3F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42C9B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D2EE0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490C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050D9"/>
    <w:rsid w:val="00C12112"/>
    <w:rsid w:val="00C17585"/>
    <w:rsid w:val="00C23D4D"/>
    <w:rsid w:val="00C335F0"/>
    <w:rsid w:val="00C35505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5CAF"/>
    <w:rsid w:val="00DC784C"/>
    <w:rsid w:val="00DD1DB3"/>
    <w:rsid w:val="00DD51AE"/>
    <w:rsid w:val="00DD6C05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4463D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BE78D-04C9-48A5-83E4-3BDBA928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2015-01-20T20:26:00Z</cp:lastPrinted>
  <dcterms:created xsi:type="dcterms:W3CDTF">2015-08-18T22:03:00Z</dcterms:created>
  <dcterms:modified xsi:type="dcterms:W3CDTF">2016-03-03T14:40:00Z</dcterms:modified>
</cp:coreProperties>
</file>