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18" w:rsidRPr="005A4108" w:rsidRDefault="00260718" w:rsidP="0026071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260718" w:rsidRDefault="00260718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D342D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79</w:t>
      </w:r>
      <w:r w:rsidR="009D16B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0C3B55" w:rsidRDefault="000C3B55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EA5637" w:rsidRPr="000C3B55" w:rsidRDefault="00714AA6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0C3B55">
        <w:rPr>
          <w:rFonts w:asciiTheme="minorHAnsi" w:eastAsia="Arial Unicode MS" w:hAnsiTheme="minorHAnsi" w:cs="Arial Unicode MS"/>
          <w:w w:val="102"/>
          <w:sz w:val="24"/>
        </w:rPr>
        <w:t>Santa Tecla,</w:t>
      </w:r>
      <w:r w:rsidR="009D16BE">
        <w:rPr>
          <w:rFonts w:asciiTheme="minorHAnsi" w:eastAsia="Arial Unicode MS" w:hAnsiTheme="minorHAnsi" w:cs="Arial Unicode MS"/>
          <w:w w:val="102"/>
          <w:sz w:val="24"/>
        </w:rPr>
        <w:t xml:space="preserve"> D</w:t>
      </w:r>
      <w:r w:rsidR="00B70104" w:rsidRPr="000C3B55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0C3B55">
        <w:rPr>
          <w:rFonts w:asciiTheme="minorHAnsi" w:eastAsia="Arial Unicode MS" w:hAnsiTheme="minorHAnsi" w:cs="Arial Unicode MS"/>
          <w:w w:val="102"/>
          <w:sz w:val="24"/>
        </w:rPr>
        <w:t>a</w:t>
      </w:r>
      <w:r w:rsidR="009D16BE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0C3B55">
        <w:rPr>
          <w:rFonts w:asciiTheme="minorHAnsi" w:eastAsia="Arial Unicode MS" w:hAnsiTheme="minorHAnsi" w:cs="Arial Unicode MS"/>
          <w:spacing w:val="1"/>
          <w:w w:val="102"/>
          <w:sz w:val="24"/>
        </w:rPr>
        <w:t>l</w:t>
      </w:r>
      <w:r w:rsidRPr="000C3B55">
        <w:rPr>
          <w:rFonts w:asciiTheme="minorHAnsi" w:eastAsia="Arial Unicode MS" w:hAnsiTheme="minorHAnsi" w:cs="Arial Unicode MS"/>
          <w:w w:val="102"/>
          <w:sz w:val="24"/>
        </w:rPr>
        <w:t xml:space="preserve">as </w:t>
      </w:r>
      <w:r w:rsidR="004A0CA6" w:rsidRPr="000C3B55">
        <w:rPr>
          <w:rFonts w:asciiTheme="minorHAnsi" w:eastAsia="Arial Unicode MS" w:hAnsiTheme="minorHAnsi" w:cs="Arial Unicode MS"/>
          <w:color w:val="C00000"/>
          <w:w w:val="102"/>
          <w:sz w:val="24"/>
        </w:rPr>
        <w:t>diecis</w:t>
      </w:r>
      <w:r w:rsidR="00822584" w:rsidRPr="000C3B55">
        <w:rPr>
          <w:rFonts w:asciiTheme="minorHAnsi" w:eastAsia="Arial Unicode MS" w:hAnsiTheme="minorHAnsi" w:cs="Arial Unicode MS"/>
          <w:color w:val="C00000"/>
          <w:w w:val="102"/>
          <w:sz w:val="24"/>
        </w:rPr>
        <w:t>iete</w:t>
      </w:r>
      <w:r w:rsidR="009D16BE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0C3B55">
        <w:rPr>
          <w:rFonts w:asciiTheme="minorHAnsi" w:eastAsia="Arial Unicode MS" w:hAnsiTheme="minorHAnsi" w:cs="Arial Unicode MS"/>
          <w:color w:val="C00000"/>
          <w:w w:val="102"/>
          <w:sz w:val="24"/>
        </w:rPr>
        <w:t>horas</w:t>
      </w:r>
      <w:r w:rsidR="009D16BE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0C3B55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0C3B55">
        <w:rPr>
          <w:rFonts w:asciiTheme="minorHAnsi" w:eastAsia="Arial Unicode MS" w:hAnsiTheme="minorHAnsi" w:cs="Arial Unicode MS"/>
          <w:spacing w:val="-4"/>
          <w:w w:val="102"/>
          <w:sz w:val="24"/>
        </w:rPr>
        <w:t>e</w:t>
      </w:r>
      <w:r w:rsidRPr="000C3B55">
        <w:rPr>
          <w:rFonts w:asciiTheme="minorHAnsi" w:eastAsia="Arial Unicode MS" w:hAnsiTheme="minorHAnsi" w:cs="Arial Unicode MS"/>
          <w:w w:val="102"/>
          <w:sz w:val="24"/>
        </w:rPr>
        <w:t>l</w:t>
      </w:r>
      <w:r w:rsidR="009D16BE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0C3B55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0C3B55">
        <w:rPr>
          <w:rFonts w:asciiTheme="minorHAnsi" w:eastAsia="Arial Unicode MS" w:hAnsiTheme="minorHAnsi" w:cs="Arial Unicode MS"/>
          <w:spacing w:val="1"/>
          <w:w w:val="102"/>
          <w:sz w:val="24"/>
        </w:rPr>
        <w:t>í</w:t>
      </w:r>
      <w:r w:rsidRPr="000C3B55">
        <w:rPr>
          <w:rFonts w:asciiTheme="minorHAnsi" w:eastAsia="Arial Unicode MS" w:hAnsiTheme="minorHAnsi" w:cs="Arial Unicode MS"/>
          <w:w w:val="102"/>
          <w:sz w:val="24"/>
        </w:rPr>
        <w:t>a</w:t>
      </w:r>
      <w:r w:rsidR="009D16BE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822584"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21</w:t>
      </w:r>
      <w:r w:rsidR="009D16BE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de </w:t>
      </w:r>
      <w:r w:rsidR="00EA5637"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ju</w:t>
      </w:r>
      <w:r w:rsidR="004A0CA6"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l</w:t>
      </w:r>
      <w:r w:rsidR="00EA5637"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io</w:t>
      </w:r>
      <w:r w:rsidR="009D16BE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de 201</w:t>
      </w:r>
      <w:r w:rsidR="005D78F6"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5</w:t>
      </w:r>
      <w:r w:rsidRPr="000C3B55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, </w:t>
      </w:r>
      <w:r w:rsidRPr="000C3B55">
        <w:rPr>
          <w:rFonts w:asciiTheme="minorHAnsi" w:eastAsia="Arial Unicode MS" w:hAnsiTheme="minorHAnsi" w:cs="Arial Unicode MS"/>
          <w:w w:val="102"/>
          <w:sz w:val="24"/>
        </w:rPr>
        <w:t>el Ministerio de Agricultura y Ganadería luego de haber recibido y admitido la solicitud de información</w:t>
      </w:r>
      <w:r w:rsidR="009D16BE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No. </w:t>
      </w:r>
      <w:r w:rsidR="00CF69F2"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1</w:t>
      </w:r>
      <w:r w:rsidR="00822584"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79</w:t>
      </w:r>
      <w:r w:rsidR="009D16BE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0C3B55">
        <w:rPr>
          <w:rFonts w:asciiTheme="minorHAnsi" w:eastAsia="Arial Unicode MS" w:hAnsiTheme="minorHAnsi" w:cs="Arial Unicode MS"/>
          <w:w w:val="102"/>
          <w:sz w:val="24"/>
        </w:rPr>
        <w:t>sobre:</w:t>
      </w:r>
    </w:p>
    <w:p w:rsidR="00822584" w:rsidRPr="000C3B55" w:rsidRDefault="00822584" w:rsidP="008225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822584" w:rsidRPr="000C3B55" w:rsidRDefault="00822584" w:rsidP="00822584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99"/>
          <w:sz w:val="24"/>
        </w:rPr>
      </w:pPr>
      <w:r w:rsidRPr="000C3B55">
        <w:rPr>
          <w:rFonts w:asciiTheme="minorHAnsi" w:hAnsiTheme="minorHAnsi" w:cstheme="minorHAnsi"/>
          <w:b/>
          <w:color w:val="000099"/>
          <w:sz w:val="24"/>
        </w:rPr>
        <w:t>Información ampliada y todo lo relacionado sobre el producto veterinario GnRF proteína conjugada conocida con el nombre comercial INNOSURE y N° de registro VE2007033582 en el MAG</w:t>
      </w:r>
    </w:p>
    <w:p w:rsidR="00822584" w:rsidRPr="000C3B55" w:rsidRDefault="00822584" w:rsidP="00822584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99"/>
          <w:sz w:val="24"/>
        </w:rPr>
      </w:pPr>
      <w:r w:rsidRPr="000C3B55">
        <w:rPr>
          <w:rFonts w:asciiTheme="minorHAnsi" w:hAnsiTheme="minorHAnsi" w:cstheme="minorHAnsi"/>
          <w:b/>
          <w:color w:val="000099"/>
          <w:sz w:val="24"/>
        </w:rPr>
        <w:t>Así mismo necesita saber si el Consejo Superior de Salud Pública de El Salvador tiene que ver con la autorización de estos productos de uso veterinario.</w:t>
      </w:r>
    </w:p>
    <w:p w:rsidR="00AC795E" w:rsidRPr="000C3B55" w:rsidRDefault="00AC795E" w:rsidP="00AC79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  <w:sz w:val="16"/>
          <w:lang w:val="es-ES"/>
        </w:rPr>
      </w:pPr>
    </w:p>
    <w:p w:rsidR="00ED00B0" w:rsidRPr="000C3B55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0C3B55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0C3B55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0C3B55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9D16B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9D16BE" w:rsidRPr="00F22514">
        <w:rPr>
          <w:highlight w:val="black"/>
        </w:rPr>
        <w:t>Xxxxxxxxxxxx</w:t>
      </w:r>
      <w:r w:rsidR="009D16BE">
        <w:rPr>
          <w:highlight w:val="black"/>
        </w:rPr>
        <w:t>xxxxx</w:t>
      </w:r>
      <w:r w:rsidR="009D16BE" w:rsidRPr="00F22514">
        <w:rPr>
          <w:highlight w:val="black"/>
        </w:rPr>
        <w:t>xxxxx</w:t>
      </w:r>
      <w:r w:rsidR="00822584" w:rsidRPr="000C3B5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,</w:t>
      </w:r>
      <w:r w:rsidR="009D16BE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="00ED00B0" w:rsidRPr="000C3B55">
        <w:rPr>
          <w:rFonts w:asciiTheme="minorHAnsi" w:eastAsia="Arial Unicode MS" w:hAnsiTheme="minorHAnsi" w:cs="Arial Unicode MS"/>
          <w:w w:val="102"/>
          <w:sz w:val="24"/>
        </w:rPr>
        <w:t xml:space="preserve">y considerando que la información solicitada, cumple con los requisitos establecidos en el </w:t>
      </w:r>
      <w:r w:rsidR="009D16BE">
        <w:rPr>
          <w:rFonts w:asciiTheme="minorHAnsi" w:eastAsia="Arial Unicode MS" w:hAnsiTheme="minorHAnsi" w:cs="Arial Unicode MS"/>
          <w:w w:val="102"/>
          <w:sz w:val="24"/>
        </w:rPr>
        <w:t>A</w:t>
      </w:r>
      <w:r w:rsidR="00ED00B0" w:rsidRPr="000C3B55">
        <w:rPr>
          <w:rFonts w:asciiTheme="minorHAnsi" w:eastAsia="Arial Unicode MS" w:hAnsiTheme="minorHAnsi" w:cs="Arial Unicode MS"/>
          <w:w w:val="102"/>
          <w:sz w:val="24"/>
        </w:rPr>
        <w:t xml:space="preserve">rt. 66 de La ley de Acceso a la Información Pública y los </w:t>
      </w:r>
      <w:r w:rsidR="009D16BE">
        <w:rPr>
          <w:rFonts w:asciiTheme="minorHAnsi" w:eastAsia="Arial Unicode MS" w:hAnsiTheme="minorHAnsi" w:cs="Arial Unicode MS"/>
          <w:w w:val="102"/>
          <w:sz w:val="24"/>
        </w:rPr>
        <w:t>A</w:t>
      </w:r>
      <w:r w:rsidR="00ED00B0" w:rsidRPr="000C3B55">
        <w:rPr>
          <w:rFonts w:asciiTheme="minorHAnsi" w:eastAsia="Arial Unicode MS" w:hAnsiTheme="minorHAnsi" w:cs="Arial Unicode MS"/>
          <w:w w:val="102"/>
          <w:sz w:val="24"/>
        </w:rPr>
        <w:t xml:space="preserve">rts. 50, 54 del Reglamento de la Ley de Acceso a la Información Pública, y que la información solicitada no se encuentra entre las excepciones enumeradas en los </w:t>
      </w:r>
      <w:r w:rsidR="009D16BE">
        <w:rPr>
          <w:rFonts w:asciiTheme="minorHAnsi" w:eastAsia="Arial Unicode MS" w:hAnsiTheme="minorHAnsi" w:cs="Arial Unicode MS"/>
          <w:w w:val="102"/>
          <w:sz w:val="24"/>
        </w:rPr>
        <w:t>A</w:t>
      </w:r>
      <w:r w:rsidR="00ED00B0" w:rsidRPr="000C3B55">
        <w:rPr>
          <w:rFonts w:asciiTheme="minorHAnsi" w:eastAsia="Arial Unicode MS" w:hAnsiTheme="minorHAnsi" w:cs="Arial Unicode MS"/>
          <w:w w:val="102"/>
          <w:sz w:val="24"/>
        </w:rPr>
        <w:t xml:space="preserve">rts. 19 y 24 de la Ley, y 19 del Reglamento, resuelve: </w:t>
      </w:r>
    </w:p>
    <w:p w:rsidR="002F26F6" w:rsidRPr="000C3B55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  <w:r w:rsidR="000C3B55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ADJUNTA A LA PRESENTE RESOLUCIÓN</w:t>
      </w:r>
    </w:p>
    <w:p w:rsidR="00D46D1C" w:rsidRDefault="00D46D1C" w:rsidP="00D46D1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D46D1C" w:rsidRDefault="00D46D1C" w:rsidP="00D46D1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D46D1C" w:rsidRDefault="00D46D1C" w:rsidP="00D46D1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AC795E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B22" w:rsidRDefault="00712B22" w:rsidP="00F425A5">
      <w:pPr>
        <w:spacing w:after="0" w:line="240" w:lineRule="auto"/>
      </w:pPr>
      <w:r>
        <w:separator/>
      </w:r>
    </w:p>
  </w:endnote>
  <w:endnote w:type="continuationSeparator" w:id="1">
    <w:p w:rsidR="00712B22" w:rsidRDefault="00712B2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9E396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B22" w:rsidRDefault="00712B22" w:rsidP="00F425A5">
      <w:pPr>
        <w:spacing w:after="0" w:line="240" w:lineRule="auto"/>
      </w:pPr>
      <w:r>
        <w:separator/>
      </w:r>
    </w:p>
  </w:footnote>
  <w:footnote w:type="continuationSeparator" w:id="1">
    <w:p w:rsidR="00712B22" w:rsidRDefault="00712B2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6543A"/>
    <w:multiLevelType w:val="hybridMultilevel"/>
    <w:tmpl w:val="1F3C8B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20"/>
  </w:num>
  <w:num w:numId="20">
    <w:abstractNumId w:val="13"/>
  </w:num>
  <w:num w:numId="21">
    <w:abstractNumId w:val="2"/>
  </w:num>
  <w:num w:numId="22">
    <w:abstractNumId w:val="40"/>
  </w:num>
  <w:num w:numId="23">
    <w:abstractNumId w:val="15"/>
  </w:num>
  <w:num w:numId="24">
    <w:abstractNumId w:val="31"/>
  </w:num>
  <w:num w:numId="25">
    <w:abstractNumId w:val="22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1"/>
  </w:num>
  <w:num w:numId="41">
    <w:abstractNumId w:val="34"/>
  </w:num>
  <w:num w:numId="42">
    <w:abstractNumId w:val="14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00F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C3B55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18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0C7F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B7247"/>
    <w:rsid w:val="004E7D1E"/>
    <w:rsid w:val="004F009D"/>
    <w:rsid w:val="004F164F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67FC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2B22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2584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1E2F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D16BE"/>
    <w:rsid w:val="009E0390"/>
    <w:rsid w:val="009E17F8"/>
    <w:rsid w:val="009E1828"/>
    <w:rsid w:val="009E270B"/>
    <w:rsid w:val="009E3963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5A7F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175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42DC"/>
    <w:rsid w:val="00D36494"/>
    <w:rsid w:val="00D46D1C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EC7F7-F74B-468D-9920-75F2F03A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2014-11-12T21:08:00Z</cp:lastPrinted>
  <dcterms:created xsi:type="dcterms:W3CDTF">2015-07-21T22:52:00Z</dcterms:created>
  <dcterms:modified xsi:type="dcterms:W3CDTF">2016-03-02T20:17:00Z</dcterms:modified>
</cp:coreProperties>
</file>