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50" w:rsidRPr="00F57950" w:rsidRDefault="00F57950" w:rsidP="00F5795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F57950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57950" w:rsidRPr="00F57950" w:rsidRDefault="00F57950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16"/>
          <w:szCs w:val="20"/>
        </w:rPr>
      </w:pPr>
    </w:p>
    <w:p w:rsidR="00714AA6" w:rsidRPr="00663B5B" w:rsidRDefault="00714AA6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 xml:space="preserve">RESOLUCIÓN </w:t>
      </w:r>
      <w:r w:rsidR="00A6281C"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 xml:space="preserve">EN RESPUESTA A </w:t>
      </w:r>
      <w:r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>SOLICITUD</w:t>
      </w:r>
      <w:r w:rsidR="00A6281C"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 xml:space="preserve"> DE INFORMACIÓN </w:t>
      </w:r>
      <w:r w:rsidR="00A05D71"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>N</w:t>
      </w:r>
      <w:r w:rsidR="00640AA6"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 xml:space="preserve">° </w:t>
      </w:r>
      <w:r w:rsidR="007A66F8" w:rsidRPr="00663B5B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>178</w:t>
      </w:r>
      <w:r w:rsidR="00C964CF">
        <w:rPr>
          <w:rFonts w:ascii="Century Gothic" w:eastAsia="Arial Unicode MS" w:hAnsi="Century Gothic" w:cs="Arial Unicode MS"/>
          <w:b/>
          <w:color w:val="000099"/>
          <w:sz w:val="24"/>
          <w:szCs w:val="20"/>
        </w:rPr>
        <w:t>-2015</w:t>
      </w:r>
    </w:p>
    <w:p w:rsidR="0031141E" w:rsidRPr="00F57950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16"/>
          <w:szCs w:val="20"/>
        </w:rPr>
      </w:pPr>
    </w:p>
    <w:p w:rsidR="00C244D4" w:rsidRPr="00663B5B" w:rsidRDefault="00714AA6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w w:val="102"/>
          <w:szCs w:val="20"/>
        </w:rPr>
        <w:t>Santa Tecla,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D</w:t>
      </w:r>
      <w:r w:rsidR="0058211F" w:rsidRPr="00663B5B">
        <w:rPr>
          <w:rFonts w:ascii="Century Gothic" w:eastAsia="Arial Unicode MS" w:hAnsi="Century Gothic" w:cs="Arial Unicode MS"/>
          <w:szCs w:val="20"/>
        </w:rPr>
        <w:t xml:space="preserve">epartamento de La Libertad </w:t>
      </w:r>
      <w:r w:rsidRPr="00663B5B">
        <w:rPr>
          <w:rFonts w:ascii="Century Gothic" w:eastAsia="Arial Unicode MS" w:hAnsi="Century Gothic" w:cs="Arial Unicode MS"/>
          <w:w w:val="102"/>
          <w:szCs w:val="20"/>
        </w:rPr>
        <w:t>a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spacing w:val="1"/>
          <w:w w:val="102"/>
          <w:szCs w:val="20"/>
        </w:rPr>
        <w:t>l</w:t>
      </w:r>
      <w:r w:rsidRPr="00663B5B">
        <w:rPr>
          <w:rFonts w:ascii="Century Gothic" w:eastAsia="Arial Unicode MS" w:hAnsi="Century Gothic" w:cs="Arial Unicode MS"/>
          <w:w w:val="102"/>
          <w:szCs w:val="20"/>
        </w:rPr>
        <w:t xml:space="preserve">as </w:t>
      </w:r>
      <w:r w:rsidR="00F66D63" w:rsidRPr="00663B5B">
        <w:rPr>
          <w:rFonts w:ascii="Century Gothic" w:eastAsia="Arial Unicode MS" w:hAnsi="Century Gothic" w:cs="Arial Unicode MS"/>
          <w:color w:val="C00000"/>
          <w:w w:val="102"/>
          <w:szCs w:val="20"/>
        </w:rPr>
        <w:t>c</w:t>
      </w:r>
      <w:r w:rsidR="00093A66" w:rsidRPr="00663B5B">
        <w:rPr>
          <w:rFonts w:ascii="Century Gothic" w:eastAsia="Arial Unicode MS" w:hAnsi="Century Gothic" w:cs="Arial Unicode MS"/>
          <w:color w:val="C00000"/>
          <w:w w:val="102"/>
          <w:szCs w:val="20"/>
        </w:rPr>
        <w:t>atorce</w:t>
      </w:r>
      <w:r w:rsidR="00C964CF">
        <w:rPr>
          <w:rFonts w:ascii="Century Gothic" w:eastAsia="Arial Unicode MS" w:hAnsi="Century Gothic" w:cs="Arial Unicode MS"/>
          <w:color w:val="C00000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color w:val="C00000"/>
          <w:w w:val="102"/>
          <w:szCs w:val="20"/>
        </w:rPr>
        <w:t>horas</w:t>
      </w:r>
      <w:r w:rsidR="00C964CF">
        <w:rPr>
          <w:rFonts w:ascii="Century Gothic" w:eastAsia="Arial Unicode MS" w:hAnsi="Century Gothic" w:cs="Arial Unicode MS"/>
          <w:color w:val="C00000"/>
          <w:w w:val="102"/>
          <w:szCs w:val="20"/>
        </w:rPr>
        <w:t xml:space="preserve"> </w:t>
      </w:r>
      <w:r w:rsidR="00093A66" w:rsidRPr="00663B5B">
        <w:rPr>
          <w:rFonts w:ascii="Century Gothic" w:eastAsia="Arial Unicode MS" w:hAnsi="Century Gothic" w:cs="Arial Unicode MS"/>
          <w:w w:val="102"/>
          <w:szCs w:val="20"/>
        </w:rPr>
        <w:t>del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w w:val="102"/>
          <w:szCs w:val="20"/>
        </w:rPr>
        <w:t>d</w:t>
      </w:r>
      <w:r w:rsidRPr="00663B5B">
        <w:rPr>
          <w:rFonts w:ascii="Century Gothic" w:eastAsia="Arial Unicode MS" w:hAnsi="Century Gothic" w:cs="Arial Unicode MS"/>
          <w:spacing w:val="1"/>
          <w:w w:val="102"/>
          <w:szCs w:val="20"/>
        </w:rPr>
        <w:t>í</w:t>
      </w:r>
      <w:r w:rsidRPr="00663B5B">
        <w:rPr>
          <w:rFonts w:ascii="Century Gothic" w:eastAsia="Arial Unicode MS" w:hAnsi="Century Gothic" w:cs="Arial Unicode MS"/>
          <w:w w:val="102"/>
          <w:szCs w:val="20"/>
        </w:rPr>
        <w:t>a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</w:t>
      </w:r>
      <w:r w:rsidR="00093A66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1</w:t>
      </w:r>
      <w:r w:rsidR="00F66D63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7</w:t>
      </w:r>
      <w:r w:rsidR="00C964CF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de </w:t>
      </w:r>
      <w:r w:rsidR="00F66D63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julio</w:t>
      </w:r>
      <w:r w:rsidR="00C964CF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de 201</w:t>
      </w:r>
      <w:r w:rsidR="005D78F6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5</w:t>
      </w:r>
      <w:r w:rsidRPr="00663B5B">
        <w:rPr>
          <w:rFonts w:ascii="Century Gothic" w:eastAsia="Arial Unicode MS" w:hAnsi="Century Gothic" w:cs="Arial Unicode MS"/>
          <w:color w:val="000099"/>
          <w:w w:val="102"/>
          <w:szCs w:val="20"/>
        </w:rPr>
        <w:t xml:space="preserve">, </w:t>
      </w:r>
      <w:r w:rsidRPr="00663B5B">
        <w:rPr>
          <w:rFonts w:ascii="Century Gothic" w:eastAsia="Arial Unicode MS" w:hAnsi="Century Gothic" w:cs="Arial Unicode MS"/>
          <w:w w:val="102"/>
          <w:szCs w:val="20"/>
        </w:rPr>
        <w:t>el Ministerio de Agricultura y Ganadería luego de haber recibido y admitido la solicitud de información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No. </w:t>
      </w:r>
      <w:r w:rsidR="00F66D63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178</w:t>
      </w:r>
      <w:r w:rsidR="00C964CF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 </w:t>
      </w:r>
      <w:r w:rsidRPr="00663B5B">
        <w:rPr>
          <w:rFonts w:ascii="Century Gothic" w:eastAsia="Arial Unicode MS" w:hAnsi="Century Gothic" w:cs="Arial Unicode MS"/>
          <w:w w:val="102"/>
          <w:szCs w:val="20"/>
        </w:rPr>
        <w:t>sobre:</w:t>
      </w:r>
    </w:p>
    <w:p w:rsidR="00F66D63" w:rsidRPr="00F57950" w:rsidRDefault="00F66D63" w:rsidP="00F66D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0099"/>
          <w:w w:val="102"/>
          <w:sz w:val="16"/>
          <w:szCs w:val="20"/>
        </w:rPr>
      </w:pPr>
    </w:p>
    <w:p w:rsidR="00F66D63" w:rsidRPr="00663B5B" w:rsidRDefault="00F66D63" w:rsidP="00663B5B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20"/>
        <w:jc w:val="both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Surgimiento del sector ganadero y productos lácteos en El Salvador </w:t>
      </w:r>
    </w:p>
    <w:p w:rsidR="00F66D63" w:rsidRPr="00663B5B" w:rsidRDefault="00F66D63" w:rsidP="00663B5B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20"/>
        <w:jc w:val="both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Información de la situación actual </w:t>
      </w:r>
      <w:r w:rsidR="00EF64BB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(precios) </w:t>
      </w: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de productos lácteos por departamento en El Salvador </w:t>
      </w:r>
    </w:p>
    <w:p w:rsidR="00F66D63" w:rsidRPr="00663B5B" w:rsidRDefault="00F66D63" w:rsidP="00663B5B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20"/>
        <w:jc w:val="both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Información actual de la producción de productos lácteos en El Salvador, con sus respectivas estadísticas de los últimos tres años, (2013-2015) </w:t>
      </w:r>
    </w:p>
    <w:p w:rsidR="00F66D63" w:rsidRPr="00663B5B" w:rsidRDefault="00F66D63" w:rsidP="00663B5B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20"/>
        <w:jc w:val="both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Información actual de las exportaciones e importaciones de productos lácteos en El Salvador, con sus respectivas estadísticas de los 3 años últimos (2013-2015)</w:t>
      </w:r>
    </w:p>
    <w:p w:rsidR="00A50251" w:rsidRPr="00663B5B" w:rsidRDefault="00F66D63" w:rsidP="00663B5B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20"/>
        <w:jc w:val="both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Información sobre estudios realizados por el MAG, respecto a los p</w:t>
      </w:r>
      <w:r w:rsidR="00F24AFD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roductos lácteos en E</w:t>
      </w: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l Salvador</w:t>
      </w:r>
    </w:p>
    <w:p w:rsidR="006551BF" w:rsidRPr="00663B5B" w:rsidRDefault="00BE0B9D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w w:val="102"/>
          <w:szCs w:val="20"/>
        </w:rPr>
        <w:t>P</w:t>
      </w:r>
      <w:r w:rsidR="00EE4B7D" w:rsidRPr="00663B5B">
        <w:rPr>
          <w:rFonts w:ascii="Century Gothic" w:eastAsia="Arial Unicode MS" w:hAnsi="Century Gothic" w:cs="Arial Unicode MS"/>
          <w:w w:val="102"/>
          <w:szCs w:val="20"/>
        </w:rPr>
        <w:t>resentada ante la Oficina de Información y Respuesta de esta dependencia por parte de</w:t>
      </w:r>
      <w:r w:rsidR="00EE4B7D" w:rsidRPr="00663B5B">
        <w:rPr>
          <w:rFonts w:ascii="Century Gothic" w:eastAsia="Arial Unicode MS" w:hAnsi="Century Gothic" w:cs="Arial Unicode MS"/>
          <w:b/>
          <w:color w:val="000099"/>
          <w:szCs w:val="20"/>
        </w:rPr>
        <w:t>:</w:t>
      </w:r>
      <w:r w:rsidR="00C964CF">
        <w:rPr>
          <w:rFonts w:ascii="Century Gothic" w:eastAsia="Arial Unicode MS" w:hAnsi="Century Gothic" w:cs="Arial Unicode MS"/>
          <w:b/>
          <w:color w:val="000099"/>
          <w:szCs w:val="20"/>
        </w:rPr>
        <w:t xml:space="preserve">  </w:t>
      </w:r>
      <w:r w:rsidR="00C964CF" w:rsidRPr="00F22514">
        <w:rPr>
          <w:highlight w:val="black"/>
        </w:rPr>
        <w:t>Xxxxxxxxxxxx</w:t>
      </w:r>
      <w:r w:rsidR="00C964CF">
        <w:rPr>
          <w:highlight w:val="black"/>
        </w:rPr>
        <w:t>xxxxx</w:t>
      </w:r>
      <w:r w:rsidR="00C964CF" w:rsidRPr="00F22514">
        <w:rPr>
          <w:highlight w:val="black"/>
        </w:rPr>
        <w:t>xxxxx</w:t>
      </w:r>
      <w:r w:rsidR="00FD7B14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,</w:t>
      </w:r>
      <w:r w:rsidR="00C964CF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 xml:space="preserve"> </w:t>
      </w:r>
      <w:r w:rsidR="000D12A6" w:rsidRPr="00663B5B">
        <w:rPr>
          <w:rFonts w:ascii="Century Gothic" w:eastAsia="Arial Unicode MS" w:hAnsi="Century Gothic" w:cs="Arial Unicode MS"/>
          <w:w w:val="102"/>
          <w:szCs w:val="20"/>
        </w:rPr>
        <w:t>al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</w:t>
      </w:r>
      <w:r w:rsidR="000E498C" w:rsidRPr="00663B5B">
        <w:rPr>
          <w:rFonts w:ascii="Century Gothic" w:eastAsia="Arial Unicode MS" w:hAnsi="Century Gothic" w:cs="Arial Unicode MS"/>
          <w:w w:val="102"/>
          <w:szCs w:val="20"/>
        </w:rPr>
        <w:t>respecto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 xml:space="preserve"> </w:t>
      </w:r>
      <w:r w:rsidR="00135EE4" w:rsidRPr="00663B5B">
        <w:rPr>
          <w:rFonts w:ascii="Century Gothic" w:eastAsia="Arial Unicode MS" w:hAnsi="Century Gothic" w:cs="Arial Unicode MS"/>
          <w:w w:val="102"/>
          <w:szCs w:val="20"/>
        </w:rPr>
        <w:t xml:space="preserve">acerca de </w:t>
      </w:r>
      <w:r w:rsidR="00C244D4" w:rsidRPr="00663B5B">
        <w:rPr>
          <w:rFonts w:ascii="Century Gothic" w:eastAsia="Arial Unicode MS" w:hAnsi="Century Gothic" w:cs="Arial Unicode MS"/>
          <w:w w:val="102"/>
          <w:szCs w:val="20"/>
        </w:rPr>
        <w:t xml:space="preserve">la información </w:t>
      </w:r>
      <w:r w:rsidR="005D78F6" w:rsidRPr="00663B5B">
        <w:rPr>
          <w:rFonts w:ascii="Century Gothic" w:eastAsia="Arial Unicode MS" w:hAnsi="Century Gothic" w:cs="Arial Unicode MS"/>
          <w:w w:val="102"/>
          <w:szCs w:val="20"/>
        </w:rPr>
        <w:t>sobre</w:t>
      </w:r>
      <w:r w:rsidR="0058211F" w:rsidRPr="00663B5B">
        <w:rPr>
          <w:rFonts w:ascii="Century Gothic" w:eastAsia="Arial Unicode MS" w:hAnsi="Century Gothic" w:cs="Arial Unicode MS"/>
          <w:w w:val="102"/>
          <w:szCs w:val="20"/>
        </w:rPr>
        <w:t xml:space="preserve"> el </w:t>
      </w:r>
      <w:r w:rsidR="00093A66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>surgimiento del sector ganadero y de los productos lácteos en El Salvador</w:t>
      </w:r>
      <w:r w:rsidR="00F66D63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>,</w:t>
      </w:r>
      <w:r w:rsidR="00F57950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 xml:space="preserve"> </w:t>
      </w:r>
      <w:r w:rsidR="006551BF" w:rsidRPr="00663B5B">
        <w:rPr>
          <w:rFonts w:ascii="Century Gothic" w:eastAsia="Arial Unicode MS" w:hAnsi="Century Gothic" w:cs="Arial Unicode MS"/>
          <w:w w:val="102"/>
          <w:szCs w:val="20"/>
        </w:rPr>
        <w:t xml:space="preserve">se analizó el fondo de lo solicitado y </w:t>
      </w:r>
      <w:r w:rsidR="00135EE4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>después de realizada</w:t>
      </w:r>
      <w:r w:rsidR="006551BF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 xml:space="preserve"> una búsqueda de la información en el área respectiva</w:t>
      </w:r>
      <w:r w:rsidR="00135EE4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 xml:space="preserve"> se comprobó que </w:t>
      </w:r>
      <w:r w:rsidR="005D78F6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 xml:space="preserve">es </w:t>
      </w:r>
      <w:r w:rsidR="00093A66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 xml:space="preserve">información que no se posee en este </w:t>
      </w:r>
      <w:r w:rsidR="00F57950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>M</w:t>
      </w:r>
      <w:r w:rsidR="00F57950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>inisterio</w:t>
      </w:r>
      <w:r w:rsidR="00FB2B58" w:rsidRPr="00663B5B">
        <w:rPr>
          <w:rFonts w:ascii="Century Gothic" w:eastAsia="Arial Unicode MS" w:hAnsi="Century Gothic" w:cs="Arial Unicode MS"/>
          <w:color w:val="C00000"/>
          <w:w w:val="102"/>
          <w:szCs w:val="20"/>
        </w:rPr>
        <w:t>;</w:t>
      </w:r>
      <w:r w:rsidR="00F57950">
        <w:rPr>
          <w:rFonts w:ascii="Century Gothic" w:eastAsia="Arial Unicode MS" w:hAnsi="Century Gothic" w:cs="Arial Unicode MS"/>
          <w:color w:val="C00000"/>
          <w:w w:val="102"/>
          <w:szCs w:val="20"/>
        </w:rPr>
        <w:t xml:space="preserve"> </w:t>
      </w:r>
      <w:r w:rsidR="00FB2B58" w:rsidRPr="00663B5B">
        <w:rPr>
          <w:rFonts w:ascii="Century Gothic" w:eastAsia="Arial Unicode MS" w:hAnsi="Century Gothic" w:cs="Arial Unicode MS"/>
          <w:color w:val="C00000"/>
          <w:w w:val="102"/>
          <w:szCs w:val="20"/>
        </w:rPr>
        <w:t xml:space="preserve"> </w:t>
      </w:r>
      <w:r w:rsidR="00FB2B58" w:rsidRPr="00663B5B">
        <w:rPr>
          <w:rFonts w:ascii="Century Gothic" w:eastAsia="Arial Unicode MS" w:hAnsi="Century Gothic" w:cs="Arial Unicode MS"/>
          <w:w w:val="102"/>
          <w:szCs w:val="20"/>
        </w:rPr>
        <w:t>y c</w:t>
      </w:r>
      <w:r w:rsidR="006551BF" w:rsidRPr="00663B5B">
        <w:rPr>
          <w:rFonts w:ascii="Century Gothic" w:eastAsia="Arial Unicode MS" w:hAnsi="Century Gothic" w:cs="Arial Unicode MS"/>
          <w:w w:val="102"/>
          <w:szCs w:val="20"/>
        </w:rPr>
        <w:t xml:space="preserve">onsiderando que la Ley de Acceso a la Información Pública dispone en el 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>A</w:t>
      </w:r>
      <w:r w:rsidR="006551BF" w:rsidRPr="00663B5B">
        <w:rPr>
          <w:rFonts w:ascii="Century Gothic" w:eastAsia="Arial Unicode MS" w:hAnsi="Century Gothic" w:cs="Arial Unicode MS"/>
          <w:w w:val="102"/>
          <w:szCs w:val="20"/>
        </w:rPr>
        <w:t xml:space="preserve">rt. 73 que nos encontramos ante un caso de información </w:t>
      </w:r>
      <w:r w:rsidR="006551BF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INEXISTENTE</w:t>
      </w:r>
      <w:r w:rsidR="006551BF" w:rsidRPr="00663B5B">
        <w:rPr>
          <w:rFonts w:ascii="Century Gothic" w:eastAsia="Arial Unicode MS" w:hAnsi="Century Gothic" w:cs="Arial Unicode MS"/>
          <w:color w:val="000099"/>
          <w:w w:val="102"/>
          <w:szCs w:val="20"/>
        </w:rPr>
        <w:t>,</w:t>
      </w:r>
      <w:r w:rsidR="006551BF" w:rsidRPr="00663B5B">
        <w:rPr>
          <w:rFonts w:ascii="Century Gothic" w:eastAsia="Arial Unicode MS" w:hAnsi="Century Gothic" w:cs="Arial Unicode MS"/>
          <w:w w:val="102"/>
          <w:szCs w:val="20"/>
        </w:rPr>
        <w:t xml:space="preserve"> lo que  impide  brindar lo  requerido  por  el  peticionario, esta dependencia resuelve:</w:t>
      </w:r>
    </w:p>
    <w:p w:rsidR="003C65DE" w:rsidRPr="00F57950" w:rsidRDefault="003C65DE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  <w:sz w:val="14"/>
          <w:szCs w:val="20"/>
        </w:rPr>
      </w:pPr>
    </w:p>
    <w:p w:rsidR="000E498C" w:rsidRPr="00663B5B" w:rsidRDefault="005C2109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DE</w:t>
      </w:r>
      <w:r w:rsidR="006551BF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NEGAR EL ACCESO A LA INFORMAC</w:t>
      </w:r>
      <w:r w:rsidR="00E0601C"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t>IÓN SOLICITADA POR INEXISTENCIA</w:t>
      </w:r>
    </w:p>
    <w:p w:rsidR="006052DD" w:rsidRPr="00F57950" w:rsidRDefault="006052DD" w:rsidP="00FA1F37">
      <w:pPr>
        <w:spacing w:after="0" w:line="240" w:lineRule="auto"/>
        <w:jc w:val="both"/>
        <w:rPr>
          <w:rFonts w:ascii="Century Gothic" w:hAnsi="Century Gothic" w:cstheme="minorHAnsi"/>
          <w:w w:val="102"/>
          <w:sz w:val="18"/>
          <w:szCs w:val="20"/>
        </w:rPr>
      </w:pPr>
    </w:p>
    <w:p w:rsidR="00E0601C" w:rsidRPr="00663B5B" w:rsidRDefault="000D12A6" w:rsidP="00FA1F37">
      <w:pPr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  <w:r w:rsidRPr="00663B5B">
        <w:rPr>
          <w:rFonts w:ascii="Century Gothic" w:hAnsi="Century Gothic" w:cstheme="minorHAnsi"/>
          <w:w w:val="102"/>
          <w:szCs w:val="20"/>
        </w:rPr>
        <w:t>S</w:t>
      </w:r>
      <w:r w:rsidR="007B5ECB" w:rsidRPr="00663B5B">
        <w:rPr>
          <w:rFonts w:ascii="Century Gothic" w:hAnsi="Century Gothic" w:cstheme="minorHAnsi"/>
          <w:w w:val="102"/>
          <w:szCs w:val="20"/>
        </w:rPr>
        <w:t>obre la petici</w:t>
      </w:r>
      <w:r w:rsidR="0058211F" w:rsidRPr="00663B5B">
        <w:rPr>
          <w:rFonts w:ascii="Century Gothic" w:hAnsi="Century Gothic" w:cstheme="minorHAnsi"/>
          <w:w w:val="102"/>
          <w:szCs w:val="20"/>
        </w:rPr>
        <w:t xml:space="preserve">ón correspondiente </w:t>
      </w:r>
      <w:r w:rsidR="007B5ECB" w:rsidRPr="00663B5B">
        <w:rPr>
          <w:rFonts w:ascii="Century Gothic" w:hAnsi="Century Gothic" w:cstheme="minorHAnsi"/>
          <w:w w:val="102"/>
          <w:szCs w:val="20"/>
        </w:rPr>
        <w:t>a</w:t>
      </w:r>
      <w:r w:rsidR="00C964CF">
        <w:rPr>
          <w:rFonts w:ascii="Century Gothic" w:hAnsi="Century Gothic" w:cstheme="minorHAnsi"/>
          <w:w w:val="102"/>
          <w:szCs w:val="20"/>
        </w:rPr>
        <w:t xml:space="preserve"> </w:t>
      </w:r>
      <w:r w:rsidR="0058211F" w:rsidRPr="00663B5B">
        <w:rPr>
          <w:rFonts w:ascii="Century Gothic" w:hAnsi="Century Gothic" w:cstheme="minorHAnsi"/>
          <w:b/>
          <w:i/>
          <w:color w:val="000099"/>
          <w:w w:val="102"/>
          <w:szCs w:val="20"/>
        </w:rPr>
        <w:t>l</w:t>
      </w:r>
      <w:r w:rsidRPr="00663B5B">
        <w:rPr>
          <w:rFonts w:ascii="Century Gothic" w:hAnsi="Century Gothic" w:cstheme="minorHAnsi"/>
          <w:b/>
          <w:i/>
          <w:color w:val="000099"/>
          <w:w w:val="102"/>
          <w:szCs w:val="20"/>
        </w:rPr>
        <w:t>o descrito en los numerales 2, 3 y4</w:t>
      </w:r>
      <w:r w:rsidRPr="00663B5B">
        <w:rPr>
          <w:rFonts w:ascii="Century Gothic" w:hAnsi="Century Gothic" w:cstheme="minorHAnsi"/>
          <w:w w:val="102"/>
          <w:szCs w:val="20"/>
        </w:rPr>
        <w:t>,</w:t>
      </w:r>
      <w:r w:rsidR="00C964CF">
        <w:rPr>
          <w:rFonts w:ascii="Century Gothic" w:hAnsi="Century Gothic" w:cstheme="minorHAnsi"/>
          <w:w w:val="102"/>
          <w:szCs w:val="20"/>
        </w:rPr>
        <w:t xml:space="preserve"> </w:t>
      </w:r>
      <w:r w:rsidR="00E0601C" w:rsidRPr="00663B5B">
        <w:rPr>
          <w:rFonts w:ascii="Century Gothic" w:hAnsi="Century Gothic" w:cstheme="minorHAnsi"/>
          <w:w w:val="102"/>
          <w:szCs w:val="20"/>
        </w:rPr>
        <w:t xml:space="preserve">se estudió lo solicitado determinándose con base al art. 62 inciso 2º que parte de la misma ya está disponible al público. Por lo tanto resuelve: </w:t>
      </w:r>
    </w:p>
    <w:p w:rsidR="00C13F49" w:rsidRDefault="00C13F49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</w:p>
    <w:p w:rsidR="00F57950" w:rsidRPr="00663B5B" w:rsidRDefault="00F57950" w:rsidP="00F57950">
      <w:pPr>
        <w:spacing w:after="0" w:line="240" w:lineRule="auto"/>
        <w:jc w:val="right"/>
        <w:rPr>
          <w:rFonts w:ascii="Century Gothic" w:hAnsi="Century Gothic" w:cstheme="minorHAnsi"/>
          <w:b/>
          <w:color w:val="C00000"/>
          <w:w w:val="102"/>
          <w:sz w:val="18"/>
          <w:szCs w:val="20"/>
        </w:rPr>
      </w:pPr>
      <w:r w:rsidRPr="00663B5B">
        <w:rPr>
          <w:rFonts w:ascii="Century Gothic" w:hAnsi="Century Gothic" w:cstheme="minorHAnsi"/>
          <w:b/>
          <w:color w:val="C00000"/>
          <w:w w:val="102"/>
          <w:sz w:val="18"/>
          <w:szCs w:val="20"/>
        </w:rPr>
        <w:t>1/2</w:t>
      </w:r>
    </w:p>
    <w:p w:rsidR="00F57950" w:rsidRPr="00663B5B" w:rsidRDefault="00F57950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</w:p>
    <w:p w:rsidR="00E0601C" w:rsidRPr="00663B5B" w:rsidRDefault="00E0601C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w w:val="102"/>
          <w:szCs w:val="20"/>
        </w:rPr>
        <w:lastRenderedPageBreak/>
        <w:t>ORIENTAR LA UBICACIÓN DE LA INFORMACIÓN SOLICITADA</w:t>
      </w:r>
    </w:p>
    <w:p w:rsidR="00C964CF" w:rsidRDefault="00C964CF" w:rsidP="00FA1F37">
      <w:pPr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  <w:bookmarkStart w:id="0" w:name="_GoBack"/>
      <w:bookmarkEnd w:id="0"/>
    </w:p>
    <w:p w:rsidR="000D12A6" w:rsidRPr="00663B5B" w:rsidRDefault="00E0601C" w:rsidP="00FA1F37">
      <w:pPr>
        <w:spacing w:after="0" w:line="240" w:lineRule="auto"/>
        <w:jc w:val="both"/>
        <w:rPr>
          <w:rFonts w:ascii="Century Gothic" w:hAnsi="Century Gothic" w:cstheme="minorHAnsi"/>
          <w:color w:val="000099"/>
          <w:w w:val="102"/>
          <w:szCs w:val="20"/>
        </w:rPr>
      </w:pPr>
      <w:r w:rsidRPr="00663B5B">
        <w:rPr>
          <w:rFonts w:ascii="Century Gothic" w:hAnsi="Century Gothic" w:cstheme="minorHAnsi"/>
          <w:w w:val="102"/>
          <w:szCs w:val="20"/>
        </w:rPr>
        <w:t xml:space="preserve">La cual podrá consultarse, adquirirse o reproducirse en la página </w:t>
      </w:r>
      <w:r w:rsidR="00C13F49" w:rsidRPr="00663B5B">
        <w:rPr>
          <w:rFonts w:ascii="Century Gothic" w:hAnsi="Century Gothic" w:cstheme="minorHAnsi"/>
          <w:color w:val="000099"/>
          <w:w w:val="102"/>
          <w:szCs w:val="20"/>
        </w:rPr>
        <w:t>web del MAG</w:t>
      </w:r>
      <w:r w:rsidRPr="00663B5B">
        <w:rPr>
          <w:rFonts w:ascii="Century Gothic" w:hAnsi="Century Gothic" w:cstheme="minorHAnsi"/>
          <w:b/>
          <w:color w:val="000099"/>
          <w:w w:val="102"/>
          <w:szCs w:val="20"/>
        </w:rPr>
        <w:t>www.mag.gob.sv</w:t>
      </w:r>
      <w:r w:rsidRPr="00663B5B">
        <w:rPr>
          <w:rFonts w:ascii="Century Gothic" w:hAnsi="Century Gothic" w:cstheme="minorHAnsi"/>
          <w:w w:val="102"/>
          <w:szCs w:val="20"/>
        </w:rPr>
        <w:t xml:space="preserve">, </w:t>
      </w:r>
      <w:r w:rsidR="00C13F49" w:rsidRPr="00663B5B">
        <w:rPr>
          <w:rFonts w:ascii="Century Gothic" w:hAnsi="Century Gothic" w:cstheme="minorHAnsi"/>
          <w:color w:val="000099"/>
          <w:w w:val="102"/>
          <w:szCs w:val="20"/>
        </w:rPr>
        <w:t xml:space="preserve">en </w:t>
      </w:r>
      <w:r w:rsidR="000D12A6" w:rsidRPr="00663B5B">
        <w:rPr>
          <w:rFonts w:ascii="Century Gothic" w:hAnsi="Century Gothic" w:cstheme="minorHAnsi"/>
          <w:color w:val="000099"/>
          <w:w w:val="102"/>
          <w:szCs w:val="20"/>
        </w:rPr>
        <w:t>las siguientes secciones:</w:t>
      </w:r>
    </w:p>
    <w:p w:rsidR="000D12A6" w:rsidRPr="00663B5B" w:rsidRDefault="000D12A6" w:rsidP="00FA1F37">
      <w:pPr>
        <w:spacing w:after="0" w:line="240" w:lineRule="auto"/>
        <w:jc w:val="both"/>
        <w:rPr>
          <w:rFonts w:ascii="Century Gothic" w:hAnsi="Century Gothic" w:cstheme="minorHAnsi"/>
          <w:color w:val="000099"/>
          <w:w w:val="102"/>
          <w:szCs w:val="20"/>
        </w:rPr>
      </w:pPr>
    </w:p>
    <w:p w:rsidR="00FB2B58" w:rsidRPr="00663B5B" w:rsidRDefault="000D12A6" w:rsidP="00663B5B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 w:cstheme="minorHAnsi"/>
          <w:b/>
          <w:w w:val="102"/>
          <w:szCs w:val="20"/>
          <w:u w:val="single"/>
        </w:rPr>
      </w:pPr>
      <w:r w:rsidRPr="00663B5B">
        <w:rPr>
          <w:rFonts w:ascii="Century Gothic" w:hAnsi="Century Gothic" w:cstheme="minorHAnsi"/>
          <w:b/>
          <w:w w:val="102"/>
          <w:szCs w:val="20"/>
          <w:u w:val="single"/>
        </w:rPr>
        <w:t>Producción, exportación y Precios:</w:t>
      </w:r>
    </w:p>
    <w:p w:rsidR="000D12A6" w:rsidRPr="00663B5B" w:rsidRDefault="000D12A6" w:rsidP="00663B5B">
      <w:pPr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  <w:r w:rsidRPr="00663B5B">
        <w:rPr>
          <w:rFonts w:ascii="Century Gothic" w:hAnsi="Century Gothic" w:cstheme="minorHAnsi"/>
          <w:w w:val="102"/>
          <w:szCs w:val="20"/>
        </w:rPr>
        <w:t>Sección Temas: Estadísticas Agropecuarias</w:t>
      </w:r>
    </w:p>
    <w:p w:rsidR="000D12A6" w:rsidRPr="00663B5B" w:rsidRDefault="000D12A6" w:rsidP="00663B5B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 w:cstheme="minorHAnsi"/>
          <w:b/>
          <w:w w:val="102"/>
          <w:szCs w:val="20"/>
          <w:u w:val="single"/>
        </w:rPr>
      </w:pPr>
      <w:r w:rsidRPr="00663B5B">
        <w:rPr>
          <w:rFonts w:ascii="Century Gothic" w:hAnsi="Century Gothic" w:cstheme="minorHAnsi"/>
          <w:b/>
          <w:w w:val="102"/>
          <w:szCs w:val="20"/>
          <w:u w:val="single"/>
        </w:rPr>
        <w:t>Importación</w:t>
      </w:r>
    </w:p>
    <w:p w:rsidR="000D12A6" w:rsidRPr="00663B5B" w:rsidRDefault="000D12A6" w:rsidP="00663B5B">
      <w:pPr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  <w:r w:rsidRPr="00663B5B">
        <w:rPr>
          <w:rFonts w:ascii="Century Gothic" w:hAnsi="Century Gothic" w:cstheme="minorHAnsi"/>
          <w:w w:val="102"/>
          <w:szCs w:val="20"/>
        </w:rPr>
        <w:t>Sección Servicios/En Línea/Autorizaciones Fitozoosanitarias/Estadísticas</w:t>
      </w:r>
    </w:p>
    <w:p w:rsidR="00FB2B58" w:rsidRPr="00663B5B" w:rsidRDefault="00FB2B58" w:rsidP="00FA1F37">
      <w:pPr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</w:p>
    <w:p w:rsidR="00663B5B" w:rsidRPr="00663B5B" w:rsidRDefault="000D12A6" w:rsidP="004235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  <w:r w:rsidRPr="00663B5B">
        <w:rPr>
          <w:rFonts w:ascii="Century Gothic" w:hAnsi="Century Gothic" w:cstheme="minorHAnsi"/>
          <w:w w:val="102"/>
          <w:szCs w:val="20"/>
        </w:rPr>
        <w:t>También puede consultar al Banco Central de Reserva para obtener información más actualizada sobre exportaciones</w:t>
      </w:r>
      <w:r w:rsidR="00663B5B" w:rsidRPr="00663B5B">
        <w:rPr>
          <w:rFonts w:ascii="Century Gothic" w:hAnsi="Century Gothic" w:cstheme="minorHAnsi"/>
          <w:w w:val="102"/>
          <w:szCs w:val="20"/>
        </w:rPr>
        <w:t>:</w:t>
      </w:r>
    </w:p>
    <w:p w:rsidR="00663B5B" w:rsidRPr="00663B5B" w:rsidRDefault="00663B5B" w:rsidP="004235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b/>
          <w:color w:val="000099"/>
          <w:szCs w:val="20"/>
        </w:rPr>
      </w:pPr>
    </w:p>
    <w:p w:rsidR="0042356C" w:rsidRPr="00663B5B" w:rsidRDefault="0042356C" w:rsidP="004235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Cs w:val="20"/>
        </w:rPr>
      </w:pPr>
      <w:r w:rsidRPr="00663B5B">
        <w:rPr>
          <w:rFonts w:ascii="Century Gothic" w:eastAsia="Arial Unicode MS" w:hAnsi="Century Gothic" w:cstheme="minorHAnsi"/>
          <w:b/>
          <w:color w:val="000099"/>
          <w:szCs w:val="20"/>
        </w:rPr>
        <w:t xml:space="preserve">Banco Central de Reserva BCR: </w:t>
      </w:r>
      <w:r w:rsidRPr="00663B5B">
        <w:rPr>
          <w:rFonts w:ascii="Century Gothic" w:eastAsia="Arial Unicode MS" w:hAnsi="Century Gothic" w:cstheme="minorHAnsi"/>
          <w:szCs w:val="20"/>
        </w:rPr>
        <w:t xml:space="preserve">Oficial de Información: Flor Idania Romero de Fernández, Edificio BCR, Alameda Juan Pablo II, entre 15 y 17 Av. Norte, Planta Principal; </w:t>
      </w:r>
      <w:hyperlink r:id="rId8" w:history="1">
        <w:r w:rsidRPr="00663B5B">
          <w:rPr>
            <w:rFonts w:ascii="Century Gothic" w:eastAsia="Arial Unicode MS" w:hAnsi="Century Gothic" w:cstheme="minorHAnsi"/>
            <w:szCs w:val="20"/>
          </w:rPr>
          <w:t>oficial.informacion@bcr.gob.sv</w:t>
        </w:r>
      </w:hyperlink>
      <w:r w:rsidRPr="00663B5B">
        <w:rPr>
          <w:rFonts w:ascii="Century Gothic" w:eastAsia="Arial Unicode MS" w:hAnsi="Century Gothic" w:cstheme="minorHAnsi"/>
          <w:szCs w:val="20"/>
        </w:rPr>
        <w:t>,  2281-8030.</w:t>
      </w:r>
    </w:p>
    <w:p w:rsidR="000D12A6" w:rsidRPr="00663B5B" w:rsidRDefault="000D12A6" w:rsidP="00FA1F37">
      <w:pPr>
        <w:spacing w:after="0" w:line="240" w:lineRule="auto"/>
        <w:jc w:val="both"/>
        <w:rPr>
          <w:rFonts w:ascii="Century Gothic" w:hAnsi="Century Gothic" w:cstheme="minorHAnsi"/>
          <w:w w:val="102"/>
          <w:szCs w:val="20"/>
        </w:rPr>
      </w:pPr>
    </w:p>
    <w:p w:rsidR="0042356C" w:rsidRPr="00663B5B" w:rsidRDefault="00FA1F37" w:rsidP="004235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  <w:szCs w:val="20"/>
        </w:rPr>
      </w:pPr>
      <w:r w:rsidRPr="00663B5B">
        <w:rPr>
          <w:rFonts w:ascii="Century Gothic" w:hAnsi="Century Gothic" w:cstheme="minorHAnsi"/>
          <w:w w:val="102"/>
          <w:szCs w:val="20"/>
        </w:rPr>
        <w:t>Sobre</w:t>
      </w:r>
      <w:r w:rsidR="00967D25" w:rsidRPr="00663B5B">
        <w:rPr>
          <w:rFonts w:ascii="Century Gothic" w:hAnsi="Century Gothic" w:cstheme="minorHAnsi"/>
          <w:w w:val="102"/>
          <w:szCs w:val="20"/>
        </w:rPr>
        <w:t xml:space="preserve"> lo </w:t>
      </w:r>
      <w:r w:rsidR="00663B5B">
        <w:rPr>
          <w:rFonts w:ascii="Century Gothic" w:hAnsi="Century Gothic" w:cstheme="minorHAnsi"/>
          <w:w w:val="102"/>
          <w:szCs w:val="20"/>
        </w:rPr>
        <w:t xml:space="preserve">requerido </w:t>
      </w:r>
      <w:r w:rsidR="000D12A6" w:rsidRPr="00663B5B">
        <w:rPr>
          <w:rFonts w:ascii="Century Gothic" w:eastAsia="Arial Unicode MS" w:hAnsi="Century Gothic" w:cs="Arial Unicode MS"/>
          <w:b/>
          <w:i/>
          <w:color w:val="000099"/>
          <w:w w:val="102"/>
          <w:szCs w:val="20"/>
        </w:rPr>
        <w:t>sobre estudios realizados por el MAG, respecto a los productos lácteos en El Salvador</w:t>
      </w:r>
      <w:r w:rsidR="00663B5B">
        <w:rPr>
          <w:rFonts w:ascii="Century Gothic" w:eastAsia="Arial Unicode MS" w:hAnsi="Century Gothic" w:cs="Arial Unicode MS"/>
          <w:w w:val="102"/>
          <w:szCs w:val="20"/>
        </w:rPr>
        <w:t>,</w:t>
      </w:r>
      <w:r w:rsidR="0042356C" w:rsidRPr="00663B5B">
        <w:rPr>
          <w:rFonts w:ascii="Century Gothic" w:eastAsia="Arial Unicode MS" w:hAnsi="Century Gothic" w:cs="Arial Unicode MS"/>
          <w:w w:val="102"/>
          <w:szCs w:val="20"/>
        </w:rPr>
        <w:t xml:space="preserve"> considerando que la información solicitada, cumple con los requisitos establecidos en el 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>A</w:t>
      </w:r>
      <w:r w:rsidR="0042356C" w:rsidRPr="00663B5B">
        <w:rPr>
          <w:rFonts w:ascii="Century Gothic" w:eastAsia="Arial Unicode MS" w:hAnsi="Century Gothic" w:cs="Arial Unicode MS"/>
          <w:w w:val="102"/>
          <w:szCs w:val="20"/>
        </w:rPr>
        <w:t xml:space="preserve">rt. 66 de La ley de Acceso a la Información Pública y los </w:t>
      </w:r>
      <w:r w:rsidR="00C964CF">
        <w:rPr>
          <w:rFonts w:ascii="Century Gothic" w:eastAsia="Arial Unicode MS" w:hAnsi="Century Gothic" w:cs="Arial Unicode MS"/>
          <w:w w:val="102"/>
          <w:szCs w:val="20"/>
        </w:rPr>
        <w:t>A</w:t>
      </w:r>
      <w:r w:rsidR="0042356C" w:rsidRPr="00663B5B">
        <w:rPr>
          <w:rFonts w:ascii="Century Gothic" w:eastAsia="Arial Unicode MS" w:hAnsi="Century Gothic" w:cs="Arial Unicode MS"/>
          <w:w w:val="102"/>
          <w:szCs w:val="20"/>
        </w:rPr>
        <w:t>rts. 50, 54 del Reglamento de la Ley de Acceso a la Información Pública, y que la información solicitada no se encuentra entre las excepciones  enumeradas en los arts. 19 y 24 de la Ley, y 19 del Reglamento, resuelve:</w:t>
      </w:r>
    </w:p>
    <w:p w:rsidR="0042356C" w:rsidRPr="00663B5B" w:rsidRDefault="0042356C" w:rsidP="0042356C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Cs w:val="20"/>
        </w:rPr>
      </w:pPr>
    </w:p>
    <w:p w:rsidR="0042356C" w:rsidRPr="00663B5B" w:rsidRDefault="0042356C" w:rsidP="0042356C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Cs w:val="20"/>
        </w:rPr>
      </w:pPr>
      <w:r w:rsidRPr="00663B5B">
        <w:rPr>
          <w:rFonts w:ascii="Century Gothic" w:eastAsia="Arial Unicode MS" w:hAnsi="Century Gothic" w:cs="Arial Unicode MS"/>
          <w:b/>
          <w:color w:val="000099"/>
          <w:szCs w:val="20"/>
        </w:rPr>
        <w:t>PROPORCIONAR LA INFORMACIÓN PÚBLICA SOLICITADA ADJUNTA A LA PRESENTE RESOLUCIÓN</w:t>
      </w:r>
    </w:p>
    <w:p w:rsidR="00FA1F37" w:rsidRPr="00663B5B" w:rsidRDefault="00FA1F37" w:rsidP="000D1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w w:val="102"/>
          <w:szCs w:val="20"/>
        </w:rPr>
      </w:pPr>
    </w:p>
    <w:p w:rsidR="00FB2B58" w:rsidRPr="00F66D63" w:rsidRDefault="00FB2B58" w:rsidP="00C244D4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AA5F13" w:rsidRPr="00F66D63" w:rsidRDefault="00AA5F13" w:rsidP="00C244D4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171316" w:rsidRPr="00F66D63" w:rsidRDefault="00171316" w:rsidP="00C244D4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171316" w:rsidRPr="00F66D63" w:rsidRDefault="00171316" w:rsidP="00C244D4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5C2109" w:rsidRPr="00F66D63" w:rsidRDefault="005C2109" w:rsidP="00C244D4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5D0CCD" w:rsidRPr="00663B5B" w:rsidRDefault="005D0CCD" w:rsidP="005D0CCD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18"/>
        </w:rPr>
      </w:pPr>
      <w:r w:rsidRPr="00663B5B">
        <w:rPr>
          <w:rFonts w:asciiTheme="minorHAnsi" w:hAnsiTheme="minorHAnsi" w:cstheme="minorHAnsi"/>
          <w:b/>
          <w:color w:val="C00000"/>
          <w:w w:val="102"/>
          <w:sz w:val="18"/>
        </w:rPr>
        <w:t>2/2</w:t>
      </w:r>
    </w:p>
    <w:p w:rsidR="00AA5F13" w:rsidRPr="00F66D63" w:rsidRDefault="00AA5F13" w:rsidP="00C244D4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sectPr w:rsidR="00AA5F13" w:rsidRPr="00F66D6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47A" w:rsidRDefault="009F747A" w:rsidP="00F425A5">
      <w:pPr>
        <w:spacing w:after="0" w:line="240" w:lineRule="auto"/>
      </w:pPr>
      <w:r>
        <w:separator/>
      </w:r>
    </w:p>
  </w:endnote>
  <w:endnote w:type="continuationSeparator" w:id="1">
    <w:p w:rsidR="009F747A" w:rsidRDefault="009F747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591FD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63B5B" w:rsidRDefault="0004056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r w:rsidR="00663B5B" w:rsidRPr="00663B5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CRUZ – OFICIAL DE INFORMACION - </w:t>
                </w:r>
                <w:r w:rsidR="00123F84" w:rsidRPr="00663B5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47A" w:rsidRDefault="009F747A" w:rsidP="00F425A5">
      <w:pPr>
        <w:spacing w:after="0" w:line="240" w:lineRule="auto"/>
      </w:pPr>
      <w:r>
        <w:separator/>
      </w:r>
    </w:p>
  </w:footnote>
  <w:footnote w:type="continuationSeparator" w:id="1">
    <w:p w:rsidR="009F747A" w:rsidRDefault="009F747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15D55"/>
    <w:multiLevelType w:val="hybridMultilevel"/>
    <w:tmpl w:val="68E8EA9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674EC"/>
    <w:multiLevelType w:val="hybridMultilevel"/>
    <w:tmpl w:val="C7ACA1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44484"/>
    <w:multiLevelType w:val="hybridMultilevel"/>
    <w:tmpl w:val="5B9002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46C20"/>
    <w:multiLevelType w:val="hybridMultilevel"/>
    <w:tmpl w:val="C55618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37"/>
  </w:num>
  <w:num w:numId="8">
    <w:abstractNumId w:val="9"/>
  </w:num>
  <w:num w:numId="9">
    <w:abstractNumId w:val="12"/>
  </w:num>
  <w:num w:numId="10">
    <w:abstractNumId w:val="10"/>
  </w:num>
  <w:num w:numId="11">
    <w:abstractNumId w:val="17"/>
  </w:num>
  <w:num w:numId="12">
    <w:abstractNumId w:val="35"/>
  </w:num>
  <w:num w:numId="13">
    <w:abstractNumId w:val="36"/>
  </w:num>
  <w:num w:numId="14">
    <w:abstractNumId w:val="30"/>
  </w:num>
  <w:num w:numId="15">
    <w:abstractNumId w:val="0"/>
  </w:num>
  <w:num w:numId="16">
    <w:abstractNumId w:val="4"/>
  </w:num>
  <w:num w:numId="17">
    <w:abstractNumId w:val="33"/>
  </w:num>
  <w:num w:numId="18">
    <w:abstractNumId w:val="25"/>
  </w:num>
  <w:num w:numId="19">
    <w:abstractNumId w:val="21"/>
  </w:num>
  <w:num w:numId="20">
    <w:abstractNumId w:val="14"/>
  </w:num>
  <w:num w:numId="21">
    <w:abstractNumId w:val="3"/>
  </w:num>
  <w:num w:numId="22">
    <w:abstractNumId w:val="38"/>
  </w:num>
  <w:num w:numId="23">
    <w:abstractNumId w:val="16"/>
  </w:num>
  <w:num w:numId="24">
    <w:abstractNumId w:val="31"/>
  </w:num>
  <w:num w:numId="25">
    <w:abstractNumId w:val="22"/>
  </w:num>
  <w:num w:numId="26">
    <w:abstractNumId w:val="8"/>
  </w:num>
  <w:num w:numId="27">
    <w:abstractNumId w:val="11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2"/>
  </w:num>
  <w:num w:numId="35">
    <w:abstractNumId w:val="39"/>
  </w:num>
  <w:num w:numId="36">
    <w:abstractNumId w:val="26"/>
  </w:num>
  <w:num w:numId="37">
    <w:abstractNumId w:val="6"/>
  </w:num>
  <w:num w:numId="38">
    <w:abstractNumId w:val="15"/>
  </w:num>
  <w:num w:numId="39">
    <w:abstractNumId w:val="1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0560"/>
    <w:rsid w:val="00047C80"/>
    <w:rsid w:val="00061F96"/>
    <w:rsid w:val="00064990"/>
    <w:rsid w:val="00076DC9"/>
    <w:rsid w:val="00082DBE"/>
    <w:rsid w:val="0008686D"/>
    <w:rsid w:val="00093A66"/>
    <w:rsid w:val="000A4CBF"/>
    <w:rsid w:val="000C2AB4"/>
    <w:rsid w:val="000C2DC9"/>
    <w:rsid w:val="000D12A6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A01"/>
    <w:rsid w:val="00272B14"/>
    <w:rsid w:val="002809EB"/>
    <w:rsid w:val="00284857"/>
    <w:rsid w:val="00284D32"/>
    <w:rsid w:val="00295856"/>
    <w:rsid w:val="002A328B"/>
    <w:rsid w:val="002B5F02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56C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91FDC"/>
    <w:rsid w:val="005A145C"/>
    <w:rsid w:val="005A2DEF"/>
    <w:rsid w:val="005A324F"/>
    <w:rsid w:val="005A5A38"/>
    <w:rsid w:val="005B0347"/>
    <w:rsid w:val="005B54B3"/>
    <w:rsid w:val="005C2109"/>
    <w:rsid w:val="005D0CCD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3B5B"/>
    <w:rsid w:val="00665066"/>
    <w:rsid w:val="00673515"/>
    <w:rsid w:val="006773A7"/>
    <w:rsid w:val="006819DD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27125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A66F8"/>
    <w:rsid w:val="007B0068"/>
    <w:rsid w:val="007B361B"/>
    <w:rsid w:val="007B5ECB"/>
    <w:rsid w:val="007C1E92"/>
    <w:rsid w:val="007C7301"/>
    <w:rsid w:val="007E4665"/>
    <w:rsid w:val="007F0048"/>
    <w:rsid w:val="007F334C"/>
    <w:rsid w:val="007F3696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1778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113A"/>
    <w:rsid w:val="00953BB6"/>
    <w:rsid w:val="00953D9A"/>
    <w:rsid w:val="00960348"/>
    <w:rsid w:val="00963746"/>
    <w:rsid w:val="00967D25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9F747A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025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1CF9"/>
    <w:rsid w:val="00C64430"/>
    <w:rsid w:val="00C65938"/>
    <w:rsid w:val="00C6683B"/>
    <w:rsid w:val="00C67029"/>
    <w:rsid w:val="00C74EEC"/>
    <w:rsid w:val="00C755F3"/>
    <w:rsid w:val="00C7663B"/>
    <w:rsid w:val="00C95523"/>
    <w:rsid w:val="00C96045"/>
    <w:rsid w:val="00C960BF"/>
    <w:rsid w:val="00C964CF"/>
    <w:rsid w:val="00CA13D3"/>
    <w:rsid w:val="00CA315B"/>
    <w:rsid w:val="00CA34A6"/>
    <w:rsid w:val="00CA622D"/>
    <w:rsid w:val="00CA73AC"/>
    <w:rsid w:val="00CB052D"/>
    <w:rsid w:val="00CB4FE6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0D5A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4BB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4AFD"/>
    <w:rsid w:val="00F340B3"/>
    <w:rsid w:val="00F34BBE"/>
    <w:rsid w:val="00F37EDE"/>
    <w:rsid w:val="00F4168F"/>
    <w:rsid w:val="00F42572"/>
    <w:rsid w:val="00F425A5"/>
    <w:rsid w:val="00F56B70"/>
    <w:rsid w:val="00F57950"/>
    <w:rsid w:val="00F614C1"/>
    <w:rsid w:val="00F661DE"/>
    <w:rsid w:val="00F66D63"/>
    <w:rsid w:val="00F676B8"/>
    <w:rsid w:val="00F74DA6"/>
    <w:rsid w:val="00F8709D"/>
    <w:rsid w:val="00F95BDF"/>
    <w:rsid w:val="00FA0B50"/>
    <w:rsid w:val="00FA1F37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7B14"/>
    <w:rsid w:val="00FE24A9"/>
    <w:rsid w:val="00FE30C6"/>
    <w:rsid w:val="00FE31E9"/>
    <w:rsid w:val="00FE71D5"/>
    <w:rsid w:val="00FE75A1"/>
    <w:rsid w:val="00FF10F2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08352-77C1-4829-A29E-64B619F6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19</cp:revision>
  <cp:lastPrinted>2014-11-12T21:08:00Z</cp:lastPrinted>
  <dcterms:created xsi:type="dcterms:W3CDTF">2015-07-07T21:28:00Z</dcterms:created>
  <dcterms:modified xsi:type="dcterms:W3CDTF">2016-03-02T20:16:00Z</dcterms:modified>
</cp:coreProperties>
</file>