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71" w:rsidRPr="0071505D" w:rsidRDefault="00C34271" w:rsidP="00C3427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5175C7" w:rsidRDefault="00714AA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125</w:t>
      </w:r>
      <w:r w:rsidR="00A908E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5175C7" w:rsidRDefault="0031141E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C244D4" w:rsidRPr="005175C7" w:rsidRDefault="00714AA6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Santa Tecla,</w:t>
      </w:r>
      <w:r w:rsidR="000501D2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="00B70104" w:rsidRPr="005175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A908EB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spacing w:val="1"/>
          <w:w w:val="102"/>
          <w:sz w:val="24"/>
          <w:szCs w:val="24"/>
        </w:rPr>
        <w:t>l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as </w:t>
      </w:r>
      <w:r w:rsidR="00FA6903"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quince</w:t>
      </w:r>
      <w:r w:rsidR="000501D2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horas</w:t>
      </w:r>
      <w:r w:rsidR="00C244D4"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con </w:t>
      </w:r>
      <w:r w:rsidR="00FA6903"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doce</w:t>
      </w:r>
      <w:r w:rsidR="00C244D4"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minutos</w:t>
      </w:r>
      <w:r w:rsidR="000501D2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d</w:t>
      </w:r>
      <w:r w:rsidRPr="005175C7">
        <w:rPr>
          <w:rFonts w:asciiTheme="minorHAnsi" w:eastAsia="Arial Unicode MS" w:hAnsiTheme="minorHAnsi" w:cs="Arial Unicode MS"/>
          <w:spacing w:val="-4"/>
          <w:w w:val="102"/>
          <w:sz w:val="24"/>
          <w:szCs w:val="24"/>
        </w:rPr>
        <w:t>e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l</w:t>
      </w:r>
      <w:r w:rsidR="000501D2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d</w:t>
      </w:r>
      <w:r w:rsidRPr="005175C7">
        <w:rPr>
          <w:rFonts w:asciiTheme="minorHAnsi" w:eastAsia="Arial Unicode MS" w:hAnsiTheme="minorHAnsi" w:cs="Arial Unicode MS"/>
          <w:spacing w:val="1"/>
          <w:w w:val="102"/>
          <w:sz w:val="24"/>
          <w:szCs w:val="24"/>
        </w:rPr>
        <w:t>í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0501D2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29</w:t>
      </w:r>
      <w:r w:rsidR="00A908EB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de </w:t>
      </w:r>
      <w:r w:rsidR="00B70104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mayo</w:t>
      </w:r>
      <w:r w:rsidR="000501D2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de 201</w:t>
      </w:r>
      <w:r w:rsidR="005D78F6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5</w:t>
      </w:r>
      <w:r w:rsidRPr="005175C7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 xml:space="preserve">, 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0501D2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No.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12</w:t>
      </w:r>
      <w:r w:rsidR="00E757D8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5 </w:t>
      </w: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sobre:</w:t>
      </w:r>
    </w:p>
    <w:p w:rsidR="00633096" w:rsidRPr="005175C7" w:rsidRDefault="000501D2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14"/>
          <w:szCs w:val="24"/>
        </w:rPr>
      </w:pPr>
      <w:r>
        <w:rPr>
          <w:rFonts w:asciiTheme="minorHAnsi" w:eastAsia="Arial Unicode MS" w:hAnsiTheme="minorHAnsi" w:cs="Arial Unicode MS"/>
          <w:color w:val="000099"/>
          <w:w w:val="102"/>
          <w:sz w:val="14"/>
          <w:szCs w:val="24"/>
        </w:rPr>
        <w:t xml:space="preserve"> </w:t>
      </w:r>
    </w:p>
    <w:p w:rsidR="00FA6903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Copias certificadas del Proceso de Licitación Abierta  DR-CAFTA-LA006  MAG-2015 “Servicios de Vigilancia Privada para el MAG y sus dependencias”:</w:t>
      </w:r>
    </w:p>
    <w:p w:rsidR="000501D2" w:rsidRPr="005175C7" w:rsidRDefault="000501D2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Nota N° OACI/1036/2015 de fecha 7 de abril 2015, suscrita por la Ingeniero Carolina Hernández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Nota N° OACI/1034/2015 de fecha 7 de abril 2015, suscrita por la Ingeniero Carolina Hernández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Folios 000857, 000843, 000714, 000704 y 000629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Acuerdo de nombramiento de las personas que integran la Comisión de Evaluación de Ofertas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Resolución de Adjudicación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Resolución de Inadmisibilidad de recurso de revisión de la adjudicación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Acuerdo de nombramiento de la Comisión de Alto Nivel</w:t>
      </w:r>
    </w:p>
    <w:p w:rsidR="00FA6903" w:rsidRPr="005175C7" w:rsidRDefault="00FA6903" w:rsidP="00FA6903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Acta de Evaluación de ofertas completa, realizada por la Comisión de Evaluación de Ofertas en donde se emiten su recomendación</w:t>
      </w:r>
    </w:p>
    <w:p w:rsidR="00633096" w:rsidRPr="005175C7" w:rsidRDefault="00633096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6"/>
          <w:szCs w:val="24"/>
        </w:rPr>
      </w:pPr>
    </w:p>
    <w:p w:rsidR="005175C7" w:rsidRDefault="00BE0B9D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P</w:t>
      </w:r>
      <w:r w:rsidR="00EE4B7D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5175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501D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A908EB" w:rsidRPr="00A908EB">
        <w:rPr>
          <w:highlight w:val="black"/>
        </w:rPr>
        <w:t>Xxxxxxxxxxxxxxxxxxxxxx</w:t>
      </w:r>
      <w:r w:rsidR="00A908EB" w:rsidRPr="00A908EB">
        <w:rPr>
          <w:rFonts w:eastAsia="Arial Unicode MS" w:cs="Arial Unicode MS"/>
          <w:w w:val="102"/>
          <w:sz w:val="24"/>
          <w:szCs w:val="24"/>
        </w:rPr>
        <w:t xml:space="preserve"> </w:t>
      </w:r>
      <w:r w:rsidR="00ED00B0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y considerando que la información solicitada, cumple con los requisitos establecidos en el </w:t>
      </w:r>
      <w:r w:rsidR="00A908EB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rt. 66 de La ley de Acceso a la Información Pública y los </w:t>
      </w:r>
      <w:r w:rsidR="00A908EB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rts. 50, 54 del Reglamento de la Ley de Acceso a la Información Pública, y que </w:t>
      </w:r>
      <w:r w:rsidR="00ED00B0" w:rsidRPr="005175C7">
        <w:rPr>
          <w:rFonts w:asciiTheme="minorHAnsi" w:eastAsia="Arial Unicode MS" w:hAnsiTheme="minorHAnsi" w:cs="Arial Unicode MS"/>
          <w:color w:val="FF0000"/>
          <w:w w:val="102"/>
          <w:sz w:val="24"/>
          <w:szCs w:val="24"/>
        </w:rPr>
        <w:t>parte</w:t>
      </w:r>
      <w:r w:rsidR="00ED00B0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la información solicitada no se encuentra entre las excepciones  enumeradas en los </w:t>
      </w:r>
      <w:r w:rsidR="00A908EB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rts. 19 y 24 de la Ley, y 19 del Reglamento, resuelve:</w:t>
      </w:r>
    </w:p>
    <w:p w:rsidR="002F26F6" w:rsidRPr="005175C7" w:rsidRDefault="002F26F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4"/>
        </w:rPr>
      </w:pPr>
    </w:p>
    <w:p w:rsidR="00FA6903" w:rsidRPr="005175C7" w:rsidRDefault="00ED00B0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5175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PROPORCIONAR LA INFORMACIÓN PÚBLICA SOLICITADA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ADJUNTA A LA PRESENTE RESOLUCIÓN SOBRE:</w:t>
      </w:r>
    </w:p>
    <w:p w:rsidR="00FA6903" w:rsidRPr="005175C7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</w:p>
    <w:p w:rsidR="00FA6903" w:rsidRPr="005175C7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Copias certificadas del Proceso de Licitación Abierta  DR-CAFTA-LA006  MAG-2015 “Servicios de Vigilancia Privada para el MAG y sus dependencias”:</w:t>
      </w:r>
    </w:p>
    <w:p w:rsidR="000501D2" w:rsidRPr="005175C7" w:rsidRDefault="000501D2" w:rsidP="000501D2">
      <w:pPr>
        <w:spacing w:after="0" w:line="240" w:lineRule="auto"/>
        <w:jc w:val="right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C00000"/>
          <w:sz w:val="20"/>
          <w:szCs w:val="20"/>
        </w:rPr>
        <w:t>1/2</w:t>
      </w:r>
    </w:p>
    <w:p w:rsidR="00135EA5" w:rsidRDefault="00135EA5" w:rsidP="00135EA5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Nota N° OACI/1036/2015 de fecha 7 de abril 2015, suscrita por la Ingeniero Carolina Hernández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Nota N° OACI/1034/2015 de fecha 7 de abril 2015, suscrita por la Ingeniero Carolina Hernández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Folios 000857, 000843, 000714, 000704 y 000629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Acuerdo de nombramiento de las personas que integran la Comisión de Evaluación de Ofertas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Resolución de Adjudicación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Resolución de Inadmisibilidad de recurso de revisión de la adjudicación</w:t>
      </w:r>
    </w:p>
    <w:p w:rsidR="00FA6903" w:rsidRPr="005175C7" w:rsidRDefault="00FA6903" w:rsidP="00FA6903">
      <w:pPr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 w:rsidRPr="005175C7">
        <w:rPr>
          <w:rFonts w:asciiTheme="minorHAnsi" w:hAnsiTheme="minorHAnsi" w:cs="Calibri"/>
          <w:b/>
          <w:color w:val="000099"/>
          <w:szCs w:val="20"/>
        </w:rPr>
        <w:t>Acta de Evaluación de ofertas completa, realizada por la Comisión de Evaluación de Ofertas en donde se emiten su recomendación</w:t>
      </w:r>
    </w:p>
    <w:p w:rsidR="00FA6903" w:rsidRPr="005175C7" w:rsidRDefault="00FA6903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6551BF" w:rsidRPr="005175C7" w:rsidRDefault="00ED00B0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Sobre</w:t>
      </w:r>
      <w:r w:rsidR="005175C7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el </w:t>
      </w:r>
      <w:r w:rsidR="00FA6903" w:rsidRPr="005175C7">
        <w:rPr>
          <w:rFonts w:asciiTheme="minorHAnsi" w:hAnsiTheme="minorHAnsi" w:cs="Calibri"/>
          <w:b/>
          <w:i/>
          <w:color w:val="000099"/>
          <w:sz w:val="24"/>
          <w:szCs w:val="20"/>
        </w:rPr>
        <w:t>Acuerdo de nombramiento de la Comisión de Alto Nivel,</w:t>
      </w:r>
      <w:r w:rsidR="000501D2">
        <w:rPr>
          <w:rFonts w:asciiTheme="minorHAnsi" w:hAnsiTheme="minorHAnsi" w:cs="Calibri"/>
          <w:b/>
          <w:i/>
          <w:color w:val="000099"/>
          <w:sz w:val="24"/>
          <w:szCs w:val="20"/>
        </w:rPr>
        <w:t xml:space="preserve"> </w:t>
      </w:r>
      <w:r w:rsidR="000E498C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al respecto</w:t>
      </w:r>
      <w:r w:rsidR="006551BF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5175C7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porque </w:t>
      </w:r>
      <w:r w:rsidR="00DD2CA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no se elaboró este acuerdo, debido a que no se admitió el recurso de revisión,</w:t>
      </w:r>
      <w:r w:rsidR="000501D2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</w:t>
      </w:r>
      <w:r w:rsidR="00FB2B58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>y c</w:t>
      </w:r>
      <w:r w:rsidR="006551BF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5175C7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INEXISTENTE</w:t>
      </w:r>
      <w:r w:rsidR="006551BF" w:rsidRPr="005175C7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>,</w:t>
      </w:r>
      <w:r w:rsidR="006551BF" w:rsidRPr="005175C7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5175C7" w:rsidRDefault="00635004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4"/>
        </w:rPr>
      </w:pPr>
    </w:p>
    <w:p w:rsidR="00DD2CA8" w:rsidRDefault="00DD2CA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0E498C" w:rsidRPr="005175C7" w:rsidRDefault="00DD2CA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NO ENTREGAR </w:t>
      </w:r>
      <w:r w:rsidR="006551BF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LA INFORMAC</w:t>
      </w:r>
      <w:r w:rsidR="00E060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IÓN SOLICITADA POR INEXISTENCIA</w:t>
      </w:r>
    </w:p>
    <w:p w:rsidR="00FA6903" w:rsidRPr="005175C7" w:rsidRDefault="00FA6903" w:rsidP="00FA6903">
      <w:pPr>
        <w:spacing w:after="0" w:line="240" w:lineRule="auto"/>
        <w:ind w:left="4248" w:firstLine="708"/>
        <w:jc w:val="both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4248" w:firstLine="708"/>
        <w:jc w:val="both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4248" w:firstLine="708"/>
        <w:jc w:val="both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135EA5" w:rsidRDefault="00135EA5" w:rsidP="00135EA5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FA6903" w:rsidRPr="005175C7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6052DD" w:rsidRPr="00FA6903" w:rsidRDefault="00FA6903" w:rsidP="00FA6903">
      <w:pPr>
        <w:spacing w:after="0" w:line="240" w:lineRule="auto"/>
        <w:ind w:left="7080" w:firstLine="708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  <w:r w:rsidRPr="00FA6903">
        <w:rPr>
          <w:rFonts w:asciiTheme="minorHAnsi" w:hAnsiTheme="minorHAnsi" w:cstheme="minorHAnsi"/>
          <w:b/>
          <w:color w:val="C00000"/>
          <w:w w:val="102"/>
          <w:sz w:val="20"/>
        </w:rPr>
        <w:t>2/2</w:t>
      </w:r>
    </w:p>
    <w:sectPr w:rsidR="006052DD" w:rsidRPr="00FA690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DF" w:rsidRDefault="00A600DF" w:rsidP="00F425A5">
      <w:pPr>
        <w:spacing w:after="0" w:line="240" w:lineRule="auto"/>
      </w:pPr>
      <w:r>
        <w:separator/>
      </w:r>
    </w:p>
  </w:endnote>
  <w:endnote w:type="continuationSeparator" w:id="1">
    <w:p w:rsidR="00A600DF" w:rsidRDefault="00A600D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A21DE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A6903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DF" w:rsidRDefault="00A600DF" w:rsidP="00F425A5">
      <w:pPr>
        <w:spacing w:after="0" w:line="240" w:lineRule="auto"/>
      </w:pPr>
      <w:r>
        <w:separator/>
      </w:r>
    </w:p>
  </w:footnote>
  <w:footnote w:type="continuationSeparator" w:id="1">
    <w:p w:rsidR="00A600DF" w:rsidRDefault="00A600D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845B3"/>
    <w:multiLevelType w:val="hybridMultilevel"/>
    <w:tmpl w:val="3A260F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5EE"/>
    <w:multiLevelType w:val="hybridMultilevel"/>
    <w:tmpl w:val="4A6EAD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6F6E"/>
    <w:multiLevelType w:val="hybridMultilevel"/>
    <w:tmpl w:val="FCB673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37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5"/>
  </w:num>
  <w:num w:numId="13">
    <w:abstractNumId w:val="36"/>
  </w:num>
  <w:num w:numId="14">
    <w:abstractNumId w:val="30"/>
  </w:num>
  <w:num w:numId="15">
    <w:abstractNumId w:val="0"/>
  </w:num>
  <w:num w:numId="16">
    <w:abstractNumId w:val="5"/>
  </w:num>
  <w:num w:numId="17">
    <w:abstractNumId w:val="33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38"/>
  </w:num>
  <w:num w:numId="23">
    <w:abstractNumId w:val="16"/>
  </w:num>
  <w:num w:numId="24">
    <w:abstractNumId w:val="31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2"/>
  </w:num>
  <w:num w:numId="35">
    <w:abstractNumId w:val="39"/>
  </w:num>
  <w:num w:numId="36">
    <w:abstractNumId w:val="26"/>
  </w:num>
  <w:num w:numId="37">
    <w:abstractNumId w:val="4"/>
  </w:num>
  <w:num w:numId="38">
    <w:abstractNumId w:val="14"/>
  </w:num>
  <w:num w:numId="39">
    <w:abstractNumId w:val="1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1A2"/>
    <w:rsid w:val="00047C80"/>
    <w:rsid w:val="000501D2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A5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045F9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1AA1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175C7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482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B4CA3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1DE6"/>
    <w:rsid w:val="00A3099F"/>
    <w:rsid w:val="00A34321"/>
    <w:rsid w:val="00A37BC8"/>
    <w:rsid w:val="00A37BF5"/>
    <w:rsid w:val="00A407BE"/>
    <w:rsid w:val="00A43601"/>
    <w:rsid w:val="00A548E1"/>
    <w:rsid w:val="00A600DF"/>
    <w:rsid w:val="00A6281C"/>
    <w:rsid w:val="00A64EA4"/>
    <w:rsid w:val="00A73C2B"/>
    <w:rsid w:val="00A755D7"/>
    <w:rsid w:val="00A76A25"/>
    <w:rsid w:val="00A8217B"/>
    <w:rsid w:val="00A908E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06C29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4271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08D3"/>
    <w:rsid w:val="00DA19FE"/>
    <w:rsid w:val="00DC039E"/>
    <w:rsid w:val="00DC09E1"/>
    <w:rsid w:val="00DC416F"/>
    <w:rsid w:val="00DC4C0A"/>
    <w:rsid w:val="00DC784C"/>
    <w:rsid w:val="00DD1DB3"/>
    <w:rsid w:val="00DD2CA8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6B5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6903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9D754-3F72-4B47-A71A-DC1BA5E9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2015-05-29T21:22:00Z</cp:lastPrinted>
  <dcterms:created xsi:type="dcterms:W3CDTF">2015-05-29T21:10:00Z</dcterms:created>
  <dcterms:modified xsi:type="dcterms:W3CDTF">2016-03-01T23:12:00Z</dcterms:modified>
</cp:coreProperties>
</file>