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1F" w:rsidRDefault="00E1401F" w:rsidP="00E1401F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43008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6</w:t>
      </w:r>
      <w:r w:rsidR="00CE0A5C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7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Pr="00DC402C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  <w:r w:rsidRPr="00DC402C">
        <w:rPr>
          <w:rFonts w:ascii="Arial Narrow" w:eastAsia="Arial Unicode MS" w:hAnsi="Arial Narrow" w:cs="Arial Unicode MS"/>
          <w:w w:val="102"/>
        </w:rPr>
        <w:t>Santa Tecla,</w:t>
      </w:r>
      <w:r w:rsidRPr="00DC402C">
        <w:rPr>
          <w:rFonts w:ascii="Arial Narrow" w:eastAsia="Arial Unicode MS" w:hAnsi="Arial Narrow" w:cs="Arial Unicode MS"/>
        </w:rPr>
        <w:t xml:space="preserve"> </w:t>
      </w:r>
      <w:r w:rsidR="00782457" w:rsidRPr="00DC402C">
        <w:rPr>
          <w:rFonts w:ascii="Arial Narrow" w:eastAsia="Arial Unicode MS" w:hAnsi="Arial Narrow" w:cs="Arial Unicode MS"/>
        </w:rPr>
        <w:t xml:space="preserve">departamento de La Libertad, </w:t>
      </w:r>
      <w:r w:rsidRPr="00DC402C">
        <w:rPr>
          <w:rFonts w:ascii="Arial Narrow" w:eastAsia="Arial Unicode MS" w:hAnsi="Arial Narrow" w:cs="Arial Unicode MS"/>
          <w:w w:val="102"/>
        </w:rPr>
        <w:t>a</w:t>
      </w:r>
      <w:r w:rsidRPr="00DC402C">
        <w:rPr>
          <w:rFonts w:ascii="Arial Narrow" w:eastAsia="Arial Unicode MS" w:hAnsi="Arial Narrow" w:cs="Arial Unicode MS"/>
        </w:rPr>
        <w:t xml:space="preserve"> </w:t>
      </w:r>
      <w:r w:rsidRPr="00DC402C">
        <w:rPr>
          <w:rFonts w:ascii="Arial Narrow" w:eastAsia="Arial Unicode MS" w:hAnsi="Arial Narrow" w:cs="Arial Unicode MS"/>
          <w:spacing w:val="1"/>
          <w:w w:val="102"/>
        </w:rPr>
        <w:t>l</w:t>
      </w:r>
      <w:r w:rsidRPr="00DC402C">
        <w:rPr>
          <w:rFonts w:ascii="Arial Narrow" w:eastAsia="Arial Unicode MS" w:hAnsi="Arial Narrow" w:cs="Arial Unicode MS"/>
          <w:w w:val="102"/>
        </w:rPr>
        <w:t xml:space="preserve">as </w:t>
      </w:r>
      <w:r w:rsidR="00430080" w:rsidRPr="00DC402C">
        <w:rPr>
          <w:rFonts w:ascii="Arial Narrow" w:eastAsia="Arial Unicode MS" w:hAnsi="Arial Narrow" w:cs="Arial Unicode MS"/>
          <w:color w:val="C00000"/>
          <w:w w:val="102"/>
        </w:rPr>
        <w:t>c</w:t>
      </w:r>
      <w:r w:rsidR="00CE0A5C" w:rsidRPr="00DC402C">
        <w:rPr>
          <w:rFonts w:ascii="Arial Narrow" w:eastAsia="Arial Unicode MS" w:hAnsi="Arial Narrow" w:cs="Arial Unicode MS"/>
          <w:color w:val="C00000"/>
          <w:w w:val="102"/>
        </w:rPr>
        <w:t>atorc</w:t>
      </w:r>
      <w:r w:rsidR="00430080" w:rsidRPr="00DC402C">
        <w:rPr>
          <w:rFonts w:ascii="Arial Narrow" w:eastAsia="Arial Unicode MS" w:hAnsi="Arial Narrow" w:cs="Arial Unicode MS"/>
          <w:color w:val="C00000"/>
          <w:w w:val="102"/>
        </w:rPr>
        <w:t xml:space="preserve">e </w:t>
      </w:r>
      <w:r w:rsidRPr="00DC402C">
        <w:rPr>
          <w:rFonts w:ascii="Arial Narrow" w:eastAsia="Arial Unicode MS" w:hAnsi="Arial Narrow" w:cs="Arial Unicode MS"/>
          <w:color w:val="C00000"/>
          <w:w w:val="102"/>
        </w:rPr>
        <w:t>horas</w:t>
      </w:r>
      <w:r w:rsidR="00FE31E9" w:rsidRPr="00DC402C">
        <w:rPr>
          <w:rFonts w:ascii="Arial Narrow" w:eastAsia="Arial Unicode MS" w:hAnsi="Arial Narrow" w:cs="Arial Unicode MS"/>
          <w:color w:val="C00000"/>
          <w:w w:val="102"/>
        </w:rPr>
        <w:t xml:space="preserve"> </w:t>
      </w:r>
      <w:r w:rsidRPr="00DC402C">
        <w:rPr>
          <w:rFonts w:ascii="Arial Narrow" w:eastAsia="Arial Unicode MS" w:hAnsi="Arial Narrow" w:cs="Arial Unicode MS"/>
          <w:w w:val="102"/>
        </w:rPr>
        <w:t>d</w:t>
      </w:r>
      <w:r w:rsidRPr="00DC402C">
        <w:rPr>
          <w:rFonts w:ascii="Arial Narrow" w:eastAsia="Arial Unicode MS" w:hAnsi="Arial Narrow" w:cs="Arial Unicode MS"/>
          <w:spacing w:val="-4"/>
          <w:w w:val="102"/>
        </w:rPr>
        <w:t>e</w:t>
      </w:r>
      <w:r w:rsidRPr="00DC402C">
        <w:rPr>
          <w:rFonts w:ascii="Arial Narrow" w:eastAsia="Arial Unicode MS" w:hAnsi="Arial Narrow" w:cs="Arial Unicode MS"/>
          <w:w w:val="102"/>
        </w:rPr>
        <w:t>l</w:t>
      </w:r>
      <w:r w:rsidRPr="00DC402C">
        <w:rPr>
          <w:rFonts w:ascii="Arial Narrow" w:eastAsia="Arial Unicode MS" w:hAnsi="Arial Narrow" w:cs="Arial Unicode MS"/>
          <w:spacing w:val="18"/>
        </w:rPr>
        <w:t xml:space="preserve"> </w:t>
      </w:r>
      <w:r w:rsidRPr="00DC402C">
        <w:rPr>
          <w:rFonts w:ascii="Arial Narrow" w:eastAsia="Arial Unicode MS" w:hAnsi="Arial Narrow" w:cs="Arial Unicode MS"/>
          <w:w w:val="102"/>
        </w:rPr>
        <w:t>d</w:t>
      </w:r>
      <w:r w:rsidRPr="00DC402C">
        <w:rPr>
          <w:rFonts w:ascii="Arial Narrow" w:eastAsia="Arial Unicode MS" w:hAnsi="Arial Narrow" w:cs="Arial Unicode MS"/>
          <w:spacing w:val="1"/>
          <w:w w:val="102"/>
        </w:rPr>
        <w:t>í</w:t>
      </w:r>
      <w:r w:rsidRPr="00DC402C">
        <w:rPr>
          <w:rFonts w:ascii="Arial Narrow" w:eastAsia="Arial Unicode MS" w:hAnsi="Arial Narrow" w:cs="Arial Unicode MS"/>
          <w:w w:val="102"/>
        </w:rPr>
        <w:t>a</w:t>
      </w:r>
      <w:r w:rsidRPr="00DC402C">
        <w:rPr>
          <w:rFonts w:ascii="Arial Narrow" w:eastAsia="Arial Unicode MS" w:hAnsi="Arial Narrow" w:cs="Arial Unicode MS"/>
          <w:b/>
          <w:w w:val="102"/>
        </w:rPr>
        <w:t xml:space="preserve"> </w:t>
      </w:r>
      <w:r w:rsidR="006E6937" w:rsidRPr="00DC402C">
        <w:rPr>
          <w:rFonts w:ascii="Arial Narrow" w:eastAsia="Arial Unicode MS" w:hAnsi="Arial Narrow" w:cs="Arial Unicode MS"/>
          <w:b/>
          <w:color w:val="000099"/>
          <w:w w:val="102"/>
        </w:rPr>
        <w:t>16</w:t>
      </w:r>
      <w:r w:rsidR="003F743C" w:rsidRPr="00DC402C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Pr="00DC402C">
        <w:rPr>
          <w:rFonts w:ascii="Arial Narrow" w:eastAsia="Arial Unicode MS" w:hAnsi="Arial Narrow" w:cs="Arial Unicode MS"/>
          <w:b/>
          <w:color w:val="000099"/>
          <w:w w:val="102"/>
        </w:rPr>
        <w:t xml:space="preserve">de </w:t>
      </w:r>
      <w:r w:rsidR="00430080" w:rsidRPr="00DC402C">
        <w:rPr>
          <w:rFonts w:ascii="Arial Narrow" w:eastAsia="Arial Unicode MS" w:hAnsi="Arial Narrow" w:cs="Arial Unicode MS"/>
          <w:b/>
          <w:color w:val="000099"/>
          <w:w w:val="102"/>
        </w:rPr>
        <w:t xml:space="preserve">abril </w:t>
      </w:r>
      <w:r w:rsidRPr="00DC402C">
        <w:rPr>
          <w:rFonts w:ascii="Arial Narrow" w:eastAsia="Arial Unicode MS" w:hAnsi="Arial Narrow" w:cs="Arial Unicode MS"/>
          <w:b/>
          <w:color w:val="000099"/>
          <w:w w:val="102"/>
        </w:rPr>
        <w:t>de 201</w:t>
      </w:r>
      <w:r w:rsidR="007E2DFD" w:rsidRPr="00DC402C">
        <w:rPr>
          <w:rFonts w:ascii="Arial Narrow" w:eastAsia="Arial Unicode MS" w:hAnsi="Arial Narrow" w:cs="Arial Unicode MS"/>
          <w:b/>
          <w:color w:val="000099"/>
          <w:w w:val="102"/>
        </w:rPr>
        <w:t>5</w:t>
      </w:r>
      <w:r w:rsidRPr="00DC402C">
        <w:rPr>
          <w:rFonts w:ascii="Arial Narrow" w:eastAsia="Arial Unicode MS" w:hAnsi="Arial Narrow" w:cs="Arial Unicode MS"/>
          <w:color w:val="000099"/>
          <w:w w:val="102"/>
        </w:rPr>
        <w:t xml:space="preserve">, </w:t>
      </w:r>
      <w:r w:rsidRPr="00DC402C">
        <w:rPr>
          <w:rFonts w:ascii="Arial Narrow" w:eastAsia="Arial Unicode MS" w:hAnsi="Arial Narrow" w:cs="Arial Unicode MS"/>
          <w:w w:val="102"/>
        </w:rPr>
        <w:t>el Ministerio de Agricultura y Ganadería luego de haber recibido y admitido la solicitud de información</w:t>
      </w:r>
      <w:r w:rsidR="009C6B93" w:rsidRPr="00DC402C">
        <w:rPr>
          <w:rFonts w:ascii="Arial Narrow" w:eastAsia="Arial Unicode MS" w:hAnsi="Arial Narrow" w:cs="Arial Unicode MS"/>
          <w:w w:val="102"/>
        </w:rPr>
        <w:t xml:space="preserve"> </w:t>
      </w:r>
      <w:r w:rsidRPr="00DC402C">
        <w:rPr>
          <w:rFonts w:ascii="Arial Narrow" w:eastAsia="Arial Unicode MS" w:hAnsi="Arial Narrow" w:cs="Arial Unicode MS"/>
          <w:b/>
          <w:color w:val="000099"/>
          <w:w w:val="102"/>
        </w:rPr>
        <w:t xml:space="preserve">No. </w:t>
      </w:r>
      <w:r w:rsidR="00430080" w:rsidRPr="00DC402C">
        <w:rPr>
          <w:rFonts w:ascii="Arial Narrow" w:eastAsia="Arial Unicode MS" w:hAnsi="Arial Narrow" w:cs="Arial Unicode MS"/>
          <w:b/>
          <w:color w:val="000099"/>
          <w:w w:val="102"/>
        </w:rPr>
        <w:t>6</w:t>
      </w:r>
      <w:r w:rsidR="00CE0A5C" w:rsidRPr="00DC402C">
        <w:rPr>
          <w:rFonts w:ascii="Arial Narrow" w:eastAsia="Arial Unicode MS" w:hAnsi="Arial Narrow" w:cs="Arial Unicode MS"/>
          <w:b/>
          <w:color w:val="000099"/>
          <w:w w:val="102"/>
        </w:rPr>
        <w:t>7</w:t>
      </w:r>
      <w:r w:rsidRPr="00DC402C">
        <w:rPr>
          <w:rFonts w:ascii="Arial Narrow" w:eastAsia="Arial Unicode MS" w:hAnsi="Arial Narrow" w:cs="Arial Unicode MS"/>
          <w:color w:val="000099"/>
          <w:w w:val="102"/>
        </w:rPr>
        <w:t xml:space="preserve"> </w:t>
      </w:r>
      <w:r w:rsidRPr="00DC402C">
        <w:rPr>
          <w:rFonts w:ascii="Arial Narrow" w:eastAsia="Arial Unicode MS" w:hAnsi="Arial Narrow" w:cs="Arial Unicode MS"/>
          <w:w w:val="102"/>
        </w:rPr>
        <w:t>sobre:</w:t>
      </w:r>
    </w:p>
    <w:p w:rsidR="00CE0A5C" w:rsidRPr="00DC402C" w:rsidRDefault="00CE0A5C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</w:p>
    <w:p w:rsidR="00CE0A5C" w:rsidRPr="00DC402C" w:rsidRDefault="00CE0A5C" w:rsidP="00B718B1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</w:rPr>
      </w:pPr>
      <w:r w:rsidRPr="00DC402C">
        <w:rPr>
          <w:rFonts w:ascii="Arial Narrow" w:eastAsia="Arial Unicode MS" w:hAnsi="Arial Narrow" w:cs="Arial Unicode MS"/>
          <w:color w:val="000099"/>
          <w:w w:val="102"/>
        </w:rPr>
        <w:t>Número de autorizaciones y licencias para pescar que CENDEPESCA ha otorgado a personas extranjeras (naturales o jurídicas) desde el 1° de enero 2012 a la fecha, con indicación de la nacionalidad de cada una de las personas autorizadas</w:t>
      </w:r>
    </w:p>
    <w:p w:rsidR="00430080" w:rsidRPr="00DC402C" w:rsidRDefault="00CE0A5C" w:rsidP="00B718B1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</w:rPr>
      </w:pPr>
      <w:r w:rsidRPr="00DC402C">
        <w:rPr>
          <w:rFonts w:ascii="Arial Narrow" w:eastAsia="Arial Unicode MS" w:hAnsi="Arial Narrow" w:cs="Arial Unicode MS"/>
          <w:color w:val="000099"/>
          <w:w w:val="102"/>
        </w:rPr>
        <w:t>Además, indicar el espacio en el cual se les permite pescar, en términos de distancia, en millas marítimas, desde la costa o línea base de El Salvador</w:t>
      </w:r>
    </w:p>
    <w:p w:rsidR="00430080" w:rsidRPr="00DC402C" w:rsidRDefault="0043008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</w:rPr>
      </w:pPr>
      <w:bookmarkStart w:id="0" w:name="_GoBack"/>
      <w:bookmarkEnd w:id="0"/>
    </w:p>
    <w:p w:rsidR="006A4190" w:rsidRPr="00DC402C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  <w:r w:rsidRPr="00DC402C">
        <w:rPr>
          <w:rFonts w:ascii="Arial Narrow" w:eastAsia="Arial Unicode MS" w:hAnsi="Arial Narrow" w:cs="Arial Unicode MS"/>
          <w:w w:val="102"/>
        </w:rPr>
        <w:t>P</w:t>
      </w:r>
      <w:r w:rsidR="00EE4B7D" w:rsidRPr="00DC402C">
        <w:rPr>
          <w:rFonts w:ascii="Arial Narrow" w:eastAsia="Arial Unicode MS" w:hAnsi="Arial Narrow" w:cs="Arial Unicode MS"/>
          <w:w w:val="102"/>
        </w:rPr>
        <w:t>resentada ante la Oficina de Información y Respuesta de esta dependencia por parte de</w:t>
      </w:r>
      <w:r w:rsidR="00EE4B7D" w:rsidRPr="00DC402C">
        <w:rPr>
          <w:rFonts w:ascii="Arial Narrow" w:eastAsia="Arial Unicode MS" w:hAnsi="Arial Narrow" w:cs="Arial Unicode MS"/>
        </w:rPr>
        <w:t>:</w:t>
      </w:r>
      <w:r w:rsidR="00B067FB" w:rsidRPr="00DC402C">
        <w:t xml:space="preserve"> </w:t>
      </w:r>
      <w:r w:rsidR="00563882" w:rsidRPr="00E1401F">
        <w:rPr>
          <w:rFonts w:ascii="Arial Narrow" w:eastAsia="Arial Unicode MS" w:hAnsi="Arial Narrow" w:cs="Arial Unicode MS"/>
          <w:b/>
          <w:color w:val="000099"/>
          <w:w w:val="102"/>
          <w:highlight w:val="darkBlue"/>
        </w:rPr>
        <w:t>XXXXX</w:t>
      </w:r>
      <w:r w:rsidR="00963746" w:rsidRPr="00DC402C">
        <w:rPr>
          <w:rFonts w:ascii="Arial Narrow" w:eastAsia="Arial Unicode MS" w:hAnsi="Arial Narrow" w:cs="Arial Unicode MS"/>
          <w:b/>
          <w:color w:val="000099"/>
          <w:w w:val="102"/>
        </w:rPr>
        <w:t>,</w:t>
      </w:r>
      <w:r w:rsidR="00EE4B7D" w:rsidRPr="00DC402C">
        <w:rPr>
          <w:rFonts w:ascii="Arial Narrow" w:eastAsia="Arial Unicode MS" w:hAnsi="Arial Narrow" w:cs="Arial Unicode MS"/>
          <w:b/>
          <w:w w:val="102"/>
        </w:rPr>
        <w:t xml:space="preserve"> </w:t>
      </w:r>
      <w:r w:rsidR="006A4190" w:rsidRPr="00DC402C">
        <w:rPr>
          <w:rFonts w:ascii="Arial Narrow" w:eastAsia="Arial Unicode MS" w:hAnsi="Arial Narrow" w:cs="Arial Unicode MS"/>
          <w:w w:val="102"/>
        </w:rPr>
        <w:t xml:space="preserve">y considerando que la información </w:t>
      </w:r>
      <w:r w:rsidR="00963746" w:rsidRPr="00DC402C">
        <w:rPr>
          <w:rFonts w:ascii="Arial Narrow" w:eastAsia="Arial Unicode MS" w:hAnsi="Arial Narrow" w:cs="Arial Unicode MS"/>
          <w:w w:val="102"/>
        </w:rPr>
        <w:t xml:space="preserve">solicitada </w:t>
      </w:r>
      <w:r w:rsidR="006A4190" w:rsidRPr="00DC402C">
        <w:rPr>
          <w:rFonts w:ascii="Arial Narrow" w:eastAsia="Arial Unicode MS" w:hAnsi="Arial Narrow" w:cs="Arial Unicode MS"/>
          <w:w w:val="102"/>
        </w:rPr>
        <w:t xml:space="preserve">cumple con los requisitos establecidos en el art. 66 de La ley de Acceso a la Información Pública y los arts. 50, 54 del Reglamento de la Ley de </w:t>
      </w:r>
      <w:r w:rsidR="002E64F0" w:rsidRPr="00DC402C">
        <w:rPr>
          <w:rFonts w:ascii="Arial Narrow" w:eastAsia="Arial Unicode MS" w:hAnsi="Arial Narrow" w:cs="Arial Unicode MS"/>
          <w:w w:val="102"/>
        </w:rPr>
        <w:t>Acceso a la Información Pública</w:t>
      </w:r>
      <w:r w:rsidR="002635A4" w:rsidRPr="00DC402C">
        <w:t xml:space="preserve"> </w:t>
      </w:r>
      <w:r w:rsidR="002635A4" w:rsidRPr="00DC402C">
        <w:rPr>
          <w:rFonts w:ascii="Arial Narrow" w:eastAsia="Arial Unicode MS" w:hAnsi="Arial Narrow" w:cs="Arial Unicode MS"/>
          <w:w w:val="102"/>
        </w:rPr>
        <w:t>y que la información solicitada no se encuentra entre las excepciones  enumeradas en los arts. 19 y 24 de la Ley, y 19 del Reglamento</w:t>
      </w:r>
      <w:r w:rsidR="002E64F0" w:rsidRPr="00DC402C">
        <w:rPr>
          <w:rFonts w:ascii="Arial Narrow" w:eastAsia="Arial Unicode MS" w:hAnsi="Arial Narrow" w:cs="Arial Unicode MS"/>
          <w:w w:val="102"/>
        </w:rPr>
        <w:t>; por tanto</w:t>
      </w:r>
      <w:r w:rsidR="006A4190" w:rsidRPr="00DC402C">
        <w:rPr>
          <w:rFonts w:ascii="Arial Narrow" w:eastAsia="Arial Unicode MS" w:hAnsi="Arial Narrow" w:cs="Arial Unicode MS"/>
          <w:w w:val="102"/>
        </w:rPr>
        <w:t xml:space="preserve"> </w:t>
      </w:r>
      <w:r w:rsidR="005E6AD8" w:rsidRPr="00DC402C">
        <w:rPr>
          <w:rFonts w:ascii="Arial Narrow" w:eastAsia="Arial Unicode MS" w:hAnsi="Arial Narrow" w:cs="Arial Unicode MS"/>
          <w:w w:val="102"/>
        </w:rPr>
        <w:t>con base a lo establecido en los artículos 1, 3 y 4 literales a y b</w:t>
      </w:r>
      <w:r w:rsidR="002E64F0" w:rsidRPr="00DC402C">
        <w:rPr>
          <w:rFonts w:ascii="Arial Narrow" w:eastAsia="Arial Unicode MS" w:hAnsi="Arial Narrow" w:cs="Arial Unicode MS"/>
          <w:w w:val="102"/>
        </w:rPr>
        <w:t>,</w:t>
      </w:r>
      <w:r w:rsidR="005E6AD8" w:rsidRPr="00DC402C">
        <w:rPr>
          <w:rFonts w:ascii="Arial Narrow" w:eastAsia="Arial Unicode MS" w:hAnsi="Arial Narrow" w:cs="Arial Unicode MS"/>
          <w:w w:val="102"/>
        </w:rPr>
        <w:t xml:space="preserve"> y </w:t>
      </w:r>
      <w:r w:rsidR="005E6AD8" w:rsidRPr="00DC402C">
        <w:rPr>
          <w:rFonts w:ascii="Arial Narrow" w:eastAsia="Arial Unicode MS" w:hAnsi="Arial Narrow" w:cs="Arial Unicode MS"/>
          <w:color w:val="C00000"/>
          <w:w w:val="102"/>
        </w:rPr>
        <w:t>62</w:t>
      </w:r>
      <w:r w:rsidR="005E6AD8" w:rsidRPr="00DC402C">
        <w:rPr>
          <w:rFonts w:ascii="Arial Narrow" w:eastAsia="Arial Unicode MS" w:hAnsi="Arial Narrow" w:cs="Arial Unicode MS"/>
          <w:w w:val="102"/>
        </w:rPr>
        <w:t xml:space="preserve"> de la LAIP</w:t>
      </w:r>
      <w:r w:rsidR="006A4190" w:rsidRPr="00DC402C">
        <w:rPr>
          <w:rFonts w:ascii="Arial Narrow" w:eastAsia="Arial Unicode MS" w:hAnsi="Arial Narrow" w:cs="Arial Unicode MS"/>
          <w:w w:val="102"/>
        </w:rPr>
        <w:t xml:space="preserve">, resuelve: </w:t>
      </w:r>
    </w:p>
    <w:p w:rsidR="006A4190" w:rsidRPr="00DC402C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</w:rPr>
      </w:pPr>
    </w:p>
    <w:p w:rsidR="00117396" w:rsidRPr="00DC402C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</w:rPr>
      </w:pPr>
      <w:r w:rsidRPr="00DC402C">
        <w:rPr>
          <w:rFonts w:ascii="Arial Narrow" w:eastAsia="Arial Unicode MS" w:hAnsi="Arial Narrow" w:cs="Arial Unicode MS"/>
          <w:b/>
          <w:color w:val="000099"/>
          <w:w w:val="102"/>
        </w:rPr>
        <w:t>PROPORCIONAR LA INFORMACIÓN PÚBLICA SOLICITADA</w:t>
      </w:r>
      <w:r w:rsidR="002C234C" w:rsidRPr="00DC402C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="00DC402C" w:rsidRPr="00DC402C">
        <w:rPr>
          <w:rFonts w:ascii="Arial Narrow" w:eastAsia="Arial Unicode MS" w:hAnsi="Arial Narrow" w:cs="Arial Unicode MS"/>
          <w:b/>
          <w:color w:val="C00000"/>
          <w:w w:val="102"/>
        </w:rPr>
        <w:t xml:space="preserve">DESCRITA </w:t>
      </w:r>
      <w:r w:rsidR="00DC402C">
        <w:rPr>
          <w:rFonts w:ascii="Arial Narrow" w:eastAsia="Arial Unicode MS" w:hAnsi="Arial Narrow" w:cs="Arial Unicode MS"/>
          <w:b/>
          <w:color w:val="000099"/>
          <w:w w:val="102"/>
        </w:rPr>
        <w:t xml:space="preserve">EN  </w:t>
      </w:r>
      <w:r w:rsidR="002C234C" w:rsidRPr="00DC402C">
        <w:rPr>
          <w:rFonts w:ascii="Arial Narrow" w:eastAsia="Arial Unicode MS" w:hAnsi="Arial Narrow" w:cs="Arial Unicode MS"/>
          <w:b/>
          <w:color w:val="000099"/>
          <w:w w:val="102"/>
        </w:rPr>
        <w:t>LA PRESENTE SOLICITUD</w:t>
      </w:r>
      <w:r w:rsidR="002635A4" w:rsidRPr="00DC402C">
        <w:rPr>
          <w:rFonts w:ascii="Arial Narrow" w:hAnsi="Arial Narrow" w:cstheme="minorHAnsi"/>
          <w:w w:val="102"/>
        </w:rPr>
        <w:t>.</w:t>
      </w:r>
    </w:p>
    <w:p w:rsidR="0026243C" w:rsidRPr="00DC402C" w:rsidRDefault="0026243C" w:rsidP="00D92F87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2635A4" w:rsidRPr="00DC402C" w:rsidRDefault="0026243C" w:rsidP="00D92F87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DC402C">
        <w:rPr>
          <w:rFonts w:ascii="Arial Narrow" w:hAnsi="Arial Narrow" w:cstheme="minorHAnsi"/>
          <w:w w:val="102"/>
        </w:rPr>
        <w:t>Al respecto las respuestas en orden correspondiente:</w:t>
      </w:r>
    </w:p>
    <w:p w:rsidR="00DC402C" w:rsidRDefault="00DC402C" w:rsidP="00D92F87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26243C" w:rsidRPr="00DC402C" w:rsidRDefault="0026243C" w:rsidP="00DC402C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DC402C">
        <w:rPr>
          <w:rFonts w:ascii="Arial Narrow" w:hAnsi="Arial Narrow" w:cstheme="minorHAnsi"/>
          <w:w w:val="102"/>
        </w:rPr>
        <w:t>Dos autorizaciones y dos licencias para pesca deportiva y sus renovaciones, las autorizaciones tienen vigencia por dos años y las licencias por un año, otorgadas a ciudadanos estadounidenses residentes en El Salvador.</w:t>
      </w:r>
    </w:p>
    <w:p w:rsidR="00DC402C" w:rsidRDefault="00DC402C" w:rsidP="00D92F87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F07704" w:rsidRDefault="00DC402C" w:rsidP="00F07704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F07704">
        <w:rPr>
          <w:rFonts w:ascii="Arial Narrow" w:hAnsi="Arial Narrow" w:cstheme="minorHAnsi"/>
          <w:w w:val="102"/>
        </w:rPr>
        <w:t xml:space="preserve">Espacio en el que se permite pescar: por el tipo de especies objeto de captura (Atunes, Dorado, Marlín </w:t>
      </w:r>
      <w:proofErr w:type="spellStart"/>
      <w:r w:rsidR="00F07704" w:rsidRPr="00F07704">
        <w:rPr>
          <w:rFonts w:ascii="Arial Narrow" w:hAnsi="Arial Narrow" w:cstheme="minorHAnsi"/>
          <w:w w:val="102"/>
        </w:rPr>
        <w:t>Wahoo</w:t>
      </w:r>
      <w:proofErr w:type="spellEnd"/>
      <w:r w:rsidR="00F07704" w:rsidRPr="00F07704">
        <w:rPr>
          <w:rFonts w:ascii="Arial Narrow" w:hAnsi="Arial Narrow" w:cstheme="minorHAnsi"/>
          <w:w w:val="102"/>
        </w:rPr>
        <w:t>), se realizan en alta mar, de acuerdo a lo dispuesto en el Capítulo II Art, 26 de la Ley General de Ordenación y Promoción de Pesca y Acuicultura y su</w:t>
      </w:r>
      <w:r w:rsidR="00F07704">
        <w:rPr>
          <w:rFonts w:ascii="Arial Narrow" w:hAnsi="Arial Narrow" w:cstheme="minorHAnsi"/>
          <w:w w:val="102"/>
        </w:rPr>
        <w:t xml:space="preserve"> R</w:t>
      </w:r>
      <w:r w:rsidR="00F07704" w:rsidRPr="00F07704">
        <w:rPr>
          <w:rFonts w:ascii="Arial Narrow" w:hAnsi="Arial Narrow" w:cstheme="minorHAnsi"/>
          <w:w w:val="102"/>
        </w:rPr>
        <w:t>eglamento</w:t>
      </w:r>
      <w:r w:rsidR="00352C5B">
        <w:rPr>
          <w:rFonts w:ascii="Arial Narrow" w:hAnsi="Arial Narrow" w:cstheme="minorHAnsi"/>
          <w:w w:val="102"/>
        </w:rPr>
        <w:t xml:space="preserve"> vigentes</w:t>
      </w:r>
      <w:r w:rsidR="00F07704">
        <w:rPr>
          <w:rFonts w:ascii="Arial Narrow" w:hAnsi="Arial Narrow" w:cstheme="minorHAnsi"/>
          <w:w w:val="102"/>
        </w:rPr>
        <w:t>.</w:t>
      </w:r>
    </w:p>
    <w:p w:rsidR="00563882" w:rsidRPr="00563882" w:rsidRDefault="00563882" w:rsidP="00563882">
      <w:pPr>
        <w:pStyle w:val="Prrafodelista"/>
        <w:rPr>
          <w:rFonts w:ascii="Arial Narrow" w:hAnsi="Arial Narrow" w:cstheme="minorHAnsi"/>
          <w:w w:val="102"/>
        </w:rPr>
      </w:pPr>
    </w:p>
    <w:p w:rsidR="00563882" w:rsidRDefault="00563882" w:rsidP="00563882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563882" w:rsidRPr="00563882" w:rsidRDefault="00563882" w:rsidP="00563882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sectPr w:rsidR="00563882" w:rsidRPr="00563882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114" w:rsidRDefault="008A1114" w:rsidP="00F425A5">
      <w:pPr>
        <w:spacing w:after="0" w:line="240" w:lineRule="auto"/>
      </w:pPr>
      <w:r>
        <w:separator/>
      </w:r>
    </w:p>
  </w:endnote>
  <w:endnote w:type="continuationSeparator" w:id="0">
    <w:p w:rsidR="008A1114" w:rsidRDefault="008A111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4F283" wp14:editId="4AD83DDE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4F2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64CA42EA" wp14:editId="3E75FFF9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114" w:rsidRDefault="008A1114" w:rsidP="00F425A5">
      <w:pPr>
        <w:spacing w:after="0" w:line="240" w:lineRule="auto"/>
      </w:pPr>
      <w:r>
        <w:separator/>
      </w:r>
    </w:p>
  </w:footnote>
  <w:footnote w:type="continuationSeparator" w:id="0">
    <w:p w:rsidR="008A1114" w:rsidRDefault="008A111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65F043" wp14:editId="6ABF0F0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AFA34F" wp14:editId="7318D08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E84C06"/>
    <w:multiLevelType w:val="hybridMultilevel"/>
    <w:tmpl w:val="9C34DC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40391"/>
    <w:multiLevelType w:val="hybridMultilevel"/>
    <w:tmpl w:val="EA7298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5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3"/>
  </w:num>
  <w:num w:numId="17">
    <w:abstractNumId w:val="30"/>
  </w:num>
  <w:num w:numId="18">
    <w:abstractNumId w:val="22"/>
  </w:num>
  <w:num w:numId="19">
    <w:abstractNumId w:val="17"/>
  </w:num>
  <w:num w:numId="20">
    <w:abstractNumId w:val="11"/>
  </w:num>
  <w:num w:numId="21">
    <w:abstractNumId w:val="1"/>
  </w:num>
  <w:num w:numId="22">
    <w:abstractNumId w:val="36"/>
  </w:num>
  <w:num w:numId="23">
    <w:abstractNumId w:val="12"/>
  </w:num>
  <w:num w:numId="24">
    <w:abstractNumId w:val="28"/>
  </w:num>
  <w:num w:numId="25">
    <w:abstractNumId w:val="19"/>
  </w:num>
  <w:num w:numId="26">
    <w:abstractNumId w:val="5"/>
  </w:num>
  <w:num w:numId="27">
    <w:abstractNumId w:val="8"/>
  </w:num>
  <w:num w:numId="28">
    <w:abstractNumId w:val="21"/>
  </w:num>
  <w:num w:numId="29">
    <w:abstractNumId w:val="29"/>
  </w:num>
  <w:num w:numId="30">
    <w:abstractNumId w:val="25"/>
  </w:num>
  <w:num w:numId="31">
    <w:abstractNumId w:val="23"/>
  </w:num>
  <w:num w:numId="32">
    <w:abstractNumId w:val="20"/>
  </w:num>
  <w:num w:numId="33">
    <w:abstractNumId w:val="10"/>
  </w:num>
  <w:num w:numId="34">
    <w:abstractNumId w:val="38"/>
  </w:num>
  <w:num w:numId="35">
    <w:abstractNumId w:val="27"/>
  </w:num>
  <w:num w:numId="36">
    <w:abstractNumId w:val="37"/>
  </w:num>
  <w:num w:numId="37">
    <w:abstractNumId w:val="34"/>
  </w:num>
  <w:num w:numId="38">
    <w:abstractNumId w:val="1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43C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45272"/>
    <w:rsid w:val="00352961"/>
    <w:rsid w:val="00352C5B"/>
    <w:rsid w:val="0036400F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0080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5879"/>
    <w:rsid w:val="00527FC1"/>
    <w:rsid w:val="005534AF"/>
    <w:rsid w:val="00556C07"/>
    <w:rsid w:val="00561575"/>
    <w:rsid w:val="00563882"/>
    <w:rsid w:val="00563C88"/>
    <w:rsid w:val="00587E7C"/>
    <w:rsid w:val="00591806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5D5A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6777E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6937"/>
    <w:rsid w:val="006E759D"/>
    <w:rsid w:val="006F2E7F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1114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8B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16C01"/>
    <w:rsid w:val="00C23D4D"/>
    <w:rsid w:val="00C32F17"/>
    <w:rsid w:val="00C335F0"/>
    <w:rsid w:val="00C35116"/>
    <w:rsid w:val="00C37DFC"/>
    <w:rsid w:val="00C402CC"/>
    <w:rsid w:val="00C51830"/>
    <w:rsid w:val="00C53002"/>
    <w:rsid w:val="00C53D18"/>
    <w:rsid w:val="00C54522"/>
    <w:rsid w:val="00C56C7A"/>
    <w:rsid w:val="00C64430"/>
    <w:rsid w:val="00C6683B"/>
    <w:rsid w:val="00C67029"/>
    <w:rsid w:val="00C755F3"/>
    <w:rsid w:val="00C7663B"/>
    <w:rsid w:val="00C80D93"/>
    <w:rsid w:val="00C95523"/>
    <w:rsid w:val="00C96045"/>
    <w:rsid w:val="00C960BF"/>
    <w:rsid w:val="00CA34A6"/>
    <w:rsid w:val="00CA622D"/>
    <w:rsid w:val="00CA73AC"/>
    <w:rsid w:val="00CB052D"/>
    <w:rsid w:val="00CC50E9"/>
    <w:rsid w:val="00CC690B"/>
    <w:rsid w:val="00CC75D8"/>
    <w:rsid w:val="00CD0A81"/>
    <w:rsid w:val="00CD454A"/>
    <w:rsid w:val="00CE0A5C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02C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1401F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9EF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07704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2467"/>
    <w:rsid w:val="00FA31C0"/>
    <w:rsid w:val="00FA6AA6"/>
    <w:rsid w:val="00FB32C3"/>
    <w:rsid w:val="00FB370E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C454BA55-7ACB-4F67-8C4A-816E6419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C2197-7FC7-4DDD-B8D4-927E108B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12</cp:revision>
  <cp:lastPrinted>2014-10-31T16:10:00Z</cp:lastPrinted>
  <dcterms:created xsi:type="dcterms:W3CDTF">2015-04-16T20:03:00Z</dcterms:created>
  <dcterms:modified xsi:type="dcterms:W3CDTF">2016-03-01T04:14:00Z</dcterms:modified>
</cp:coreProperties>
</file>