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422" w:rsidRDefault="00556422" w:rsidP="00556422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6D25B3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4</w:t>
      </w:r>
      <w:r w:rsidR="002E7189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1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11168" w:rsidRDefault="00714AA6" w:rsidP="00C111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="006E45F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departamento de La Libertad,</w:t>
      </w:r>
      <w:r w:rsidRPr="008B611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8B6113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2E7189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tre</w:t>
      </w:r>
      <w:r w:rsidR="006D25B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ce</w:t>
      </w:r>
      <w:r w:rsidR="0000454E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cinco minutos</w:t>
      </w:r>
      <w:r w:rsidR="00FE31E9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8B6113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D1878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</w:t>
      </w:r>
      <w:r w:rsidR="002E7189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2</w:t>
      </w:r>
      <w:r w:rsidR="003F743C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6D25B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marzo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="00FB6AAA" w:rsidRPr="00FB6AA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el Ministerio de Agricultura y Ganadería luego de haber recibido y admitido la solicitud de información </w:t>
      </w:r>
      <w:r w:rsidR="00FB6AAA" w:rsidRPr="00FB6AAA">
        <w:rPr>
          <w:rFonts w:ascii="Arial Narrow" w:eastAsia="Arial Unicode MS" w:hAnsi="Arial Narrow" w:cs="Arial Unicode MS"/>
          <w:b/>
          <w:w w:val="102"/>
          <w:sz w:val="24"/>
          <w:szCs w:val="24"/>
        </w:rPr>
        <w:t>No. 41</w:t>
      </w:r>
      <w:r w:rsidR="00FB6AA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FB6AAA" w:rsidRPr="00FB6AAA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C1116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C11168" w:rsidRPr="003A2C19" w:rsidRDefault="00C11168" w:rsidP="00C111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2"/>
          <w:szCs w:val="20"/>
        </w:rPr>
      </w:pPr>
    </w:p>
    <w:p w:rsidR="00C11168" w:rsidRPr="00FB6AAA" w:rsidRDefault="00C11168" w:rsidP="00C11168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</w:rPr>
      </w:pPr>
      <w:r w:rsidRPr="00FB6AAA">
        <w:rPr>
          <w:b/>
          <w:color w:val="000099"/>
        </w:rPr>
        <w:t>Matanza de pollo mensual 2014 y 2015 por matadero total en El Salvador</w:t>
      </w:r>
    </w:p>
    <w:p w:rsidR="00C11168" w:rsidRPr="00FB6AAA" w:rsidRDefault="00C11168" w:rsidP="00C11168">
      <w:pPr>
        <w:pStyle w:val="Prrafodelista"/>
        <w:widowControl w:val="0"/>
        <w:numPr>
          <w:ilvl w:val="0"/>
          <w:numId w:val="4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</w:rPr>
      </w:pPr>
      <w:r w:rsidRPr="00FB6AAA">
        <w:rPr>
          <w:b/>
          <w:color w:val="000099"/>
        </w:rPr>
        <w:t>Producción mensual de pollo (o aves en general) en El Salvador de 2014 y 2015</w:t>
      </w:r>
    </w:p>
    <w:p w:rsidR="006E45FA" w:rsidRDefault="006E45FA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0"/>
          <w:szCs w:val="24"/>
        </w:rPr>
      </w:pPr>
    </w:p>
    <w:p w:rsidR="00C11168" w:rsidRPr="003A2C19" w:rsidRDefault="00C11168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"/>
          <w:szCs w:val="24"/>
        </w:rPr>
      </w:pPr>
    </w:p>
    <w:p w:rsidR="006E45FA" w:rsidRPr="006E45FA" w:rsidRDefault="006E45FA" w:rsidP="006E45FA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color w:val="000099"/>
          <w:w w:val="102"/>
          <w:sz w:val="10"/>
          <w:szCs w:val="24"/>
        </w:rPr>
      </w:pPr>
    </w:p>
    <w:p w:rsidR="00ED00B0" w:rsidRPr="00ED00B0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B6113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963746" w:rsidRPr="008B6113">
        <w:rPr>
          <w:b/>
          <w:color w:val="000099"/>
          <w:sz w:val="24"/>
          <w:szCs w:val="24"/>
        </w:rPr>
        <w:t xml:space="preserve"> </w:t>
      </w:r>
      <w:proofErr w:type="spellStart"/>
      <w:r w:rsidR="00482455" w:rsidRPr="00556422">
        <w:rPr>
          <w:b/>
          <w:color w:val="000099"/>
          <w:sz w:val="24"/>
          <w:szCs w:val="24"/>
          <w:highlight w:val="darkBlue"/>
        </w:rPr>
        <w:t>xxxxx</w:t>
      </w:r>
      <w:proofErr w:type="spellEnd"/>
      <w:r w:rsidR="00963746" w:rsidRPr="00556422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highlight w:val="darkBlue"/>
        </w:rPr>
        <w:t>,</w:t>
      </w:r>
      <w:bookmarkStart w:id="0" w:name="_GoBack"/>
      <w:bookmarkEnd w:id="0"/>
      <w:r w:rsidR="00EE4B7D" w:rsidRPr="008B6113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ED00B0" w:rsidRPr="00ED00B0">
        <w:rPr>
          <w:rFonts w:ascii="Arial Narrow" w:eastAsia="Arial Unicode MS" w:hAnsi="Arial Narrow" w:cs="Arial Unicode MS"/>
          <w:color w:val="FF0000"/>
          <w:w w:val="102"/>
          <w:sz w:val="24"/>
          <w:szCs w:val="24"/>
        </w:rPr>
        <w:t>parte</w:t>
      </w:r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la información solicitada no se encuentra entre las excepciones  enumeradas en los arts. 19 y 24 de la Ley, y 19 del Reglamento, </w:t>
      </w:r>
      <w:proofErr w:type="gramStart"/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>resuelve</w:t>
      </w:r>
      <w:proofErr w:type="gramEnd"/>
      <w:r w:rsidR="00ED00B0" w:rsidRPr="00ED00B0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: </w:t>
      </w:r>
    </w:p>
    <w:p w:rsidR="002F26F6" w:rsidRPr="002F26F6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2"/>
          <w:szCs w:val="24"/>
        </w:rPr>
      </w:pPr>
    </w:p>
    <w:p w:rsidR="00FF0E16" w:rsidRDefault="00ED00B0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4"/>
          <w:szCs w:val="24"/>
        </w:rPr>
      </w:pPr>
      <w:r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PROPORCIONAR LA INFORMACIÓN PÚBLICA SOLICITADA </w:t>
      </w:r>
      <w:r w:rsidR="002F26F6"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ANEXA A LA PRESENTE SOLICITUD</w:t>
      </w:r>
      <w:r w:rsidR="00FE20D5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 SOBRE L</w:t>
      </w:r>
      <w:r w:rsidR="00FB6AAA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A</w:t>
      </w:r>
      <w:r w:rsidR="00FE20D5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 </w:t>
      </w:r>
      <w:r w:rsidR="00FB6AAA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PRODUCCIÓN MENSUAL DE AVES EN EL SALVADOR</w:t>
      </w:r>
    </w:p>
    <w:p w:rsidR="002F26F6" w:rsidRPr="002F26F6" w:rsidRDefault="002F26F6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w w:val="102"/>
          <w:sz w:val="12"/>
          <w:szCs w:val="24"/>
        </w:rPr>
      </w:pPr>
    </w:p>
    <w:p w:rsidR="006551BF" w:rsidRPr="008B6113" w:rsidRDefault="00ED00B0" w:rsidP="008B611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Sobre la información acerca de </w:t>
      </w:r>
      <w:r w:rsidR="005610B0">
        <w:rPr>
          <w:rFonts w:ascii="Arial Narrow" w:eastAsia="Arial Unicode MS" w:hAnsi="Arial Narrow" w:cs="Arial Unicode MS"/>
          <w:i/>
          <w:color w:val="000099"/>
          <w:w w:val="102"/>
          <w:sz w:val="24"/>
          <w:szCs w:val="24"/>
        </w:rPr>
        <w:t>la</w:t>
      </w:r>
      <w:r w:rsidR="00FB6AAA">
        <w:rPr>
          <w:rFonts w:ascii="Arial Narrow" w:eastAsia="Arial Unicode MS" w:hAnsi="Arial Narrow" w:cs="Arial Unicode MS"/>
          <w:i/>
          <w:color w:val="000099"/>
          <w:w w:val="102"/>
          <w:sz w:val="24"/>
          <w:szCs w:val="24"/>
        </w:rPr>
        <w:t xml:space="preserve"> matanza de pollo men</w:t>
      </w:r>
      <w:r w:rsidR="005610B0">
        <w:rPr>
          <w:rFonts w:ascii="Arial Narrow" w:eastAsia="Arial Unicode MS" w:hAnsi="Arial Narrow" w:cs="Arial Unicode MS"/>
          <w:i/>
          <w:color w:val="000099"/>
          <w:w w:val="102"/>
          <w:sz w:val="24"/>
          <w:szCs w:val="24"/>
        </w:rPr>
        <w:t>s</w:t>
      </w:r>
      <w:r w:rsidR="00FB6AAA">
        <w:rPr>
          <w:rFonts w:ascii="Arial Narrow" w:eastAsia="Arial Unicode MS" w:hAnsi="Arial Narrow" w:cs="Arial Unicode MS"/>
          <w:i/>
          <w:color w:val="000099"/>
          <w:w w:val="102"/>
          <w:sz w:val="24"/>
          <w:szCs w:val="24"/>
        </w:rPr>
        <w:t>ual 2014 y 2015 por matad</w:t>
      </w:r>
      <w:r w:rsidR="003A2C19">
        <w:rPr>
          <w:rFonts w:ascii="Arial Narrow" w:eastAsia="Arial Unicode MS" w:hAnsi="Arial Narrow" w:cs="Arial Unicode MS"/>
          <w:i/>
          <w:color w:val="000099"/>
          <w:w w:val="102"/>
          <w:sz w:val="24"/>
          <w:szCs w:val="24"/>
        </w:rPr>
        <w:t>ero total en El Salvador</w:t>
      </w:r>
      <w:r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</w:t>
      </w:r>
      <w:r w:rsidR="000E498C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al respecto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se analizó el fondo de lo solicitado y realizado una búsqueda de la información en el área respectiva siendo imposible localizarla en nuestros registros, 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porque </w:t>
      </w:r>
      <w:r w:rsidR="005D78F6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es información </w:t>
      </w:r>
      <w:r w:rsidR="002F26F6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que no se p</w:t>
      </w:r>
      <w:r w:rsidR="003A2C19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rocesa en este Ministerio</w:t>
      </w:r>
      <w:r w:rsidR="005053E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,</w:t>
      </w:r>
      <w:r w:rsidR="003A2C19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no existen mataderos para aves registrados en el MAG, cada empresa productora de pollos de engorde realiza los sacrificios de las aves para la comercialización,</w:t>
      </w:r>
      <w:r w:rsidR="005053E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="00FB2B58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y c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onsiderando que la Ley de Acceso a la Información Pública dispone en el art. 73 que nos encontramos ante un caso de información 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INEXISTENTE</w:t>
      </w:r>
      <w:r w:rsidR="006551BF"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,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lo que  impide  brindar lo  requerido  por  el  peticionario, esta dependencia resuelve:</w:t>
      </w:r>
    </w:p>
    <w:p w:rsidR="00635004" w:rsidRPr="002F26F6" w:rsidRDefault="00635004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12"/>
          <w:szCs w:val="24"/>
        </w:rPr>
      </w:pPr>
    </w:p>
    <w:p w:rsidR="000E498C" w:rsidRPr="002F26F6" w:rsidRDefault="005C2109" w:rsidP="002F26F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4"/>
          <w:szCs w:val="24"/>
        </w:rPr>
      </w:pPr>
      <w:r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DE</w:t>
      </w:r>
      <w:r w:rsidR="006551BF"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NEGAR EL ACCESO A LA INFORMAC</w:t>
      </w:r>
      <w:r w:rsidR="00E0601C" w:rsidRPr="002F26F6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IÓN SOLICITADA POR INEXISTENCIA</w:t>
      </w:r>
    </w:p>
    <w:p w:rsidR="00482455" w:rsidRDefault="00482455" w:rsidP="004824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</w:p>
    <w:p w:rsidR="00482455" w:rsidRDefault="00482455" w:rsidP="004824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</w:p>
    <w:p w:rsidR="00482455" w:rsidRDefault="00482455" w:rsidP="004824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FIRMA ANA PATRICIA SANCHEZ DE CRUZ OFICIAL DE INFORMACION OIR MAG</w:t>
      </w:r>
    </w:p>
    <w:p w:rsidR="005053E3" w:rsidRDefault="005053E3" w:rsidP="00C244D4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sectPr w:rsidR="005053E3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317" w:rsidRDefault="00CA4317" w:rsidP="00F425A5">
      <w:pPr>
        <w:spacing w:after="0" w:line="240" w:lineRule="auto"/>
      </w:pPr>
      <w:r>
        <w:separator/>
      </w:r>
    </w:p>
  </w:endnote>
  <w:endnote w:type="continuationSeparator" w:id="0">
    <w:p w:rsidR="00CA4317" w:rsidRDefault="00CA431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6052D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356216" wp14:editId="0C00A828">
              <wp:simplePos x="0" y="0"/>
              <wp:positionH relativeFrom="column">
                <wp:posOffset>-101600</wp:posOffset>
              </wp:positionH>
              <wp:positionV relativeFrom="paragraph">
                <wp:posOffset>83185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6E45FA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6E45FA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6E45FA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123F84" w:rsidRPr="006A4190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1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5621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pt;margin-top:6.5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6E45FA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6E45FA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6E45FA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123F84" w:rsidRPr="006A4190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2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  <w:r w:rsidR="006A4190">
      <w:rPr>
        <w:noProof/>
      </w:rPr>
      <w:drawing>
        <wp:anchor distT="0" distB="0" distL="114300" distR="114300" simplePos="0" relativeHeight="251660288" behindDoc="0" locked="0" layoutInCell="1" allowOverlap="1" wp14:anchorId="103FC8EC" wp14:editId="7A0BB6A9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317" w:rsidRDefault="00CA4317" w:rsidP="00F425A5">
      <w:pPr>
        <w:spacing w:after="0" w:line="240" w:lineRule="auto"/>
      </w:pPr>
      <w:r>
        <w:separator/>
      </w:r>
    </w:p>
  </w:footnote>
  <w:footnote w:type="continuationSeparator" w:id="0">
    <w:p w:rsidR="00CA4317" w:rsidRDefault="00CA431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D031E9" wp14:editId="2217A8CA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0B30B81" wp14:editId="6FCCF73A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F25E9"/>
    <w:multiLevelType w:val="hybridMultilevel"/>
    <w:tmpl w:val="1A5C7C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8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07ECB"/>
    <w:multiLevelType w:val="hybridMultilevel"/>
    <w:tmpl w:val="2968F1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9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3EB57B7"/>
    <w:multiLevelType w:val="hybridMultilevel"/>
    <w:tmpl w:val="85B018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875AD"/>
    <w:multiLevelType w:val="hybridMultilevel"/>
    <w:tmpl w:val="EDE03702"/>
    <w:lvl w:ilvl="0" w:tplc="B2D2AD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4"/>
  </w:num>
  <w:num w:numId="3">
    <w:abstractNumId w:val="16"/>
  </w:num>
  <w:num w:numId="4">
    <w:abstractNumId w:val="17"/>
  </w:num>
  <w:num w:numId="5">
    <w:abstractNumId w:val="5"/>
  </w:num>
  <w:num w:numId="6">
    <w:abstractNumId w:val="18"/>
  </w:num>
  <w:num w:numId="7">
    <w:abstractNumId w:val="37"/>
  </w:num>
  <w:num w:numId="8">
    <w:abstractNumId w:val="7"/>
  </w:num>
  <w:num w:numId="9">
    <w:abstractNumId w:val="10"/>
  </w:num>
  <w:num w:numId="10">
    <w:abstractNumId w:val="8"/>
  </w:num>
  <w:num w:numId="11">
    <w:abstractNumId w:val="15"/>
  </w:num>
  <w:num w:numId="12">
    <w:abstractNumId w:val="35"/>
  </w:num>
  <w:num w:numId="13">
    <w:abstractNumId w:val="36"/>
  </w:num>
  <w:num w:numId="14">
    <w:abstractNumId w:val="29"/>
  </w:num>
  <w:num w:numId="15">
    <w:abstractNumId w:val="0"/>
  </w:num>
  <w:num w:numId="16">
    <w:abstractNumId w:val="3"/>
  </w:num>
  <w:num w:numId="17">
    <w:abstractNumId w:val="32"/>
  </w:num>
  <w:num w:numId="18">
    <w:abstractNumId w:val="24"/>
  </w:num>
  <w:num w:numId="19">
    <w:abstractNumId w:val="19"/>
  </w:num>
  <w:num w:numId="20">
    <w:abstractNumId w:val="13"/>
  </w:num>
  <w:num w:numId="21">
    <w:abstractNumId w:val="2"/>
  </w:num>
  <w:num w:numId="22">
    <w:abstractNumId w:val="38"/>
  </w:num>
  <w:num w:numId="23">
    <w:abstractNumId w:val="14"/>
  </w:num>
  <w:num w:numId="24">
    <w:abstractNumId w:val="30"/>
  </w:num>
  <w:num w:numId="25">
    <w:abstractNumId w:val="20"/>
  </w:num>
  <w:num w:numId="26">
    <w:abstractNumId w:val="6"/>
  </w:num>
  <w:num w:numId="27">
    <w:abstractNumId w:val="9"/>
  </w:num>
  <w:num w:numId="28">
    <w:abstractNumId w:val="23"/>
  </w:num>
  <w:num w:numId="29">
    <w:abstractNumId w:val="31"/>
  </w:num>
  <w:num w:numId="30">
    <w:abstractNumId w:val="28"/>
  </w:num>
  <w:num w:numId="31">
    <w:abstractNumId w:val="26"/>
  </w:num>
  <w:num w:numId="32">
    <w:abstractNumId w:val="22"/>
  </w:num>
  <w:num w:numId="33">
    <w:abstractNumId w:val="12"/>
  </w:num>
  <w:num w:numId="34">
    <w:abstractNumId w:val="1"/>
  </w:num>
  <w:num w:numId="35">
    <w:abstractNumId w:val="39"/>
  </w:num>
  <w:num w:numId="36">
    <w:abstractNumId w:val="25"/>
  </w:num>
  <w:num w:numId="37">
    <w:abstractNumId w:val="21"/>
  </w:num>
  <w:num w:numId="38">
    <w:abstractNumId w:val="33"/>
  </w:num>
  <w:num w:numId="39">
    <w:abstractNumId w:val="4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C04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6DC9"/>
    <w:rsid w:val="00080BD1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4B0F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E7189"/>
    <w:rsid w:val="002F23B6"/>
    <w:rsid w:val="002F26F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2C19"/>
    <w:rsid w:val="003A3C96"/>
    <w:rsid w:val="003A5095"/>
    <w:rsid w:val="003A5A75"/>
    <w:rsid w:val="003B7E1E"/>
    <w:rsid w:val="003C0BF5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82455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3E3"/>
    <w:rsid w:val="00505879"/>
    <w:rsid w:val="00522680"/>
    <w:rsid w:val="00527FC1"/>
    <w:rsid w:val="005534AF"/>
    <w:rsid w:val="00556422"/>
    <w:rsid w:val="00556C07"/>
    <w:rsid w:val="005610B0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25B3"/>
    <w:rsid w:val="006D58A0"/>
    <w:rsid w:val="006E3D05"/>
    <w:rsid w:val="006E45FA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0236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01709"/>
    <w:rsid w:val="00C11168"/>
    <w:rsid w:val="00C11D10"/>
    <w:rsid w:val="00C1211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0C23"/>
    <w:rsid w:val="00C95523"/>
    <w:rsid w:val="00C96045"/>
    <w:rsid w:val="00C960BF"/>
    <w:rsid w:val="00CA34A6"/>
    <w:rsid w:val="00CA4317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00B0"/>
    <w:rsid w:val="00ED21B7"/>
    <w:rsid w:val="00ED3BFB"/>
    <w:rsid w:val="00EE3CC4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AAA"/>
    <w:rsid w:val="00FB6C9A"/>
    <w:rsid w:val="00FC1F22"/>
    <w:rsid w:val="00FC4309"/>
    <w:rsid w:val="00FD3461"/>
    <w:rsid w:val="00FE20D5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69A017DD-4FEE-4648-9D6C-EDAF403A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37C9D-42E7-407A-9ECC-836E204A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8</cp:revision>
  <cp:lastPrinted>2015-03-11T19:40:00Z</cp:lastPrinted>
  <dcterms:created xsi:type="dcterms:W3CDTF">2015-03-12T19:25:00Z</dcterms:created>
  <dcterms:modified xsi:type="dcterms:W3CDTF">2016-03-01T03:49:00Z</dcterms:modified>
</cp:coreProperties>
</file>