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47" w:rsidRDefault="00BD3A47" w:rsidP="00BD3A4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B5690" w:rsidRDefault="007B569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9155A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</w:t>
      </w:r>
      <w:r w:rsidR="0079521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departamento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79521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trece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9155A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9155A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marzo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9155A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="0079521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79521B" w:rsidRPr="00103D89" w:rsidRDefault="0079521B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9521B" w:rsidRPr="009155AE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9155AE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“Volumen de producción y/o extracción de madera, autorizada y registrada por cada tipo de permiso otorgado para el aprovechamiento forestal de plantaciones o bosque natural, de los años 2013 a 2014, y de la última década”.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8B6113">
        <w:rPr>
          <w:b/>
          <w:color w:val="000099"/>
          <w:sz w:val="24"/>
          <w:szCs w:val="24"/>
        </w:rPr>
        <w:t xml:space="preserve"> </w:t>
      </w:r>
      <w:proofErr w:type="spellStart"/>
      <w:r w:rsidR="00DD7482" w:rsidRPr="00BD3A47">
        <w:rPr>
          <w:b/>
          <w:color w:val="000099"/>
          <w:sz w:val="24"/>
          <w:szCs w:val="24"/>
          <w:highlight w:val="darkBlue"/>
        </w:rPr>
        <w:t>xxxxxxxx</w:t>
      </w:r>
      <w:proofErr w:type="spellEnd"/>
      <w:r w:rsidR="009155AE" w:rsidRPr="00BD3A47">
        <w:rPr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9155AE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manifestando la Dirección General de Ordenamiento Forestal Cuencas y Riego, que no se dispone de la información solicitada</w:t>
      </w:r>
      <w:r w:rsidR="006D1878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,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E01C0" w:rsidRDefault="0079521B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Sin embargo en relación se sugiere realizar consulta al 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siguiente sitio web de 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este Ministerio, 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el cual encontrará información forestal, 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>describo a continuación la dirección electrónica: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hyperlink r:id="rId8" w:history="1">
        <w:r w:rsidR="00DD7482" w:rsidRPr="002A1F37">
          <w:rPr>
            <w:rStyle w:val="Hipervnculo"/>
            <w:rFonts w:ascii="Arial Narrow" w:eastAsia="Arial Unicode MS" w:hAnsi="Arial Narrow" w:cs="Arial Unicode MS"/>
            <w:b/>
            <w:w w:val="102"/>
            <w:sz w:val="24"/>
            <w:szCs w:val="24"/>
          </w:rPr>
          <w:t>http://forestal.mag.gob.sv/</w:t>
        </w:r>
      </w:hyperlink>
    </w:p>
    <w:p w:rsidR="00DD7482" w:rsidRDefault="00DD748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DD7482" w:rsidRDefault="00DD748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DD7482" w:rsidRDefault="00DD7482" w:rsidP="00DD74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DD7482" w:rsidRPr="0009322A" w:rsidRDefault="00DD748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DD7482" w:rsidRPr="0009322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7D" w:rsidRDefault="0006397D" w:rsidP="00F425A5">
      <w:pPr>
        <w:spacing w:after="0" w:line="240" w:lineRule="auto"/>
      </w:pPr>
      <w:r>
        <w:separator/>
      </w:r>
    </w:p>
  </w:endnote>
  <w:endnote w:type="continuationSeparator" w:id="0">
    <w:p w:rsidR="0006397D" w:rsidRDefault="0006397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FDA67" wp14:editId="619A8BAA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79521B">
                            <w:rPr>
                              <w:color w:val="auto"/>
                              <w:sz w:val="18"/>
                              <w:szCs w:val="18"/>
                            </w:rPr>
                            <w:t>, 13 calle Oriente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FDA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79521B">
                      <w:rPr>
                        <w:color w:val="auto"/>
                        <w:sz w:val="18"/>
                        <w:szCs w:val="18"/>
                      </w:rPr>
                      <w:t>, 13 calle Oriente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00ECE855" wp14:editId="1B99A3C0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7D" w:rsidRDefault="0006397D" w:rsidP="00F425A5">
      <w:pPr>
        <w:spacing w:after="0" w:line="240" w:lineRule="auto"/>
      </w:pPr>
      <w:r>
        <w:separator/>
      </w:r>
    </w:p>
  </w:footnote>
  <w:footnote w:type="continuationSeparator" w:id="0">
    <w:p w:rsidR="0006397D" w:rsidRDefault="0006397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24F84" wp14:editId="3811661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86C38C" wp14:editId="63088C0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B7E9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690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3A47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482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A822858-E839-4C48-9117-C1518111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stal.mag.gob.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10898-C38E-4C74-BF0A-AD508335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2015-02-17T20:01:00Z</cp:lastPrinted>
  <dcterms:created xsi:type="dcterms:W3CDTF">2015-03-05T19:44:00Z</dcterms:created>
  <dcterms:modified xsi:type="dcterms:W3CDTF">2016-03-01T03:45:00Z</dcterms:modified>
</cp:coreProperties>
</file>