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49" w:rsidRDefault="006C4049" w:rsidP="006C404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992CF6" w:rsidRDefault="00992CF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8D5945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2</w:t>
      </w:r>
      <w:r w:rsidR="0079521B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departamento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79521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trece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FE31E9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D1878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79521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7</w:t>
      </w:r>
      <w:r w:rsidR="003F743C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febrero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061F9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="0079521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3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79521B" w:rsidRPr="00103D89" w:rsidRDefault="0079521B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79521B" w:rsidRPr="0079521B" w:rsidRDefault="0079521B" w:rsidP="00103D89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79521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Cantidad y tipos de producción en quintales al año en terrenos montañosos a nivel nacional, y los productores que generan los mismos.</w:t>
      </w:r>
    </w:p>
    <w:p w:rsidR="0079521B" w:rsidRPr="0079521B" w:rsidRDefault="0079521B" w:rsidP="00103D89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79521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Tipos de productos agrícolas que se cultivan en los Cerros de </w:t>
      </w:r>
      <w:proofErr w:type="spellStart"/>
      <w:r w:rsidRPr="0079521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Guaycumen</w:t>
      </w:r>
      <w:proofErr w:type="spellEnd"/>
      <w:r w:rsidRPr="0079521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y Cerro de </w:t>
      </w:r>
      <w:proofErr w:type="spellStart"/>
      <w:r w:rsidRPr="0079521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Nejapa</w:t>
      </w:r>
      <w:proofErr w:type="spellEnd"/>
      <w:r w:rsidRPr="0079521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.</w:t>
      </w:r>
    </w:p>
    <w:p w:rsidR="006D1878" w:rsidRPr="0079521B" w:rsidRDefault="0079521B" w:rsidP="00103D89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79521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Cuánto es el costo de producción de los productos agrícolas en zonas montañosas</w:t>
      </w:r>
    </w:p>
    <w:p w:rsidR="0079521B" w:rsidRPr="00103D89" w:rsidRDefault="0079521B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8B6113">
        <w:rPr>
          <w:b/>
          <w:color w:val="000099"/>
          <w:sz w:val="24"/>
          <w:szCs w:val="24"/>
        </w:rPr>
        <w:t xml:space="preserve"> </w:t>
      </w:r>
      <w:proofErr w:type="spellStart"/>
      <w:r w:rsidR="001D4504" w:rsidRPr="006C4049">
        <w:rPr>
          <w:b/>
          <w:color w:val="000099"/>
          <w:sz w:val="24"/>
          <w:szCs w:val="24"/>
          <w:highlight w:val="blue"/>
        </w:rPr>
        <w:t>xxxxxx</w:t>
      </w:r>
      <w:proofErr w:type="spellEnd"/>
      <w:r w:rsidR="00963746" w:rsidRPr="006C404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blue"/>
        </w:rPr>
        <w:t>,</w:t>
      </w:r>
      <w:r w:rsidR="00EE4B7D"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bookmarkStart w:id="0" w:name="_GoBack"/>
      <w:bookmarkEnd w:id="0"/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C244D4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porque </w:t>
      </w:r>
      <w:r w:rsidR="005D78F6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es información </w:t>
      </w:r>
      <w:r w:rsidR="008B6113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estadística que </w:t>
      </w:r>
      <w:r w:rsidR="0079521B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no </w:t>
      </w:r>
      <w:r w:rsidR="008B6113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se procesa </w:t>
      </w:r>
      <w:r w:rsidR="0079521B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a ese nivel de desagregación (producción en terrenos montañosos y en los cerros </w:t>
      </w:r>
      <w:proofErr w:type="spellStart"/>
      <w:r w:rsidR="0079521B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Guaycumen</w:t>
      </w:r>
      <w:proofErr w:type="spellEnd"/>
      <w:r w:rsidR="0079521B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 y </w:t>
      </w:r>
      <w:proofErr w:type="spellStart"/>
      <w:r w:rsidR="0079521B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Nejapa</w:t>
      </w:r>
      <w:proofErr w:type="spellEnd"/>
      <w:r w:rsidR="003C4894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)</w:t>
      </w:r>
      <w:r w:rsidR="0079521B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, </w:t>
      </w:r>
      <w:r w:rsidR="006D1878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por lo </w:t>
      </w:r>
      <w:r w:rsidR="0079521B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tanto</w:t>
      </w:r>
      <w:r w:rsidR="006D1878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 los </w:t>
      </w:r>
      <w:r w:rsidR="008B6113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cifras en referencia </w:t>
      </w:r>
      <w:r w:rsidR="005D78F6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 xml:space="preserve">no se tienen </w:t>
      </w:r>
      <w:r w:rsidR="006D1878" w:rsidRPr="003C4894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disponibles,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6052DD" w:rsidRDefault="0079521B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>Sin embargo en relación a la información de costo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>s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producción agrícola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en general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sugiere realizar consulta al documento sobre costos de producción más reciente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>, el cual está disponible en la página web de este Ministerio, describo a continuación la dirección electrónica:</w:t>
      </w:r>
    </w:p>
    <w:p w:rsidR="003E01C0" w:rsidRDefault="003E01C0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3E01C0" w:rsidRDefault="006C404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hyperlink r:id="rId8" w:history="1">
        <w:r w:rsidR="001D4504" w:rsidRPr="00F70095">
          <w:rPr>
            <w:rStyle w:val="Hipervnculo"/>
            <w:rFonts w:ascii="Arial Narrow" w:eastAsia="Arial Unicode MS" w:hAnsi="Arial Narrow" w:cs="Arial Unicode MS"/>
            <w:w w:val="102"/>
            <w:sz w:val="24"/>
            <w:szCs w:val="24"/>
          </w:rPr>
          <w:t>http://www.mag.gob.sv/index.php?option=com_phocadownload&amp;view=category&amp;id=17&amp;Itemid=226</w:t>
        </w:r>
      </w:hyperlink>
    </w:p>
    <w:p w:rsidR="001D4504" w:rsidRDefault="001D4504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1D4504" w:rsidRDefault="001D4504" w:rsidP="001D45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1D4504" w:rsidRDefault="001D4504" w:rsidP="001D45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1D4504" w:rsidRPr="003E01C0" w:rsidRDefault="001D4504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sectPr w:rsidR="001D4504" w:rsidRPr="003E01C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EB" w:rsidRDefault="002534EB" w:rsidP="00F425A5">
      <w:pPr>
        <w:spacing w:after="0" w:line="240" w:lineRule="auto"/>
      </w:pPr>
      <w:r>
        <w:separator/>
      </w:r>
    </w:p>
  </w:endnote>
  <w:endnote w:type="continuationSeparator" w:id="0">
    <w:p w:rsidR="002534EB" w:rsidRDefault="002534E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79521B">
                            <w:rPr>
                              <w:color w:val="auto"/>
                              <w:sz w:val="18"/>
                              <w:szCs w:val="18"/>
                            </w:rPr>
                            <w:t>, 13 calle Oriente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79521B">
                      <w:rPr>
                        <w:color w:val="auto"/>
                        <w:sz w:val="18"/>
                        <w:szCs w:val="18"/>
                      </w:rPr>
                      <w:t>, 13 calle Oriente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EB" w:rsidRDefault="002534EB" w:rsidP="00F425A5">
      <w:pPr>
        <w:spacing w:after="0" w:line="240" w:lineRule="auto"/>
      </w:pPr>
      <w:r>
        <w:separator/>
      </w:r>
    </w:p>
  </w:footnote>
  <w:footnote w:type="continuationSeparator" w:id="0">
    <w:p w:rsidR="002534EB" w:rsidRDefault="002534E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504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4049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2CF6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01C12BC1-D773-4703-9CF3-71190594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index.php?option=com_phocadownload&amp;view=category&amp;id=17&amp;Itemid=2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EBF04-99D9-4298-BDAE-C590EDB8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10</cp:revision>
  <cp:lastPrinted>2015-02-17T20:01:00Z</cp:lastPrinted>
  <dcterms:created xsi:type="dcterms:W3CDTF">2015-02-17T19:45:00Z</dcterms:created>
  <dcterms:modified xsi:type="dcterms:W3CDTF">2016-03-01T03:38:00Z</dcterms:modified>
</cp:coreProperties>
</file>