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952" w:rsidRPr="00EC7DAA" w:rsidRDefault="00F33952" w:rsidP="00F33952">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7A685A">
        <w:rPr>
          <w:rFonts w:ascii="Arial" w:hAnsi="Arial" w:cs="Arial"/>
          <w:b/>
          <w:bCs/>
          <w:spacing w:val="-1"/>
          <w:sz w:val="24"/>
          <w:szCs w:val="24"/>
        </w:rPr>
        <w:t>1</w:t>
      </w:r>
      <w:r w:rsidR="00197D21">
        <w:rPr>
          <w:rFonts w:ascii="Arial" w:hAnsi="Arial" w:cs="Arial"/>
          <w:b/>
          <w:bCs/>
          <w:spacing w:val="-1"/>
          <w:sz w:val="24"/>
          <w:szCs w:val="24"/>
        </w:rPr>
        <w:t>0</w:t>
      </w:r>
      <w:r w:rsidR="00B133E9" w:rsidRPr="006D5010">
        <w:rPr>
          <w:rFonts w:ascii="Arial" w:hAnsi="Arial" w:cs="Arial"/>
          <w:b/>
          <w:bCs/>
          <w:spacing w:val="-1"/>
          <w:sz w:val="24"/>
          <w:szCs w:val="24"/>
        </w:rPr>
        <w:t>/20</w:t>
      </w:r>
      <w:r w:rsidR="00197D21">
        <w:rPr>
          <w:rFonts w:ascii="Arial" w:hAnsi="Arial" w:cs="Arial"/>
          <w:b/>
          <w:bCs/>
          <w:spacing w:val="-1"/>
          <w:sz w:val="24"/>
          <w:szCs w:val="24"/>
        </w:rPr>
        <w:t>20</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875FAD">
      <w:pPr>
        <w:widowControl w:val="0"/>
        <w:autoSpaceDE w:val="0"/>
        <w:autoSpaceDN w:val="0"/>
        <w:adjustRightInd w:val="0"/>
        <w:spacing w:before="21" w:after="0" w:line="240" w:lineRule="auto"/>
        <w:ind w:right="-234"/>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936044">
        <w:rPr>
          <w:rFonts w:ascii="Arial" w:hAnsi="Arial" w:cs="Arial"/>
          <w:bCs/>
          <w:spacing w:val="-1"/>
          <w:sz w:val="24"/>
          <w:szCs w:val="24"/>
        </w:rPr>
        <w:t>diez</w:t>
      </w:r>
      <w:r w:rsidR="006177D9">
        <w:rPr>
          <w:rFonts w:ascii="Arial" w:hAnsi="Arial" w:cs="Arial"/>
          <w:bCs/>
          <w:spacing w:val="-1"/>
          <w:sz w:val="24"/>
          <w:szCs w:val="24"/>
        </w:rPr>
        <w:t xml:space="preserve"> 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936044">
        <w:rPr>
          <w:rFonts w:ascii="Arial" w:hAnsi="Arial" w:cs="Arial"/>
          <w:bCs/>
          <w:spacing w:val="-1"/>
          <w:sz w:val="24"/>
          <w:szCs w:val="24"/>
        </w:rPr>
        <w:t>dieciséis</w:t>
      </w:r>
      <w:r w:rsidR="00AF2095">
        <w:rPr>
          <w:rFonts w:ascii="Arial" w:hAnsi="Arial" w:cs="Arial"/>
          <w:bCs/>
          <w:spacing w:val="-1"/>
          <w:sz w:val="24"/>
          <w:szCs w:val="24"/>
        </w:rPr>
        <w:t xml:space="preserve"> </w:t>
      </w:r>
      <w:r w:rsidR="006177D9">
        <w:rPr>
          <w:rFonts w:ascii="Arial" w:hAnsi="Arial" w:cs="Arial"/>
          <w:bCs/>
          <w:spacing w:val="-1"/>
          <w:sz w:val="24"/>
          <w:szCs w:val="24"/>
        </w:rPr>
        <w:t xml:space="preserve">minutos del día </w:t>
      </w:r>
      <w:r w:rsidR="00BB3FD5">
        <w:rPr>
          <w:rFonts w:ascii="Arial" w:hAnsi="Arial" w:cs="Arial"/>
          <w:bCs/>
          <w:spacing w:val="-1"/>
          <w:sz w:val="24"/>
          <w:szCs w:val="24"/>
        </w:rPr>
        <w:t>veinticuatro</w:t>
      </w:r>
      <w:r w:rsidR="00936044">
        <w:rPr>
          <w:rFonts w:ascii="Arial" w:hAnsi="Arial" w:cs="Arial"/>
          <w:bCs/>
          <w:spacing w:val="-1"/>
          <w:sz w:val="24"/>
          <w:szCs w:val="24"/>
        </w:rPr>
        <w:t xml:space="preserve"> </w:t>
      </w:r>
      <w:r w:rsidR="006177D9">
        <w:rPr>
          <w:rFonts w:ascii="Arial" w:hAnsi="Arial" w:cs="Arial"/>
          <w:bCs/>
          <w:spacing w:val="-1"/>
          <w:sz w:val="24"/>
          <w:szCs w:val="24"/>
        </w:rPr>
        <w:t xml:space="preserve">de </w:t>
      </w:r>
      <w:r w:rsidR="00197D21">
        <w:rPr>
          <w:rFonts w:ascii="Arial" w:hAnsi="Arial" w:cs="Arial"/>
          <w:bCs/>
          <w:spacing w:val="-1"/>
          <w:sz w:val="24"/>
          <w:szCs w:val="24"/>
        </w:rPr>
        <w:t>septiembre</w:t>
      </w:r>
      <w:r w:rsidR="006177D9">
        <w:rPr>
          <w:rFonts w:ascii="Arial" w:hAnsi="Arial" w:cs="Arial"/>
          <w:bCs/>
          <w:spacing w:val="-1"/>
          <w:sz w:val="24"/>
          <w:szCs w:val="24"/>
        </w:rPr>
        <w:t xml:space="preserve"> </w:t>
      </w:r>
      <w:r w:rsidR="00B133E9" w:rsidRPr="006D5010">
        <w:rPr>
          <w:rFonts w:ascii="Arial" w:hAnsi="Arial" w:cs="Arial"/>
          <w:bCs/>
          <w:spacing w:val="-1"/>
          <w:sz w:val="24"/>
          <w:szCs w:val="24"/>
        </w:rPr>
        <w:t xml:space="preserve">del año dos mil </w:t>
      </w:r>
      <w:r w:rsidR="00197D21">
        <w:rPr>
          <w:rFonts w:ascii="Arial" w:hAnsi="Arial" w:cs="Arial"/>
          <w:bCs/>
          <w:spacing w:val="-1"/>
          <w:sz w:val="24"/>
          <w:szCs w:val="24"/>
        </w:rPr>
        <w:t>veinte</w:t>
      </w:r>
      <w:r w:rsidR="00B133E9" w:rsidRPr="006D5010">
        <w:rPr>
          <w:rFonts w:ascii="Arial" w:hAnsi="Arial" w:cs="Arial"/>
          <w:bCs/>
          <w:spacing w:val="-1"/>
          <w:sz w:val="24"/>
          <w:szCs w:val="24"/>
        </w:rPr>
        <w:t>.</w:t>
      </w:r>
    </w:p>
    <w:p w:rsidR="00C93B38" w:rsidRPr="006D5010" w:rsidRDefault="00C93B38" w:rsidP="00875FA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right="-234"/>
        <w:contextualSpacing/>
        <w:jc w:val="both"/>
        <w:rPr>
          <w:rFonts w:ascii="Arial" w:hAnsi="Arial" w:cs="Arial"/>
          <w:sz w:val="24"/>
          <w:szCs w:val="24"/>
        </w:rPr>
      </w:pPr>
    </w:p>
    <w:p w:rsidR="00197D21" w:rsidRPr="006B12A0" w:rsidRDefault="00B133E9" w:rsidP="00197D21">
      <w:pPr>
        <w:pStyle w:val="Default"/>
        <w:jc w:val="both"/>
        <w:rPr>
          <w:rFonts w:ascii="Arial" w:hAnsi="Arial" w:cs="Arial"/>
        </w:rPr>
      </w:pPr>
      <w:r w:rsidRPr="006D5010">
        <w:rPr>
          <w:rFonts w:ascii="Arial" w:hAnsi="Arial" w:cs="Arial"/>
        </w:rPr>
        <w:t xml:space="preserve">Vista, analizada y tramitada que ha sido la solicitud de acceso a la </w:t>
      </w:r>
      <w:r w:rsidR="00F33952" w:rsidRPr="006D5010">
        <w:rPr>
          <w:rFonts w:ascii="Arial" w:hAnsi="Arial" w:cs="Arial"/>
        </w:rPr>
        <w:t>información ingresa</w:t>
      </w:r>
      <w:r w:rsidRPr="006D5010">
        <w:rPr>
          <w:rFonts w:ascii="Arial" w:hAnsi="Arial" w:cs="Arial"/>
        </w:rPr>
        <w:t xml:space="preserve"> a través del correo electrónico el </w:t>
      </w:r>
      <w:r w:rsidR="00F33952" w:rsidRPr="006D5010">
        <w:rPr>
          <w:rFonts w:ascii="Arial" w:hAnsi="Arial" w:cs="Arial"/>
        </w:rPr>
        <w:t>día doce</w:t>
      </w:r>
      <w:r w:rsidR="00936044">
        <w:rPr>
          <w:rFonts w:ascii="Arial" w:hAnsi="Arial" w:cs="Arial"/>
        </w:rPr>
        <w:t xml:space="preserve"> de ju</w:t>
      </w:r>
      <w:r w:rsidR="00BB3FD5">
        <w:rPr>
          <w:rFonts w:ascii="Arial" w:hAnsi="Arial" w:cs="Arial"/>
        </w:rPr>
        <w:t>l</w:t>
      </w:r>
      <w:r w:rsidR="00936044">
        <w:rPr>
          <w:rFonts w:ascii="Arial" w:hAnsi="Arial" w:cs="Arial"/>
        </w:rPr>
        <w:t xml:space="preserve">io de </w:t>
      </w:r>
      <w:r w:rsidR="007A685A">
        <w:rPr>
          <w:rFonts w:ascii="Arial" w:hAnsi="Arial" w:cs="Arial"/>
        </w:rPr>
        <w:t>dos mil diecinueve</w:t>
      </w:r>
      <w:r w:rsidRPr="006D5010">
        <w:rPr>
          <w:rFonts w:ascii="Arial" w:hAnsi="Arial" w:cs="Arial"/>
        </w:rPr>
        <w:t>,</w:t>
      </w:r>
      <w:r w:rsidR="00373F8D" w:rsidRPr="006D5010">
        <w:rPr>
          <w:rFonts w:ascii="Arial" w:hAnsi="Arial" w:cs="Arial"/>
        </w:rPr>
        <w:t xml:space="preserve"> por </w:t>
      </w:r>
      <w:r w:rsidR="00F33952">
        <w:rPr>
          <w:rFonts w:ascii="Arial" w:hAnsi="Arial" w:cs="Arial"/>
          <w:b/>
        </w:rPr>
        <w:t>//////////////////////////////</w:t>
      </w:r>
      <w:r w:rsidR="00BB3FD5" w:rsidRPr="00BF1C26">
        <w:rPr>
          <w:rFonts w:ascii="Arial" w:hAnsi="Arial" w:cs="Arial"/>
        </w:rPr>
        <w:t xml:space="preserve">, </w:t>
      </w:r>
      <w:r w:rsidR="00875FAD">
        <w:rPr>
          <w:rFonts w:ascii="Arial" w:hAnsi="Arial" w:cs="Arial"/>
        </w:rPr>
        <w:t>e identificada como número 1</w:t>
      </w:r>
      <w:r w:rsidR="00197D21">
        <w:rPr>
          <w:rFonts w:ascii="Arial" w:hAnsi="Arial" w:cs="Arial"/>
        </w:rPr>
        <w:t>0</w:t>
      </w:r>
      <w:r w:rsidR="00875FAD">
        <w:rPr>
          <w:rFonts w:ascii="Arial" w:hAnsi="Arial" w:cs="Arial"/>
        </w:rPr>
        <w:t>-20</w:t>
      </w:r>
      <w:r w:rsidR="00197D21">
        <w:rPr>
          <w:rFonts w:ascii="Arial" w:hAnsi="Arial" w:cs="Arial"/>
        </w:rPr>
        <w:t>20</w:t>
      </w:r>
      <w:r w:rsidR="00875FAD">
        <w:rPr>
          <w:rFonts w:ascii="Arial" w:hAnsi="Arial" w:cs="Arial"/>
        </w:rPr>
        <w:t xml:space="preserve">, </w:t>
      </w:r>
      <w:r w:rsidRPr="006D5010">
        <w:rPr>
          <w:rFonts w:ascii="Arial" w:hAnsi="Arial" w:cs="Arial"/>
        </w:rPr>
        <w:t xml:space="preserve">en la que </w:t>
      </w:r>
      <w:r w:rsidR="00875FAD">
        <w:rPr>
          <w:rFonts w:ascii="Arial" w:hAnsi="Arial" w:cs="Arial"/>
        </w:rPr>
        <w:t>solicita</w:t>
      </w:r>
      <w:r w:rsidRPr="006D5010">
        <w:rPr>
          <w:rFonts w:ascii="Arial" w:hAnsi="Arial" w:cs="Arial"/>
        </w:rPr>
        <w:t xml:space="preserve"> la siguiente información:</w:t>
      </w:r>
      <w:r w:rsidR="00373F8D" w:rsidRPr="006D5010">
        <w:rPr>
          <w:rFonts w:ascii="Arial" w:hAnsi="Arial" w:cs="Arial"/>
        </w:rPr>
        <w:t xml:space="preserve"> </w:t>
      </w:r>
      <w:r w:rsidR="00197D21">
        <w:rPr>
          <w:rFonts w:ascii="Arial" w:hAnsi="Arial" w:cs="Arial"/>
        </w:rPr>
        <w:t>“““</w:t>
      </w:r>
      <w:r w:rsidR="00197D21" w:rsidRPr="00467A17">
        <w:rPr>
          <w:rFonts w:ascii="Arial" w:hAnsi="Arial" w:cs="Arial"/>
          <w:b/>
        </w:rPr>
        <w:t>Requerimiento</w:t>
      </w:r>
      <w:r w:rsidR="00197D21">
        <w:rPr>
          <w:rFonts w:ascii="Arial" w:hAnsi="Arial" w:cs="Arial"/>
          <w:b/>
        </w:rPr>
        <w:t xml:space="preserve"> </w:t>
      </w:r>
      <w:r w:rsidR="00197D21" w:rsidRPr="00467A17">
        <w:rPr>
          <w:rFonts w:ascii="Arial" w:hAnsi="Arial" w:cs="Arial"/>
          <w:b/>
        </w:rPr>
        <w:t>1.</w:t>
      </w:r>
      <w:r w:rsidR="00197D21">
        <w:rPr>
          <w:rFonts w:ascii="Arial" w:hAnsi="Arial" w:cs="Arial"/>
          <w:b/>
        </w:rPr>
        <w:t xml:space="preserve"> </w:t>
      </w:r>
      <w:r w:rsidR="00197D21" w:rsidRPr="006B12A0">
        <w:rPr>
          <w:rFonts w:ascii="Arial" w:hAnsi="Arial" w:cs="Arial"/>
        </w:rPr>
        <w:t>Copia de factura del pago de servicio del contrato No. 51/2019</w:t>
      </w:r>
      <w:r w:rsidR="00197D21">
        <w:rPr>
          <w:rFonts w:ascii="Arial" w:hAnsi="Arial" w:cs="Arial"/>
        </w:rPr>
        <w:t xml:space="preserve">; </w:t>
      </w:r>
      <w:r w:rsidR="00197D21">
        <w:rPr>
          <w:rFonts w:ascii="Arial" w:hAnsi="Arial" w:cs="Arial"/>
          <w:b/>
        </w:rPr>
        <w:t>Requerimiento 2</w:t>
      </w:r>
      <w:r w:rsidR="00197D21" w:rsidRPr="00467A17">
        <w:rPr>
          <w:rFonts w:ascii="Arial" w:hAnsi="Arial" w:cs="Arial"/>
          <w:b/>
        </w:rPr>
        <w:t>.</w:t>
      </w:r>
      <w:r w:rsidR="00197D21">
        <w:rPr>
          <w:rFonts w:ascii="Arial" w:hAnsi="Arial" w:cs="Arial"/>
          <w:b/>
        </w:rPr>
        <w:t xml:space="preserve"> </w:t>
      </w:r>
      <w:r w:rsidR="00197D21">
        <w:rPr>
          <w:rFonts w:ascii="Arial" w:hAnsi="Arial" w:cs="Arial"/>
        </w:rPr>
        <w:t xml:space="preserve"> Copia de factura del pago de servicios del contrato No. 38/2020; </w:t>
      </w:r>
      <w:r w:rsidR="00197D21" w:rsidRPr="006B12A0">
        <w:rPr>
          <w:rFonts w:ascii="Arial" w:hAnsi="Arial" w:cs="Arial"/>
          <w:b/>
        </w:rPr>
        <w:t>Requerimiento 3.</w:t>
      </w:r>
      <w:r w:rsidR="00197D21">
        <w:rPr>
          <w:rFonts w:ascii="Arial" w:hAnsi="Arial" w:cs="Arial"/>
        </w:rPr>
        <w:t xml:space="preserve"> Copia del Informe de UACI sobre selección de </w:t>
      </w:r>
      <w:proofErr w:type="spellStart"/>
      <w:r w:rsidR="00197D21">
        <w:rPr>
          <w:rFonts w:ascii="Arial" w:hAnsi="Arial" w:cs="Arial"/>
        </w:rPr>
        <w:t>suministrantes</w:t>
      </w:r>
      <w:proofErr w:type="spellEnd"/>
      <w:r w:rsidR="00197D21">
        <w:rPr>
          <w:rFonts w:ascii="Arial" w:hAnsi="Arial" w:cs="Arial"/>
        </w:rPr>
        <w:t xml:space="preserve"> para el servicio de “Servicios de Administración de Social Media”; y </w:t>
      </w:r>
      <w:r w:rsidR="00197D21">
        <w:rPr>
          <w:rFonts w:ascii="Arial" w:hAnsi="Arial" w:cs="Arial"/>
          <w:b/>
        </w:rPr>
        <w:t>Requerimiento 4</w:t>
      </w:r>
      <w:r w:rsidR="00197D21" w:rsidRPr="00467A17">
        <w:rPr>
          <w:rFonts w:ascii="Arial" w:hAnsi="Arial" w:cs="Arial"/>
          <w:b/>
        </w:rPr>
        <w:t>.</w:t>
      </w:r>
      <w:r w:rsidR="00197D21">
        <w:rPr>
          <w:rFonts w:ascii="Arial" w:hAnsi="Arial" w:cs="Arial"/>
          <w:b/>
        </w:rPr>
        <w:t xml:space="preserve"> </w:t>
      </w:r>
      <w:r w:rsidR="00197D21">
        <w:rPr>
          <w:rFonts w:ascii="Arial" w:hAnsi="Arial" w:cs="Arial"/>
        </w:rPr>
        <w:t>Informe final de la empresa Atenciones Integrales E.S S.A de C.V, sobre el servicio de “Servicios de producción audiovisual y diseño gráfico de Lotería Nacional de Beneficencia”.”””</w:t>
      </w:r>
    </w:p>
    <w:p w:rsidR="00373F8D" w:rsidRDefault="00BB3FD5" w:rsidP="00875FAD">
      <w:pPr>
        <w:widowControl w:val="0"/>
        <w:tabs>
          <w:tab w:val="left" w:pos="1920"/>
          <w:tab w:val="left" w:pos="6340"/>
          <w:tab w:val="left" w:pos="6920"/>
        </w:tabs>
        <w:autoSpaceDE w:val="0"/>
        <w:autoSpaceDN w:val="0"/>
        <w:adjustRightInd w:val="0"/>
        <w:spacing w:after="0" w:line="240" w:lineRule="auto"/>
        <w:ind w:right="-93"/>
        <w:jc w:val="both"/>
        <w:rPr>
          <w:rFonts w:ascii="Arial" w:hAnsi="Arial" w:cs="Arial"/>
          <w:sz w:val="24"/>
          <w:szCs w:val="24"/>
        </w:rPr>
      </w:pPr>
      <w:r w:rsidRPr="00F634EF">
        <w:rPr>
          <w:rFonts w:ascii="Arial" w:hAnsi="Arial" w:cs="Arial"/>
          <w:sz w:val="24"/>
          <w:szCs w:val="24"/>
        </w:rPr>
        <w:t>.</w:t>
      </w:r>
      <w:r w:rsidR="00936044">
        <w:rPr>
          <w:rFonts w:ascii="Arial" w:hAnsi="Arial" w:cs="Arial"/>
          <w:sz w:val="24"/>
          <w:szCs w:val="24"/>
        </w:rPr>
        <w:t xml:space="preserve"> </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822656" w:rsidRDefault="006D5010"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822656">
        <w:rPr>
          <w:rFonts w:ascii="Arial" w:hAnsi="Arial" w:cs="Arial"/>
          <w:sz w:val="24"/>
          <w:szCs w:val="24"/>
        </w:rPr>
        <w:t>Que de conformidad a los literales c), d), i) y j) del Art. 50 de la LAIP, es responsabilidad del Oficial de Información, realizar los trámites internos a fin de ubicar la información del solicitante, por lo que habiéndose admitido l</w:t>
      </w:r>
      <w:r w:rsidR="00774C6F">
        <w:rPr>
          <w:rFonts w:ascii="Arial" w:hAnsi="Arial" w:cs="Arial"/>
          <w:sz w:val="24"/>
          <w:szCs w:val="24"/>
        </w:rPr>
        <w:t>a</w:t>
      </w:r>
      <w:r w:rsidRPr="00822656">
        <w:rPr>
          <w:rFonts w:ascii="Arial" w:hAnsi="Arial" w:cs="Arial"/>
          <w:sz w:val="24"/>
          <w:szCs w:val="24"/>
        </w:rPr>
        <w:t xml:space="preserve"> solicitud, se gestionó con la </w:t>
      </w:r>
      <w:r w:rsidR="0051463E">
        <w:rPr>
          <w:rFonts w:ascii="Arial" w:hAnsi="Arial" w:cs="Arial"/>
          <w:sz w:val="24"/>
          <w:szCs w:val="24"/>
        </w:rPr>
        <w:t>unidad a</w:t>
      </w:r>
      <w:r w:rsidRPr="00822656">
        <w:rPr>
          <w:rFonts w:ascii="Arial" w:hAnsi="Arial" w:cs="Arial"/>
          <w:sz w:val="24"/>
          <w:szCs w:val="24"/>
        </w:rPr>
        <w:t xml:space="preserve">dministrativa correspondientes de la LNB, </w:t>
      </w:r>
      <w:r w:rsidR="006E3CEB" w:rsidRPr="00822656">
        <w:rPr>
          <w:rFonts w:ascii="Arial" w:hAnsi="Arial" w:cs="Arial"/>
          <w:sz w:val="24"/>
          <w:szCs w:val="24"/>
        </w:rPr>
        <w:t xml:space="preserve">que para el caso corresponde </w:t>
      </w:r>
      <w:r w:rsidR="00774C6F">
        <w:rPr>
          <w:rFonts w:ascii="Arial" w:hAnsi="Arial" w:cs="Arial"/>
          <w:sz w:val="24"/>
          <w:szCs w:val="24"/>
        </w:rPr>
        <w:t>a</w:t>
      </w:r>
      <w:r w:rsidR="00197D21">
        <w:rPr>
          <w:rFonts w:ascii="Arial" w:hAnsi="Arial" w:cs="Arial"/>
          <w:sz w:val="24"/>
          <w:szCs w:val="24"/>
        </w:rPr>
        <w:t xml:space="preserve"> </w:t>
      </w:r>
      <w:r w:rsidR="00774C6F">
        <w:rPr>
          <w:rFonts w:ascii="Arial" w:hAnsi="Arial" w:cs="Arial"/>
          <w:sz w:val="24"/>
          <w:szCs w:val="24"/>
        </w:rPr>
        <w:t>l</w:t>
      </w:r>
      <w:r w:rsidR="00197D21">
        <w:rPr>
          <w:rFonts w:ascii="Arial" w:hAnsi="Arial" w:cs="Arial"/>
          <w:sz w:val="24"/>
          <w:szCs w:val="24"/>
        </w:rPr>
        <w:t>a</w:t>
      </w:r>
      <w:r w:rsidR="00774C6F">
        <w:rPr>
          <w:rFonts w:ascii="Arial" w:hAnsi="Arial" w:cs="Arial"/>
          <w:sz w:val="24"/>
          <w:szCs w:val="24"/>
        </w:rPr>
        <w:t xml:space="preserve"> </w:t>
      </w:r>
      <w:r w:rsidR="00197D21">
        <w:rPr>
          <w:rFonts w:ascii="Arial" w:hAnsi="Arial" w:cs="Arial"/>
          <w:sz w:val="24"/>
          <w:szCs w:val="24"/>
        </w:rPr>
        <w:t>Unidad Adquisiciones y Contrataciones</w:t>
      </w:r>
      <w:r w:rsidR="006E3CEB" w:rsidRPr="00822656">
        <w:rPr>
          <w:rFonts w:ascii="Arial" w:hAnsi="Arial" w:cs="Arial"/>
          <w:sz w:val="24"/>
          <w:szCs w:val="24"/>
        </w:rPr>
        <w:t xml:space="preserve"> de la LNB</w:t>
      </w:r>
      <w:r w:rsidR="00197D21">
        <w:rPr>
          <w:rFonts w:ascii="Arial" w:hAnsi="Arial" w:cs="Arial"/>
          <w:sz w:val="24"/>
          <w:szCs w:val="24"/>
        </w:rPr>
        <w:t xml:space="preserve"> (UACI)</w:t>
      </w:r>
      <w:r w:rsidR="006E3CEB" w:rsidRPr="00822656">
        <w:rPr>
          <w:rFonts w:ascii="Arial" w:hAnsi="Arial" w:cs="Arial"/>
          <w:sz w:val="24"/>
          <w:szCs w:val="24"/>
        </w:rPr>
        <w:t xml:space="preserve">, </w:t>
      </w:r>
      <w:r w:rsidRPr="00822656">
        <w:rPr>
          <w:rFonts w:ascii="Arial" w:hAnsi="Arial" w:cs="Arial"/>
          <w:sz w:val="24"/>
          <w:szCs w:val="24"/>
        </w:rPr>
        <w:t>a través del Memorándum con referencia UAIP.ME.0</w:t>
      </w:r>
      <w:r w:rsidR="00197D21">
        <w:rPr>
          <w:rFonts w:ascii="Arial" w:hAnsi="Arial" w:cs="Arial"/>
          <w:sz w:val="24"/>
          <w:szCs w:val="24"/>
        </w:rPr>
        <w:t>25</w:t>
      </w:r>
      <w:r w:rsidRPr="00822656">
        <w:rPr>
          <w:rFonts w:ascii="Arial" w:hAnsi="Arial" w:cs="Arial"/>
          <w:sz w:val="24"/>
          <w:szCs w:val="24"/>
        </w:rPr>
        <w:t>/20</w:t>
      </w:r>
      <w:r w:rsidR="00197D21">
        <w:rPr>
          <w:rFonts w:ascii="Arial" w:hAnsi="Arial" w:cs="Arial"/>
          <w:sz w:val="24"/>
          <w:szCs w:val="24"/>
        </w:rPr>
        <w:t>20</w:t>
      </w:r>
      <w:r w:rsidRPr="00822656">
        <w:rPr>
          <w:rFonts w:ascii="Arial" w:hAnsi="Arial" w:cs="Arial"/>
          <w:sz w:val="24"/>
          <w:szCs w:val="24"/>
        </w:rPr>
        <w:t xml:space="preserve">, de fecha </w:t>
      </w:r>
      <w:r w:rsidR="00197D21">
        <w:rPr>
          <w:rFonts w:ascii="Arial" w:hAnsi="Arial" w:cs="Arial"/>
          <w:sz w:val="24"/>
          <w:szCs w:val="24"/>
        </w:rPr>
        <w:t xml:space="preserve">diez de septiembre </w:t>
      </w:r>
      <w:r w:rsidRPr="00822656">
        <w:rPr>
          <w:rFonts w:ascii="Arial" w:hAnsi="Arial" w:cs="Arial"/>
          <w:sz w:val="24"/>
          <w:szCs w:val="24"/>
        </w:rPr>
        <w:t xml:space="preserve">de los corrientes, quedando establecida la fecha para la entrega de la documentación solicitada por parte de la unidad administrativa, el día </w:t>
      </w:r>
      <w:r w:rsidR="002E35CF" w:rsidRPr="00822656">
        <w:rPr>
          <w:rFonts w:ascii="Arial" w:hAnsi="Arial" w:cs="Arial"/>
          <w:sz w:val="24"/>
          <w:szCs w:val="24"/>
        </w:rPr>
        <w:t>dieciocho</w:t>
      </w:r>
      <w:r w:rsidR="00AF2095" w:rsidRPr="00822656">
        <w:rPr>
          <w:rFonts w:ascii="Arial" w:hAnsi="Arial" w:cs="Arial"/>
          <w:sz w:val="24"/>
          <w:szCs w:val="24"/>
        </w:rPr>
        <w:t xml:space="preserve"> de </w:t>
      </w:r>
      <w:r w:rsidR="00197D21">
        <w:rPr>
          <w:rFonts w:ascii="Arial" w:hAnsi="Arial" w:cs="Arial"/>
          <w:sz w:val="24"/>
          <w:szCs w:val="24"/>
        </w:rPr>
        <w:t>septiembre</w:t>
      </w:r>
      <w:r w:rsidRPr="00822656">
        <w:rPr>
          <w:rFonts w:ascii="Arial" w:hAnsi="Arial" w:cs="Arial"/>
          <w:sz w:val="24"/>
          <w:szCs w:val="24"/>
        </w:rPr>
        <w:t xml:space="preserve"> de 20</w:t>
      </w:r>
      <w:r w:rsidR="00197D21">
        <w:rPr>
          <w:rFonts w:ascii="Arial" w:hAnsi="Arial" w:cs="Arial"/>
          <w:sz w:val="24"/>
          <w:szCs w:val="24"/>
        </w:rPr>
        <w:t>20</w:t>
      </w:r>
      <w:r w:rsidRPr="00822656">
        <w:rPr>
          <w:rFonts w:ascii="Arial" w:hAnsi="Arial" w:cs="Arial"/>
          <w:sz w:val="24"/>
          <w:szCs w:val="24"/>
        </w:rPr>
        <w:t>.</w:t>
      </w:r>
    </w:p>
    <w:p w:rsidR="00822656" w:rsidRPr="00822656" w:rsidRDefault="00822656" w:rsidP="00822656">
      <w:pPr>
        <w:pStyle w:val="Prrafodelista"/>
        <w:rPr>
          <w:rFonts w:ascii="Arial" w:hAnsi="Arial" w:cs="Arial"/>
          <w:sz w:val="24"/>
          <w:szCs w:val="24"/>
        </w:rPr>
      </w:pPr>
    </w:p>
    <w:p w:rsidR="009B5E4D" w:rsidRPr="00092467" w:rsidRDefault="006D5010" w:rsidP="00E05098">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092467">
        <w:rPr>
          <w:rFonts w:ascii="Arial" w:hAnsi="Arial" w:cs="Arial"/>
          <w:sz w:val="24"/>
          <w:szCs w:val="24"/>
        </w:rPr>
        <w:lastRenderedPageBreak/>
        <w:t xml:space="preserve">Que a través de Memorándum </w:t>
      </w:r>
      <w:r w:rsidR="00197D21" w:rsidRPr="00092467">
        <w:rPr>
          <w:rFonts w:ascii="Arial" w:hAnsi="Arial" w:cs="Arial"/>
          <w:sz w:val="24"/>
          <w:szCs w:val="24"/>
        </w:rPr>
        <w:t>UACI-</w:t>
      </w:r>
      <w:r w:rsidR="00774C6F" w:rsidRPr="00092467">
        <w:rPr>
          <w:rFonts w:ascii="Arial" w:hAnsi="Arial" w:cs="Arial"/>
          <w:sz w:val="24"/>
          <w:szCs w:val="24"/>
        </w:rPr>
        <w:t>ME</w:t>
      </w:r>
      <w:r w:rsidR="00197D21" w:rsidRPr="00092467">
        <w:rPr>
          <w:rFonts w:ascii="Arial" w:hAnsi="Arial" w:cs="Arial"/>
          <w:sz w:val="24"/>
          <w:szCs w:val="24"/>
        </w:rPr>
        <w:t>-259</w:t>
      </w:r>
      <w:r w:rsidR="009B5E4D" w:rsidRPr="00092467">
        <w:rPr>
          <w:rFonts w:ascii="Arial" w:hAnsi="Arial" w:cs="Arial"/>
          <w:sz w:val="24"/>
          <w:szCs w:val="24"/>
        </w:rPr>
        <w:t>/20</w:t>
      </w:r>
      <w:r w:rsidR="00197D21" w:rsidRPr="00092467">
        <w:rPr>
          <w:rFonts w:ascii="Arial" w:hAnsi="Arial" w:cs="Arial"/>
          <w:sz w:val="24"/>
          <w:szCs w:val="24"/>
        </w:rPr>
        <w:t>20</w:t>
      </w:r>
      <w:r w:rsidR="009B5E4D" w:rsidRPr="00092467">
        <w:rPr>
          <w:rFonts w:ascii="Arial" w:hAnsi="Arial" w:cs="Arial"/>
          <w:sz w:val="24"/>
          <w:szCs w:val="24"/>
        </w:rPr>
        <w:t xml:space="preserve"> de fecha </w:t>
      </w:r>
      <w:r w:rsidR="00197D21" w:rsidRPr="00092467">
        <w:rPr>
          <w:rFonts w:ascii="Arial" w:hAnsi="Arial" w:cs="Arial"/>
          <w:sz w:val="24"/>
          <w:szCs w:val="24"/>
        </w:rPr>
        <w:t>catorce</w:t>
      </w:r>
      <w:r w:rsidR="009B5E4D" w:rsidRPr="00092467">
        <w:rPr>
          <w:rFonts w:ascii="Arial" w:hAnsi="Arial" w:cs="Arial"/>
          <w:sz w:val="24"/>
          <w:szCs w:val="24"/>
        </w:rPr>
        <w:t xml:space="preserve"> de </w:t>
      </w:r>
      <w:r w:rsidR="00197D21" w:rsidRPr="00092467">
        <w:rPr>
          <w:rFonts w:ascii="Arial" w:hAnsi="Arial" w:cs="Arial"/>
          <w:sz w:val="24"/>
          <w:szCs w:val="24"/>
        </w:rPr>
        <w:t>septiembre</w:t>
      </w:r>
      <w:r w:rsidR="009B5E4D" w:rsidRPr="00092467">
        <w:rPr>
          <w:rFonts w:ascii="Arial" w:hAnsi="Arial" w:cs="Arial"/>
          <w:sz w:val="24"/>
          <w:szCs w:val="24"/>
        </w:rPr>
        <w:t xml:space="preserve"> de 20</w:t>
      </w:r>
      <w:r w:rsidR="00197D21" w:rsidRPr="00092467">
        <w:rPr>
          <w:rFonts w:ascii="Arial" w:hAnsi="Arial" w:cs="Arial"/>
          <w:sz w:val="24"/>
          <w:szCs w:val="24"/>
        </w:rPr>
        <w:t>20</w:t>
      </w:r>
      <w:r w:rsidR="009B5E4D" w:rsidRPr="00092467">
        <w:rPr>
          <w:rFonts w:ascii="Arial" w:hAnsi="Arial" w:cs="Arial"/>
          <w:sz w:val="24"/>
          <w:szCs w:val="24"/>
        </w:rPr>
        <w:t xml:space="preserve">, </w:t>
      </w:r>
      <w:r w:rsidR="00327EC6" w:rsidRPr="00092467">
        <w:rPr>
          <w:rFonts w:ascii="Arial" w:hAnsi="Arial" w:cs="Arial"/>
          <w:sz w:val="24"/>
          <w:szCs w:val="24"/>
        </w:rPr>
        <w:t xml:space="preserve">la </w:t>
      </w:r>
      <w:r w:rsidR="00AF2095" w:rsidRPr="00092467">
        <w:rPr>
          <w:rFonts w:ascii="Arial" w:hAnsi="Arial" w:cs="Arial"/>
          <w:sz w:val="24"/>
          <w:szCs w:val="24"/>
        </w:rPr>
        <w:t>unidad</w:t>
      </w:r>
      <w:r w:rsidR="00327EC6" w:rsidRPr="00092467">
        <w:rPr>
          <w:rFonts w:ascii="Arial" w:hAnsi="Arial" w:cs="Arial"/>
          <w:sz w:val="24"/>
          <w:szCs w:val="24"/>
        </w:rPr>
        <w:t xml:space="preserve"> administrativa</w:t>
      </w:r>
      <w:r w:rsidR="009B5E4D" w:rsidRPr="00092467">
        <w:rPr>
          <w:rFonts w:ascii="Arial" w:hAnsi="Arial" w:cs="Arial"/>
          <w:sz w:val="24"/>
          <w:szCs w:val="24"/>
        </w:rPr>
        <w:t xml:space="preserve">, </w:t>
      </w:r>
      <w:r w:rsidR="00327EC6" w:rsidRPr="00092467">
        <w:rPr>
          <w:rFonts w:ascii="Arial" w:hAnsi="Arial" w:cs="Arial"/>
          <w:sz w:val="24"/>
          <w:szCs w:val="24"/>
        </w:rPr>
        <w:t xml:space="preserve">remite </w:t>
      </w:r>
      <w:r w:rsidR="00197D21" w:rsidRPr="00092467">
        <w:rPr>
          <w:rFonts w:ascii="Arial" w:hAnsi="Arial" w:cs="Arial"/>
          <w:sz w:val="24"/>
          <w:szCs w:val="24"/>
        </w:rPr>
        <w:t xml:space="preserve">como anexos del memorándum en comento, </w:t>
      </w:r>
      <w:r w:rsidR="00327EC6" w:rsidRPr="00092467">
        <w:rPr>
          <w:rFonts w:ascii="Arial" w:hAnsi="Arial" w:cs="Arial"/>
          <w:sz w:val="24"/>
          <w:szCs w:val="24"/>
        </w:rPr>
        <w:t xml:space="preserve">la información </w:t>
      </w:r>
      <w:r w:rsidR="00BC703E" w:rsidRPr="00092467">
        <w:rPr>
          <w:rFonts w:ascii="Arial" w:hAnsi="Arial" w:cs="Arial"/>
          <w:sz w:val="24"/>
          <w:szCs w:val="24"/>
        </w:rPr>
        <w:t xml:space="preserve">solicitada, </w:t>
      </w:r>
      <w:r w:rsidR="00822656" w:rsidRPr="00092467">
        <w:rPr>
          <w:rFonts w:ascii="Arial" w:hAnsi="Arial" w:cs="Arial"/>
          <w:sz w:val="24"/>
          <w:szCs w:val="24"/>
        </w:rPr>
        <w:t>e</w:t>
      </w:r>
      <w:r w:rsidR="002E35CF" w:rsidRPr="00092467">
        <w:rPr>
          <w:rFonts w:ascii="Arial" w:hAnsi="Arial" w:cs="Arial"/>
          <w:sz w:val="24"/>
          <w:szCs w:val="24"/>
        </w:rPr>
        <w:t>n el sentido sigu</w:t>
      </w:r>
      <w:r w:rsidR="00B3085C" w:rsidRPr="00092467">
        <w:rPr>
          <w:rFonts w:ascii="Arial" w:hAnsi="Arial" w:cs="Arial"/>
          <w:sz w:val="24"/>
          <w:szCs w:val="24"/>
        </w:rPr>
        <w:t>i</w:t>
      </w:r>
      <w:r w:rsidR="002E35CF" w:rsidRPr="00092467">
        <w:rPr>
          <w:rFonts w:ascii="Arial" w:hAnsi="Arial" w:cs="Arial"/>
          <w:sz w:val="24"/>
          <w:szCs w:val="24"/>
        </w:rPr>
        <w:t xml:space="preserve">ente: </w:t>
      </w:r>
      <w:r w:rsidR="00B3085C" w:rsidRPr="00092467">
        <w:rPr>
          <w:rFonts w:ascii="Arial" w:hAnsi="Arial" w:cs="Arial"/>
          <w:b/>
          <w:sz w:val="24"/>
          <w:szCs w:val="24"/>
        </w:rPr>
        <w:t>Requerimiento 1:</w:t>
      </w:r>
      <w:r w:rsidR="00197D21" w:rsidRPr="00092467">
        <w:rPr>
          <w:rFonts w:ascii="Arial" w:hAnsi="Arial" w:cs="Arial"/>
          <w:sz w:val="24"/>
          <w:szCs w:val="24"/>
        </w:rPr>
        <w:t xml:space="preserve"> Copia de factura del pago de servicios del contrato No. 51/2019, números 0035, 0036 y 0037, correspondiente a los meses de noviembre y diciembre del dos mil diecinueve, agregadas a folios 165, 168 y 169 del expediente administrativo del proceso relacionado; </w:t>
      </w:r>
      <w:r w:rsidR="00197D21" w:rsidRPr="00092467">
        <w:rPr>
          <w:rFonts w:ascii="Arial" w:hAnsi="Arial" w:cs="Arial"/>
          <w:b/>
          <w:sz w:val="24"/>
          <w:szCs w:val="24"/>
        </w:rPr>
        <w:t>r</w:t>
      </w:r>
      <w:r w:rsidR="00B3085C" w:rsidRPr="00092467">
        <w:rPr>
          <w:rFonts w:ascii="Arial" w:hAnsi="Arial" w:cs="Arial"/>
          <w:b/>
          <w:sz w:val="24"/>
          <w:szCs w:val="24"/>
        </w:rPr>
        <w:t>equerimiento 2:</w:t>
      </w:r>
      <w:r w:rsidR="00197D21" w:rsidRPr="00092467">
        <w:rPr>
          <w:rFonts w:ascii="Arial" w:hAnsi="Arial" w:cs="Arial"/>
          <w:b/>
          <w:sz w:val="24"/>
          <w:szCs w:val="24"/>
        </w:rPr>
        <w:t xml:space="preserve"> </w:t>
      </w:r>
      <w:r w:rsidR="00197D21" w:rsidRPr="00092467">
        <w:rPr>
          <w:rFonts w:ascii="Arial" w:hAnsi="Arial" w:cs="Arial"/>
          <w:sz w:val="24"/>
          <w:szCs w:val="24"/>
        </w:rPr>
        <w:t xml:space="preserve">Copia de factura del pago de </w:t>
      </w:r>
      <w:r w:rsidR="00092467" w:rsidRPr="00092467">
        <w:rPr>
          <w:rFonts w:ascii="Arial" w:hAnsi="Arial" w:cs="Arial"/>
          <w:sz w:val="24"/>
          <w:szCs w:val="24"/>
        </w:rPr>
        <w:t>servicios</w:t>
      </w:r>
      <w:r w:rsidR="00197D21" w:rsidRPr="00092467">
        <w:rPr>
          <w:rFonts w:ascii="Arial" w:hAnsi="Arial" w:cs="Arial"/>
          <w:sz w:val="24"/>
          <w:szCs w:val="24"/>
        </w:rPr>
        <w:t xml:space="preserve"> del contrato No. 38/2020</w:t>
      </w:r>
      <w:r w:rsidR="00092467" w:rsidRPr="00092467">
        <w:rPr>
          <w:rFonts w:ascii="Arial" w:hAnsi="Arial" w:cs="Arial"/>
          <w:sz w:val="24"/>
          <w:szCs w:val="24"/>
        </w:rPr>
        <w:t xml:space="preserve">, número 0068, correspondiente al mes de junio del año en curso, agregada al expediente administrativo del proceso antes citado; </w:t>
      </w:r>
      <w:r w:rsidR="00092467" w:rsidRPr="00092467">
        <w:rPr>
          <w:rFonts w:ascii="Arial" w:hAnsi="Arial" w:cs="Arial"/>
          <w:b/>
          <w:sz w:val="24"/>
          <w:szCs w:val="24"/>
        </w:rPr>
        <w:t xml:space="preserve">requerimiento 3: </w:t>
      </w:r>
      <w:r w:rsidR="00092467" w:rsidRPr="00092467">
        <w:rPr>
          <w:rFonts w:ascii="Arial" w:hAnsi="Arial" w:cs="Arial"/>
          <w:sz w:val="24"/>
          <w:szCs w:val="24"/>
        </w:rPr>
        <w:t xml:space="preserve">Copia del informe UACI sobre selección de </w:t>
      </w:r>
      <w:proofErr w:type="spellStart"/>
      <w:r w:rsidR="00092467" w:rsidRPr="00092467">
        <w:rPr>
          <w:rFonts w:ascii="Arial" w:hAnsi="Arial" w:cs="Arial"/>
          <w:sz w:val="24"/>
          <w:szCs w:val="24"/>
        </w:rPr>
        <w:t>suministrante</w:t>
      </w:r>
      <w:proofErr w:type="spellEnd"/>
      <w:r w:rsidR="00092467" w:rsidRPr="00092467">
        <w:rPr>
          <w:rFonts w:ascii="Arial" w:hAnsi="Arial" w:cs="Arial"/>
          <w:sz w:val="24"/>
          <w:szCs w:val="24"/>
        </w:rPr>
        <w:t xml:space="preserve"> para el “Servicios de Administración de Social Media”, que contiene cuadro de evaluación del proceso de libre gestión No. 09/2020, el cual se encuentra agregado al expediente administrativo.; y </w:t>
      </w:r>
      <w:r w:rsidR="00092467" w:rsidRPr="00092467">
        <w:rPr>
          <w:rFonts w:ascii="Arial" w:hAnsi="Arial" w:cs="Arial"/>
          <w:b/>
          <w:sz w:val="24"/>
          <w:szCs w:val="24"/>
        </w:rPr>
        <w:t xml:space="preserve">requerimiento 4: </w:t>
      </w:r>
      <w:r w:rsidR="00092467" w:rsidRPr="00092467">
        <w:rPr>
          <w:rFonts w:ascii="Arial" w:hAnsi="Arial" w:cs="Arial"/>
          <w:sz w:val="24"/>
          <w:szCs w:val="24"/>
        </w:rPr>
        <w:t xml:space="preserve">Copia del informe final del contrato No. 51/2019 “Servicios de Producción Audiovisual y Diseño Gráfico para la Lotería Nacional de Beneficencia” producto del proceso de libre gestión No. 130/2019, que consta en el folio 173 del expediente administrativo, donde se hace constar la finalización satisfactoria de dicho contrato. </w:t>
      </w:r>
      <w:r w:rsidR="001E52D7" w:rsidRPr="00092467">
        <w:rPr>
          <w:rFonts w:ascii="Arial" w:hAnsi="Arial" w:cs="Arial"/>
          <w:sz w:val="24"/>
          <w:szCs w:val="24"/>
        </w:rPr>
        <w:t>Documentos los cuales se entregan al solicitante como</w:t>
      </w:r>
      <w:r w:rsidR="00AF2095" w:rsidRPr="00092467">
        <w:rPr>
          <w:rFonts w:ascii="Arial" w:hAnsi="Arial" w:cs="Arial"/>
          <w:sz w:val="24"/>
          <w:szCs w:val="24"/>
        </w:rPr>
        <w:t xml:space="preserve"> anexo</w:t>
      </w:r>
      <w:r w:rsidR="001E52D7" w:rsidRPr="00092467">
        <w:rPr>
          <w:rFonts w:ascii="Arial" w:hAnsi="Arial" w:cs="Arial"/>
          <w:sz w:val="24"/>
          <w:szCs w:val="24"/>
        </w:rPr>
        <w:t>s</w:t>
      </w:r>
      <w:r w:rsidR="00AF2095" w:rsidRPr="00092467">
        <w:rPr>
          <w:rFonts w:ascii="Arial" w:hAnsi="Arial" w:cs="Arial"/>
          <w:sz w:val="24"/>
          <w:szCs w:val="24"/>
        </w:rPr>
        <w:t xml:space="preserve"> </w:t>
      </w:r>
      <w:r w:rsidR="001E52D7" w:rsidRPr="00092467">
        <w:rPr>
          <w:rFonts w:ascii="Arial" w:hAnsi="Arial" w:cs="Arial"/>
          <w:sz w:val="24"/>
          <w:szCs w:val="24"/>
        </w:rPr>
        <w:t>de</w:t>
      </w:r>
      <w:r w:rsidR="00AF2095" w:rsidRPr="00092467">
        <w:rPr>
          <w:rFonts w:ascii="Arial" w:hAnsi="Arial" w:cs="Arial"/>
          <w:sz w:val="24"/>
          <w:szCs w:val="24"/>
        </w:rPr>
        <w:t xml:space="preserve"> la</w:t>
      </w:r>
      <w:r w:rsidR="0051463E" w:rsidRPr="00092467">
        <w:rPr>
          <w:rFonts w:ascii="Arial" w:hAnsi="Arial" w:cs="Arial"/>
          <w:sz w:val="24"/>
          <w:szCs w:val="24"/>
        </w:rPr>
        <w:t xml:space="preserve"> presente resolución, de conformidad a lo regulado en el Art. 62 inciso 2º LAIP, en relación a que estos constituyen la totalidad de lo solicitado y se entregan en la forma en la cual dichos documentos fueron requeridos.</w:t>
      </w:r>
    </w:p>
    <w:p w:rsidR="00151DDE" w:rsidRDefault="00151DDE" w:rsidP="00875FAD">
      <w:pPr>
        <w:spacing w:after="0" w:line="240" w:lineRule="auto"/>
        <w:ind w:right="-234"/>
        <w:jc w:val="both"/>
        <w:rPr>
          <w:rFonts w:ascii="Arial" w:hAnsi="Arial" w:cs="Arial"/>
          <w:sz w:val="24"/>
          <w:szCs w:val="24"/>
          <w:lang w:eastAsia="en-US"/>
        </w:rPr>
      </w:pPr>
    </w:p>
    <w:p w:rsidR="00327EC6" w:rsidRDefault="00327EC6" w:rsidP="00875FAD">
      <w:pPr>
        <w:spacing w:after="0" w:line="240" w:lineRule="auto"/>
        <w:ind w:right="-234"/>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F33952">
        <w:rPr>
          <w:rFonts w:ascii="Arial" w:hAnsi="Arial" w:cs="Arial"/>
          <w:b/>
        </w:rPr>
        <w:t>//////////////////////////////</w:t>
      </w:r>
      <w:r w:rsidRPr="00BC703E">
        <w:rPr>
          <w:rFonts w:ascii="Arial" w:hAnsi="Arial" w:cs="Arial"/>
          <w:sz w:val="24"/>
          <w:szCs w:val="24"/>
        </w:rPr>
        <w:t xml:space="preserve">, en cumplimiento con lo regulado en los artículos 2, 3 literal “a”, 62, 66, 71 y 72 de la Ley de Acceso a la Información Pública y art. 56, 57 y 58 del Reglamento de la Ley de Acceso a la </w:t>
      </w:r>
      <w:r w:rsidR="00F33952" w:rsidRPr="00BC703E">
        <w:rPr>
          <w:rFonts w:ascii="Arial" w:hAnsi="Arial" w:cs="Arial"/>
          <w:sz w:val="24"/>
          <w:szCs w:val="24"/>
        </w:rPr>
        <w:t>Información Pública</w:t>
      </w:r>
      <w:r w:rsidRPr="00BC703E">
        <w:rPr>
          <w:rFonts w:ascii="Arial" w:hAnsi="Arial" w:cs="Arial"/>
          <w:sz w:val="24"/>
          <w:szCs w:val="24"/>
        </w:rPr>
        <w:t>, se</w:t>
      </w:r>
      <w:r w:rsidRPr="00BC703E">
        <w:rPr>
          <w:rFonts w:ascii="Arial" w:hAnsi="Arial" w:cs="Arial"/>
          <w:b/>
          <w:sz w:val="24"/>
          <w:szCs w:val="24"/>
        </w:rPr>
        <w:t xml:space="preserve"> RESUELVE:</w:t>
      </w:r>
    </w:p>
    <w:p w:rsidR="00E804DF" w:rsidRPr="00BC703E" w:rsidRDefault="00E804DF" w:rsidP="00875FAD">
      <w:pPr>
        <w:spacing w:after="0" w:line="240" w:lineRule="auto"/>
        <w:ind w:right="-234"/>
        <w:jc w:val="both"/>
        <w:rPr>
          <w:rFonts w:ascii="Arial" w:hAnsi="Arial" w:cs="Arial"/>
          <w:b/>
          <w:sz w:val="24"/>
          <w:szCs w:val="24"/>
        </w:rPr>
      </w:pPr>
    </w:p>
    <w:p w:rsidR="00E22BCC" w:rsidRDefault="00E22BCC" w:rsidP="00875FAD">
      <w:pPr>
        <w:pStyle w:val="Prrafodelista"/>
        <w:numPr>
          <w:ilvl w:val="0"/>
          <w:numId w:val="21"/>
        </w:numPr>
        <w:spacing w:after="0" w:line="240" w:lineRule="auto"/>
        <w:ind w:right="-234"/>
        <w:jc w:val="both"/>
        <w:rPr>
          <w:rFonts w:ascii="Arial" w:hAnsi="Arial" w:cs="Arial"/>
          <w:sz w:val="24"/>
          <w:szCs w:val="24"/>
        </w:rPr>
      </w:pPr>
      <w:r w:rsidRPr="00BC703E">
        <w:rPr>
          <w:rFonts w:ascii="Arial" w:hAnsi="Arial" w:cs="Arial"/>
          <w:b/>
          <w:sz w:val="24"/>
          <w:szCs w:val="24"/>
        </w:rPr>
        <w:t xml:space="preserve">CONCEDASE, </w:t>
      </w:r>
      <w:r w:rsidRPr="00BC703E">
        <w:rPr>
          <w:rFonts w:ascii="Arial" w:hAnsi="Arial" w:cs="Arial"/>
          <w:sz w:val="24"/>
          <w:szCs w:val="24"/>
        </w:rPr>
        <w:t xml:space="preserve">el acceso a la información </w:t>
      </w:r>
      <w:r w:rsidR="00F33952" w:rsidRPr="00BC703E">
        <w:rPr>
          <w:rFonts w:ascii="Arial" w:hAnsi="Arial" w:cs="Arial"/>
          <w:sz w:val="24"/>
          <w:szCs w:val="24"/>
        </w:rPr>
        <w:t xml:space="preserve">pública </w:t>
      </w:r>
      <w:bookmarkStart w:id="0" w:name="_GoBack"/>
      <w:bookmarkEnd w:id="0"/>
      <w:r w:rsidR="00026A5C" w:rsidRPr="00BC703E">
        <w:rPr>
          <w:rFonts w:ascii="Arial" w:hAnsi="Arial" w:cs="Arial"/>
          <w:sz w:val="24"/>
          <w:szCs w:val="24"/>
        </w:rPr>
        <w:t>solicitada por</w:t>
      </w:r>
      <w:r w:rsidR="00BC703E" w:rsidRPr="00BC703E">
        <w:rPr>
          <w:rFonts w:ascii="Arial" w:hAnsi="Arial" w:cs="Arial"/>
        </w:rPr>
        <w:t xml:space="preserve"> </w:t>
      </w:r>
      <w:r w:rsidR="00F33952">
        <w:rPr>
          <w:rFonts w:ascii="Arial" w:hAnsi="Arial" w:cs="Arial"/>
          <w:b/>
        </w:rPr>
        <w:t>//////////////////////////////</w:t>
      </w:r>
      <w:r w:rsidRPr="00BC703E">
        <w:rPr>
          <w:rFonts w:ascii="Arial" w:hAnsi="Arial" w:cs="Arial"/>
          <w:sz w:val="24"/>
          <w:szCs w:val="24"/>
        </w:rPr>
        <w:t xml:space="preserve">en los términos </w:t>
      </w:r>
      <w:r w:rsidR="001E72A8">
        <w:rPr>
          <w:rFonts w:ascii="Arial" w:hAnsi="Arial" w:cs="Arial"/>
          <w:sz w:val="24"/>
          <w:szCs w:val="24"/>
        </w:rPr>
        <w:t xml:space="preserve">señalados en el romano III de esta resolución, </w:t>
      </w:r>
      <w:r w:rsidRPr="00BC703E">
        <w:rPr>
          <w:rFonts w:ascii="Arial" w:hAnsi="Arial" w:cs="Arial"/>
          <w:sz w:val="24"/>
          <w:szCs w:val="24"/>
        </w:rPr>
        <w:t>y</w:t>
      </w:r>
      <w:r w:rsidR="001E72A8">
        <w:rPr>
          <w:rFonts w:ascii="Arial" w:hAnsi="Arial" w:cs="Arial"/>
          <w:sz w:val="24"/>
          <w:szCs w:val="24"/>
        </w:rPr>
        <w:t xml:space="preserve"> </w:t>
      </w:r>
      <w:r w:rsidR="00875FAD">
        <w:rPr>
          <w:rFonts w:ascii="Arial" w:hAnsi="Arial" w:cs="Arial"/>
          <w:sz w:val="24"/>
          <w:szCs w:val="24"/>
        </w:rPr>
        <w:t xml:space="preserve">hágase entrega </w:t>
      </w:r>
      <w:r w:rsidR="0016094A">
        <w:rPr>
          <w:rFonts w:ascii="Arial" w:hAnsi="Arial" w:cs="Arial"/>
          <w:sz w:val="24"/>
          <w:szCs w:val="24"/>
        </w:rPr>
        <w:t>en calidad de anexos</w:t>
      </w:r>
      <w:r w:rsidR="00875FAD">
        <w:rPr>
          <w:rFonts w:ascii="Arial" w:hAnsi="Arial" w:cs="Arial"/>
          <w:sz w:val="24"/>
          <w:szCs w:val="24"/>
        </w:rPr>
        <w:t xml:space="preserve"> de la presente resolución</w:t>
      </w:r>
      <w:r w:rsidR="0016094A">
        <w:rPr>
          <w:rFonts w:ascii="Arial" w:hAnsi="Arial" w:cs="Arial"/>
          <w:sz w:val="24"/>
          <w:szCs w:val="24"/>
        </w:rPr>
        <w:t>,</w:t>
      </w:r>
      <w:r w:rsidR="00875FAD">
        <w:rPr>
          <w:rFonts w:ascii="Arial" w:hAnsi="Arial" w:cs="Arial"/>
          <w:sz w:val="24"/>
          <w:szCs w:val="24"/>
        </w:rPr>
        <w:t xml:space="preserve"> </w:t>
      </w:r>
      <w:r w:rsidR="00092467">
        <w:rPr>
          <w:rFonts w:ascii="Arial" w:hAnsi="Arial" w:cs="Arial"/>
          <w:sz w:val="24"/>
          <w:szCs w:val="24"/>
        </w:rPr>
        <w:t xml:space="preserve">un </w:t>
      </w:r>
      <w:r w:rsidR="00875FAD">
        <w:rPr>
          <w:rFonts w:ascii="Arial" w:hAnsi="Arial" w:cs="Arial"/>
          <w:sz w:val="24"/>
          <w:szCs w:val="24"/>
        </w:rPr>
        <w:t>archivo</w:t>
      </w:r>
      <w:r w:rsidR="00092467">
        <w:rPr>
          <w:rFonts w:ascii="Arial" w:hAnsi="Arial" w:cs="Arial"/>
          <w:sz w:val="24"/>
          <w:szCs w:val="24"/>
        </w:rPr>
        <w:t xml:space="preserve"> en formato PDF, que recopila e identifica debidamente la información solicitada, la cual se compone con un total de </w:t>
      </w:r>
      <w:r w:rsidR="0016094A">
        <w:rPr>
          <w:rFonts w:ascii="Arial" w:hAnsi="Arial" w:cs="Arial"/>
          <w:sz w:val="24"/>
          <w:szCs w:val="24"/>
        </w:rPr>
        <w:t>diez folios</w:t>
      </w:r>
      <w:r w:rsidRPr="00BC703E">
        <w:rPr>
          <w:rFonts w:ascii="Arial" w:hAnsi="Arial" w:cs="Arial"/>
          <w:sz w:val="24"/>
          <w:szCs w:val="24"/>
        </w:rPr>
        <w:t>.</w:t>
      </w:r>
    </w:p>
    <w:p w:rsidR="00822656" w:rsidRDefault="00822656" w:rsidP="00822656">
      <w:pPr>
        <w:pStyle w:val="Prrafodelista"/>
        <w:spacing w:after="0" w:line="240" w:lineRule="auto"/>
        <w:jc w:val="both"/>
        <w:rPr>
          <w:rFonts w:ascii="Arial" w:hAnsi="Arial" w:cs="Arial"/>
          <w:sz w:val="24"/>
          <w:szCs w:val="24"/>
        </w:rPr>
      </w:pPr>
    </w:p>
    <w:p w:rsidR="00092467" w:rsidRPr="009C6F1B" w:rsidRDefault="00092467" w:rsidP="00092467">
      <w:pPr>
        <w:pStyle w:val="Prrafodelista"/>
        <w:numPr>
          <w:ilvl w:val="0"/>
          <w:numId w:val="21"/>
        </w:numPr>
        <w:spacing w:after="0" w:line="240" w:lineRule="auto"/>
        <w:jc w:val="both"/>
        <w:rPr>
          <w:rFonts w:ascii="Arial" w:hAnsi="Arial" w:cs="Arial"/>
          <w:sz w:val="24"/>
          <w:szCs w:val="24"/>
        </w:rPr>
      </w:pPr>
      <w:r w:rsidRPr="009C6F1B">
        <w:rPr>
          <w:rFonts w:ascii="Arial" w:hAnsi="Arial" w:cs="Arial"/>
          <w:sz w:val="24"/>
          <w:szCs w:val="24"/>
        </w:rPr>
        <w:t>Asimismo, se le hace saber a</w:t>
      </w:r>
      <w:r w:rsidRPr="009C6F1B">
        <w:rPr>
          <w:rFonts w:ascii="Arial" w:hAnsi="Arial" w:cs="Arial"/>
          <w:b/>
          <w:sz w:val="24"/>
          <w:szCs w:val="24"/>
        </w:rPr>
        <w:t xml:space="preserve"> </w:t>
      </w:r>
      <w:r w:rsidR="00F33952">
        <w:rPr>
          <w:rFonts w:ascii="Arial" w:hAnsi="Arial" w:cs="Arial"/>
          <w:b/>
        </w:rPr>
        <w:t>//////////////////////////////</w:t>
      </w:r>
      <w:r w:rsidRPr="009C6F1B">
        <w:rPr>
          <w:rFonts w:ascii="Arial" w:hAnsi="Arial" w:cs="Arial"/>
          <w:b/>
          <w:sz w:val="24"/>
          <w:szCs w:val="24"/>
        </w:rPr>
        <w:t xml:space="preserve">, </w:t>
      </w:r>
      <w:r w:rsidRPr="009C6F1B">
        <w:rPr>
          <w:rFonts w:ascii="Arial" w:hAnsi="Arial" w:cs="Arial"/>
          <w:sz w:val="24"/>
          <w:szCs w:val="24"/>
        </w:rPr>
        <w:t>que en cumplimiento a lo dispuesto en el Art 104 de la Ley de Procedimientos Administrativos, en caso de no estar conforme con las razones y fundamentos expuestos por el Oficial de Información, tal como lo exige el Art 65 LAIP, o considere que la presente incurre en cualquiera de las causales anunciadas en el Art.83 LAIP, tiene derecho ejercer las acciones que correspondan de conformidad a la LAIP y su Reglamento.</w:t>
      </w:r>
    </w:p>
    <w:p w:rsidR="001438D4" w:rsidRPr="001438D4" w:rsidRDefault="001438D4" w:rsidP="00092467">
      <w:pPr>
        <w:pStyle w:val="Prrafodelista"/>
        <w:autoSpaceDE w:val="0"/>
        <w:autoSpaceDN w:val="0"/>
        <w:adjustRightInd w:val="0"/>
        <w:spacing w:after="0" w:line="240" w:lineRule="auto"/>
        <w:ind w:right="-234"/>
        <w:jc w:val="both"/>
        <w:rPr>
          <w:sz w:val="24"/>
          <w:szCs w:val="24"/>
        </w:rPr>
      </w:pPr>
    </w:p>
    <w:p w:rsidR="00E168A9" w:rsidRDefault="00E168A9" w:rsidP="00E168A9">
      <w:pPr>
        <w:spacing w:after="0" w:line="240" w:lineRule="auto"/>
        <w:jc w:val="both"/>
        <w:rPr>
          <w:rFonts w:ascii="Arial" w:hAnsi="Arial" w:cs="Arial"/>
          <w:b/>
          <w:sz w:val="24"/>
          <w:szCs w:val="24"/>
        </w:rPr>
      </w:pPr>
      <w:r w:rsidRPr="00E168A9">
        <w:rPr>
          <w:rFonts w:ascii="Arial" w:hAnsi="Arial" w:cs="Arial"/>
          <w:b/>
          <w:sz w:val="24"/>
          <w:szCs w:val="24"/>
        </w:rPr>
        <w:t>NOTIFIQUESE.-</w:t>
      </w:r>
    </w:p>
    <w:p w:rsidR="00151DDE" w:rsidRDefault="00151DDE" w:rsidP="00E168A9">
      <w:pPr>
        <w:spacing w:after="0" w:line="240" w:lineRule="auto"/>
        <w:jc w:val="both"/>
        <w:rPr>
          <w:rFonts w:ascii="Arial" w:hAnsi="Arial" w:cs="Arial"/>
          <w:b/>
          <w:sz w:val="24"/>
          <w:szCs w:val="24"/>
        </w:rPr>
      </w:pPr>
    </w:p>
    <w:p w:rsidR="00F33952" w:rsidRPr="005A4730" w:rsidRDefault="00F33952" w:rsidP="00F33952">
      <w:pPr>
        <w:widowControl w:val="0"/>
        <w:autoSpaceDE w:val="0"/>
        <w:autoSpaceDN w:val="0"/>
        <w:adjustRightInd w:val="0"/>
        <w:spacing w:after="0" w:line="240" w:lineRule="auto"/>
        <w:contextualSpacing/>
        <w:jc w:val="both"/>
        <w:rPr>
          <w:rFonts w:ascii="Arial" w:hAnsi="Arial" w:cs="Arial"/>
          <w:b/>
          <w:color w:val="FF0000"/>
          <w:w w:val="102"/>
          <w:sz w:val="24"/>
          <w:szCs w:val="24"/>
        </w:rPr>
      </w:pPr>
      <w:r w:rsidRPr="005A4730">
        <w:rPr>
          <w:rFonts w:ascii="Arial" w:hAnsi="Arial" w:cs="Arial"/>
          <w:b/>
          <w:color w:val="FF0000"/>
          <w:lang w:val="es-ES_tradnl"/>
        </w:rPr>
        <w:t xml:space="preserve">La presente resolución es conforme con su original, la cual se encuentra firmada por </w:t>
      </w:r>
      <w:r w:rsidRPr="005A4730">
        <w:rPr>
          <w:rFonts w:ascii="Arial" w:hAnsi="Arial" w:cs="Arial"/>
          <w:b/>
          <w:color w:val="FF0000"/>
          <w:lang w:val="es-ES_tradnl"/>
        </w:rPr>
        <w:lastRenderedPageBreak/>
        <w:t xml:space="preserve">la Lic. </w:t>
      </w:r>
      <w:r w:rsidRPr="005A4730">
        <w:rPr>
          <w:rFonts w:ascii="Arial" w:hAnsi="Arial" w:cs="Arial"/>
          <w:b/>
          <w:color w:val="FF0000"/>
          <w:spacing w:val="2"/>
          <w:sz w:val="24"/>
          <w:szCs w:val="24"/>
        </w:rPr>
        <w:t>Cesar Rosales Ulloa</w:t>
      </w:r>
      <w:r w:rsidRPr="005A4730">
        <w:rPr>
          <w:rFonts w:ascii="Arial" w:hAnsi="Arial" w:cs="Arial"/>
          <w:b/>
          <w:color w:val="FF0000"/>
          <w:lang w:val="es-ES_tradnl"/>
        </w:rPr>
        <w:t xml:space="preserve">, </w:t>
      </w:r>
      <w:r w:rsidRPr="005A4730">
        <w:rPr>
          <w:rFonts w:ascii="Arial" w:hAnsi="Arial" w:cs="Arial"/>
          <w:b/>
          <w:color w:val="FF0000"/>
          <w:spacing w:val="2"/>
        </w:rPr>
        <w:t>O</w:t>
      </w:r>
      <w:r w:rsidRPr="005A4730">
        <w:rPr>
          <w:rFonts w:ascii="Arial" w:hAnsi="Arial" w:cs="Arial"/>
          <w:b/>
          <w:color w:val="FF0000"/>
          <w:spacing w:val="-3"/>
        </w:rPr>
        <w:t>f</w:t>
      </w:r>
      <w:r w:rsidRPr="005A4730">
        <w:rPr>
          <w:rFonts w:ascii="Arial" w:hAnsi="Arial" w:cs="Arial"/>
          <w:b/>
          <w:color w:val="FF0000"/>
          <w:spacing w:val="3"/>
        </w:rPr>
        <w:t>i</w:t>
      </w:r>
      <w:r w:rsidRPr="005A4730">
        <w:rPr>
          <w:rFonts w:ascii="Arial" w:hAnsi="Arial" w:cs="Arial"/>
          <w:b/>
          <w:color w:val="FF0000"/>
          <w:spacing w:val="-2"/>
        </w:rPr>
        <w:t>c</w:t>
      </w:r>
      <w:r w:rsidRPr="005A4730">
        <w:rPr>
          <w:rFonts w:ascii="Arial" w:hAnsi="Arial" w:cs="Arial"/>
          <w:b/>
          <w:color w:val="FF0000"/>
          <w:spacing w:val="1"/>
        </w:rPr>
        <w:t>i</w:t>
      </w:r>
      <w:r w:rsidRPr="005A4730">
        <w:rPr>
          <w:rFonts w:ascii="Arial" w:hAnsi="Arial" w:cs="Arial"/>
          <w:b/>
          <w:color w:val="FF0000"/>
          <w:spacing w:val="-2"/>
        </w:rPr>
        <w:t>a</w:t>
      </w:r>
      <w:r w:rsidRPr="005A4730">
        <w:rPr>
          <w:rFonts w:ascii="Arial" w:hAnsi="Arial" w:cs="Arial"/>
          <w:b/>
          <w:color w:val="FF0000"/>
        </w:rPr>
        <w:t>l</w:t>
      </w:r>
      <w:r w:rsidRPr="005A4730">
        <w:rPr>
          <w:rFonts w:ascii="Arial" w:hAnsi="Arial" w:cs="Arial"/>
          <w:b/>
          <w:color w:val="FF0000"/>
          <w:spacing w:val="7"/>
        </w:rPr>
        <w:t xml:space="preserve"> </w:t>
      </w:r>
      <w:r w:rsidRPr="005A4730">
        <w:rPr>
          <w:rFonts w:ascii="Arial" w:hAnsi="Arial" w:cs="Arial"/>
          <w:b/>
          <w:color w:val="FF0000"/>
        </w:rPr>
        <w:t>de</w:t>
      </w:r>
      <w:r w:rsidRPr="005A4730">
        <w:rPr>
          <w:rFonts w:ascii="Arial" w:hAnsi="Arial" w:cs="Arial"/>
          <w:b/>
          <w:color w:val="FF0000"/>
          <w:spacing w:val="-2"/>
        </w:rPr>
        <w:t xml:space="preserve"> </w:t>
      </w:r>
      <w:r w:rsidRPr="005A4730">
        <w:rPr>
          <w:rFonts w:ascii="Arial" w:hAnsi="Arial" w:cs="Arial"/>
          <w:b/>
          <w:color w:val="FF0000"/>
          <w:spacing w:val="1"/>
        </w:rPr>
        <w:t>I</w:t>
      </w:r>
      <w:r w:rsidRPr="005A4730">
        <w:rPr>
          <w:rFonts w:ascii="Arial" w:hAnsi="Arial" w:cs="Arial"/>
          <w:b/>
          <w:color w:val="FF0000"/>
        </w:rPr>
        <w:t>n</w:t>
      </w:r>
      <w:r w:rsidRPr="005A4730">
        <w:rPr>
          <w:rFonts w:ascii="Arial" w:hAnsi="Arial" w:cs="Arial"/>
          <w:b/>
          <w:color w:val="FF0000"/>
          <w:spacing w:val="-1"/>
        </w:rPr>
        <w:t>fo</w:t>
      </w:r>
      <w:r w:rsidRPr="005A4730">
        <w:rPr>
          <w:rFonts w:ascii="Arial" w:hAnsi="Arial" w:cs="Arial"/>
          <w:b/>
          <w:color w:val="FF0000"/>
        </w:rPr>
        <w:t>r</w:t>
      </w:r>
      <w:r w:rsidRPr="005A4730">
        <w:rPr>
          <w:rFonts w:ascii="Arial" w:hAnsi="Arial" w:cs="Arial"/>
          <w:b/>
          <w:color w:val="FF0000"/>
          <w:spacing w:val="1"/>
        </w:rPr>
        <w:t>m</w:t>
      </w:r>
      <w:r w:rsidRPr="005A4730">
        <w:rPr>
          <w:rFonts w:ascii="Arial" w:hAnsi="Arial" w:cs="Arial"/>
          <w:b/>
          <w:color w:val="FF0000"/>
          <w:spacing w:val="-2"/>
        </w:rPr>
        <w:t>ac</w:t>
      </w:r>
      <w:r w:rsidRPr="005A4730">
        <w:rPr>
          <w:rFonts w:ascii="Arial" w:hAnsi="Arial" w:cs="Arial"/>
          <w:b/>
          <w:color w:val="FF0000"/>
          <w:spacing w:val="1"/>
        </w:rPr>
        <w:t>i</w:t>
      </w:r>
      <w:r w:rsidRPr="005A4730">
        <w:rPr>
          <w:rFonts w:ascii="Arial" w:hAnsi="Arial" w:cs="Arial"/>
          <w:b/>
          <w:color w:val="FF0000"/>
          <w:spacing w:val="-1"/>
        </w:rPr>
        <w:t>ó</w:t>
      </w:r>
      <w:r w:rsidRPr="005A4730">
        <w:rPr>
          <w:rFonts w:ascii="Arial" w:hAnsi="Arial" w:cs="Arial"/>
          <w:b/>
          <w:color w:val="FF0000"/>
        </w:rPr>
        <w:t>n</w:t>
      </w:r>
      <w:r w:rsidRPr="005A4730">
        <w:rPr>
          <w:rFonts w:ascii="Arial" w:hAnsi="Arial" w:cs="Arial"/>
          <w:b/>
          <w:color w:val="FF0000"/>
          <w:spacing w:val="16"/>
        </w:rPr>
        <w:t xml:space="preserve"> </w:t>
      </w:r>
      <w:r w:rsidRPr="005A4730">
        <w:rPr>
          <w:rFonts w:ascii="Arial" w:hAnsi="Arial" w:cs="Arial"/>
          <w:b/>
          <w:color w:val="FF0000"/>
          <w:w w:val="102"/>
        </w:rPr>
        <w:t>de la LNB.</w:t>
      </w:r>
    </w:p>
    <w:p w:rsidR="00092467" w:rsidRPr="00E168A9" w:rsidRDefault="00092467" w:rsidP="00F33952">
      <w:pPr>
        <w:spacing w:after="0" w:line="240" w:lineRule="auto"/>
        <w:jc w:val="both"/>
        <w:rPr>
          <w:rFonts w:ascii="Arial" w:hAnsi="Arial" w:cs="Arial"/>
          <w:b/>
          <w:sz w:val="24"/>
          <w:szCs w:val="24"/>
        </w:rPr>
      </w:pPr>
    </w:p>
    <w:sectPr w:rsidR="00092467" w:rsidRPr="00E168A9" w:rsidSect="00D22638">
      <w:headerReference w:type="default" r:id="rId8"/>
      <w:footerReference w:type="default" r:id="rId9"/>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861" w:rsidRDefault="00255861" w:rsidP="00F425A5">
      <w:pPr>
        <w:spacing w:after="0" w:line="240" w:lineRule="auto"/>
      </w:pPr>
      <w:r>
        <w:separator/>
      </w:r>
    </w:p>
  </w:endnote>
  <w:endnote w:type="continuationSeparator" w:id="0">
    <w:p w:rsidR="00255861" w:rsidRDefault="00255861"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2D7" w:rsidRDefault="001E52D7" w:rsidP="001E52D7">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1E52D7" w:rsidRPr="00C93B38" w:rsidRDefault="001E52D7" w:rsidP="001E52D7">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1E52D7" w:rsidRPr="00C93B38" w:rsidRDefault="001E52D7" w:rsidP="001E52D7">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822656" w:rsidRPr="00C93B38" w:rsidRDefault="00822656" w:rsidP="00C93B38">
    <w:pPr>
      <w:tabs>
        <w:tab w:val="center" w:pos="4419"/>
        <w:tab w:val="right" w:pos="8838"/>
      </w:tabs>
      <w:spacing w:after="0" w:line="240" w:lineRule="auto"/>
      <w:rPr>
        <w:rFonts w:ascii="Arial" w:eastAsia="Calibri" w:hAnsi="Arial" w:cs="Arial"/>
        <w:b/>
        <w:sz w:val="18"/>
        <w:szCs w:val="18"/>
        <w:lang w:eastAsia="en-US"/>
      </w:rPr>
    </w:pPr>
    <w:r>
      <w:rPr>
        <w:rFonts w:ascii="Arial" w:eastAsia="Calibri" w:hAnsi="Arial" w:cs="Arial"/>
        <w:b/>
        <w:sz w:val="18"/>
        <w:szCs w:val="18"/>
        <w:lang w:eastAsia="en-US"/>
      </w:rPr>
      <w:tab/>
    </w:r>
    <w:r>
      <w:rPr>
        <w:rFonts w:ascii="Arial" w:eastAsia="Calibri" w:hAnsi="Arial" w:cs="Arial"/>
        <w:b/>
        <w:sz w:val="18"/>
        <w:szCs w:val="18"/>
        <w:lang w:eastAsia="en-US"/>
      </w:rPr>
      <w:tab/>
    </w:r>
  </w:p>
  <w:p w:rsidR="00822656" w:rsidRPr="00C93B38" w:rsidRDefault="00822656"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p>
  <w:p w:rsidR="00822656" w:rsidRPr="00C93B38" w:rsidRDefault="00822656"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861" w:rsidRDefault="00255861" w:rsidP="00F425A5">
      <w:pPr>
        <w:spacing w:after="0" w:line="240" w:lineRule="auto"/>
      </w:pPr>
      <w:r>
        <w:separator/>
      </w:r>
    </w:p>
  </w:footnote>
  <w:footnote w:type="continuationSeparator" w:id="0">
    <w:p w:rsidR="00255861" w:rsidRDefault="00255861"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D5" w:rsidRDefault="00BB3FD5" w:rsidP="00BB3FD5">
    <w:pPr>
      <w:pStyle w:val="Encabezado"/>
    </w:pPr>
    <w:r>
      <w:rPr>
        <w:noProof/>
        <w:lang w:val="es-ES" w:eastAsia="es-ES"/>
      </w:rPr>
      <w:drawing>
        <wp:anchor distT="0" distB="0" distL="114300" distR="114300" simplePos="0" relativeHeight="251661312" behindDoc="0" locked="0" layoutInCell="1" allowOverlap="1">
          <wp:simplePos x="0" y="0"/>
          <wp:positionH relativeFrom="margin">
            <wp:posOffset>2869565</wp:posOffset>
          </wp:positionH>
          <wp:positionV relativeFrom="paragraph">
            <wp:posOffset>-145415</wp:posOffset>
          </wp:positionV>
          <wp:extent cx="1242060" cy="577850"/>
          <wp:effectExtent l="1905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2336" behindDoc="1" locked="0" layoutInCell="1" allowOverlap="1">
          <wp:simplePos x="0" y="0"/>
          <wp:positionH relativeFrom="margin">
            <wp:align>right</wp:align>
          </wp:positionH>
          <wp:positionV relativeFrom="paragraph">
            <wp:posOffset>-62026</wp:posOffset>
          </wp:positionV>
          <wp:extent cx="1420663" cy="405441"/>
          <wp:effectExtent l="19050" t="0" r="952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a:extLst>
                      <a:ext uri="{28A0092B-C50C-407E-A947-70E740481C1C}">
                        <a14:useLocalDpi xmlns:a14="http://schemas.microsoft.com/office/drawing/2010/main" val="0"/>
                      </a:ext>
                    </a:extLst>
                  </a:blip>
                  <a:srcRect b="18889"/>
                  <a:stretch/>
                </pic:blipFill>
                <pic:spPr>
                  <a:xfrm>
                    <a:off x="0" y="0"/>
                    <a:ext cx="1419225" cy="409575"/>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53011</wp:posOffset>
          </wp:positionH>
          <wp:positionV relativeFrom="paragraph">
            <wp:posOffset>-224647</wp:posOffset>
          </wp:positionV>
          <wp:extent cx="1037415" cy="588579"/>
          <wp:effectExtent l="19050" t="0" r="0" b="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3"/>
                  <a:srcRect/>
                  <a:stretch>
                    <a:fillRect/>
                  </a:stretch>
                </pic:blipFill>
                <pic:spPr bwMode="auto">
                  <a:xfrm>
                    <a:off x="0" y="0"/>
                    <a:ext cx="1037415" cy="588579"/>
                  </a:xfrm>
                  <a:prstGeom prst="rect">
                    <a:avLst/>
                  </a:prstGeom>
                  <a:noFill/>
                  <a:ln w="9525">
                    <a:noFill/>
                    <a:miter lim="800000"/>
                    <a:headEnd/>
                    <a:tailEnd/>
                  </a:ln>
                </pic:spPr>
              </pic:pic>
            </a:graphicData>
          </a:graphic>
        </wp:anchor>
      </w:drawing>
    </w:r>
  </w:p>
  <w:p w:rsidR="00BB3FD5" w:rsidRDefault="00BB3FD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250C5"/>
    <w:rsid w:val="00026A5C"/>
    <w:rsid w:val="000325D6"/>
    <w:rsid w:val="0004272D"/>
    <w:rsid w:val="00044B99"/>
    <w:rsid w:val="00074976"/>
    <w:rsid w:val="0008686D"/>
    <w:rsid w:val="00092467"/>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22DA2"/>
    <w:rsid w:val="0013257A"/>
    <w:rsid w:val="001438D4"/>
    <w:rsid w:val="0014492B"/>
    <w:rsid w:val="001507F7"/>
    <w:rsid w:val="00151DDE"/>
    <w:rsid w:val="00156763"/>
    <w:rsid w:val="00160241"/>
    <w:rsid w:val="0016040E"/>
    <w:rsid w:val="0016094A"/>
    <w:rsid w:val="00162EFA"/>
    <w:rsid w:val="00163F0A"/>
    <w:rsid w:val="0016481B"/>
    <w:rsid w:val="00165185"/>
    <w:rsid w:val="0017771D"/>
    <w:rsid w:val="00181259"/>
    <w:rsid w:val="00181949"/>
    <w:rsid w:val="00195876"/>
    <w:rsid w:val="00197879"/>
    <w:rsid w:val="00197D21"/>
    <w:rsid w:val="001B45C4"/>
    <w:rsid w:val="001B7D37"/>
    <w:rsid w:val="001C5FBF"/>
    <w:rsid w:val="001C6407"/>
    <w:rsid w:val="001C7F24"/>
    <w:rsid w:val="001D7521"/>
    <w:rsid w:val="001E52D7"/>
    <w:rsid w:val="001E72A8"/>
    <w:rsid w:val="002027A5"/>
    <w:rsid w:val="0021272C"/>
    <w:rsid w:val="00215F09"/>
    <w:rsid w:val="002172C1"/>
    <w:rsid w:val="00230538"/>
    <w:rsid w:val="00233102"/>
    <w:rsid w:val="00236A41"/>
    <w:rsid w:val="00240220"/>
    <w:rsid w:val="002402CC"/>
    <w:rsid w:val="00243F27"/>
    <w:rsid w:val="00246503"/>
    <w:rsid w:val="0024724E"/>
    <w:rsid w:val="002479FD"/>
    <w:rsid w:val="00252640"/>
    <w:rsid w:val="00255861"/>
    <w:rsid w:val="00260D1E"/>
    <w:rsid w:val="00262F1C"/>
    <w:rsid w:val="00264E7C"/>
    <w:rsid w:val="00265ACE"/>
    <w:rsid w:val="00280622"/>
    <w:rsid w:val="00284857"/>
    <w:rsid w:val="00290CEE"/>
    <w:rsid w:val="0029563C"/>
    <w:rsid w:val="0029604A"/>
    <w:rsid w:val="00297F22"/>
    <w:rsid w:val="002A08CC"/>
    <w:rsid w:val="002A328B"/>
    <w:rsid w:val="002A6D1D"/>
    <w:rsid w:val="002B7F38"/>
    <w:rsid w:val="002C08BB"/>
    <w:rsid w:val="002C0A07"/>
    <w:rsid w:val="002C0EA7"/>
    <w:rsid w:val="002D0834"/>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5314"/>
    <w:rsid w:val="0041769E"/>
    <w:rsid w:val="0044516C"/>
    <w:rsid w:val="00453E40"/>
    <w:rsid w:val="004601DD"/>
    <w:rsid w:val="00463197"/>
    <w:rsid w:val="00486187"/>
    <w:rsid w:val="00496BB5"/>
    <w:rsid w:val="004A48EF"/>
    <w:rsid w:val="004B25F7"/>
    <w:rsid w:val="004B6715"/>
    <w:rsid w:val="004C050C"/>
    <w:rsid w:val="004D0118"/>
    <w:rsid w:val="004D57E8"/>
    <w:rsid w:val="004D5EA6"/>
    <w:rsid w:val="004E19B1"/>
    <w:rsid w:val="004F1A06"/>
    <w:rsid w:val="004F333D"/>
    <w:rsid w:val="00505879"/>
    <w:rsid w:val="0051463E"/>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6E5"/>
    <w:rsid w:val="005D5B8E"/>
    <w:rsid w:val="005E6462"/>
    <w:rsid w:val="005E67D1"/>
    <w:rsid w:val="005E7EA5"/>
    <w:rsid w:val="005F77E1"/>
    <w:rsid w:val="00604293"/>
    <w:rsid w:val="00615772"/>
    <w:rsid w:val="006177D9"/>
    <w:rsid w:val="00620BC1"/>
    <w:rsid w:val="006239AF"/>
    <w:rsid w:val="00651DAC"/>
    <w:rsid w:val="00655DEF"/>
    <w:rsid w:val="00663837"/>
    <w:rsid w:val="00665BDD"/>
    <w:rsid w:val="006749AF"/>
    <w:rsid w:val="006773A7"/>
    <w:rsid w:val="00680239"/>
    <w:rsid w:val="00685D0A"/>
    <w:rsid w:val="00692F38"/>
    <w:rsid w:val="00694DFE"/>
    <w:rsid w:val="006C0284"/>
    <w:rsid w:val="006C5B88"/>
    <w:rsid w:val="006C64D5"/>
    <w:rsid w:val="006D2B26"/>
    <w:rsid w:val="006D5010"/>
    <w:rsid w:val="006E3986"/>
    <w:rsid w:val="006E3CEB"/>
    <w:rsid w:val="006E3D05"/>
    <w:rsid w:val="006E759D"/>
    <w:rsid w:val="006F5E78"/>
    <w:rsid w:val="00700118"/>
    <w:rsid w:val="0070559B"/>
    <w:rsid w:val="007113AA"/>
    <w:rsid w:val="00726324"/>
    <w:rsid w:val="00731631"/>
    <w:rsid w:val="00735994"/>
    <w:rsid w:val="0074449A"/>
    <w:rsid w:val="007468A9"/>
    <w:rsid w:val="00754236"/>
    <w:rsid w:val="00765591"/>
    <w:rsid w:val="00774C6F"/>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2656"/>
    <w:rsid w:val="0082470A"/>
    <w:rsid w:val="00840553"/>
    <w:rsid w:val="00844EBB"/>
    <w:rsid w:val="008462CB"/>
    <w:rsid w:val="00873538"/>
    <w:rsid w:val="00875FAD"/>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044"/>
    <w:rsid w:val="00936227"/>
    <w:rsid w:val="0094244E"/>
    <w:rsid w:val="00942D26"/>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92C76"/>
    <w:rsid w:val="00A94BDA"/>
    <w:rsid w:val="00A95D0B"/>
    <w:rsid w:val="00AA5BDA"/>
    <w:rsid w:val="00AB220B"/>
    <w:rsid w:val="00AD1ED6"/>
    <w:rsid w:val="00AD3E68"/>
    <w:rsid w:val="00AD4CA0"/>
    <w:rsid w:val="00AE4794"/>
    <w:rsid w:val="00AE4C81"/>
    <w:rsid w:val="00AE52F0"/>
    <w:rsid w:val="00AF2095"/>
    <w:rsid w:val="00B1076C"/>
    <w:rsid w:val="00B133E9"/>
    <w:rsid w:val="00B3085C"/>
    <w:rsid w:val="00B40D16"/>
    <w:rsid w:val="00B4347D"/>
    <w:rsid w:val="00B641A2"/>
    <w:rsid w:val="00B67B52"/>
    <w:rsid w:val="00B70BB2"/>
    <w:rsid w:val="00B92DC3"/>
    <w:rsid w:val="00B974A0"/>
    <w:rsid w:val="00B97B3B"/>
    <w:rsid w:val="00BB3670"/>
    <w:rsid w:val="00BB3B37"/>
    <w:rsid w:val="00BB3FD5"/>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35F0"/>
    <w:rsid w:val="00C46524"/>
    <w:rsid w:val="00C51288"/>
    <w:rsid w:val="00C57D19"/>
    <w:rsid w:val="00C67029"/>
    <w:rsid w:val="00C74023"/>
    <w:rsid w:val="00C92437"/>
    <w:rsid w:val="00C93B38"/>
    <w:rsid w:val="00C95523"/>
    <w:rsid w:val="00CA3223"/>
    <w:rsid w:val="00CA34A6"/>
    <w:rsid w:val="00CC1B45"/>
    <w:rsid w:val="00CC703E"/>
    <w:rsid w:val="00CD0840"/>
    <w:rsid w:val="00CD15AB"/>
    <w:rsid w:val="00CD454A"/>
    <w:rsid w:val="00CE4590"/>
    <w:rsid w:val="00CE51F8"/>
    <w:rsid w:val="00CF2224"/>
    <w:rsid w:val="00D024FD"/>
    <w:rsid w:val="00D22638"/>
    <w:rsid w:val="00D36494"/>
    <w:rsid w:val="00D40AE8"/>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804DF"/>
    <w:rsid w:val="00E83259"/>
    <w:rsid w:val="00E86AB6"/>
    <w:rsid w:val="00E87F33"/>
    <w:rsid w:val="00E92BAD"/>
    <w:rsid w:val="00EA726F"/>
    <w:rsid w:val="00EC7F12"/>
    <w:rsid w:val="00ED3B02"/>
    <w:rsid w:val="00EF6D03"/>
    <w:rsid w:val="00F05857"/>
    <w:rsid w:val="00F10552"/>
    <w:rsid w:val="00F11398"/>
    <w:rsid w:val="00F25CCF"/>
    <w:rsid w:val="00F33952"/>
    <w:rsid w:val="00F34BBE"/>
    <w:rsid w:val="00F425A5"/>
    <w:rsid w:val="00F45887"/>
    <w:rsid w:val="00F651F0"/>
    <w:rsid w:val="00F74544"/>
    <w:rsid w:val="00F752E1"/>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FEAF83"/>
  <w15:docId w15:val="{E03B402C-B00E-4E02-9DB3-C4DBCB61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D4DA3-19C2-4982-9931-EA963560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4543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4</cp:revision>
  <cp:lastPrinted>2019-07-24T19:30:00Z</cp:lastPrinted>
  <dcterms:created xsi:type="dcterms:W3CDTF">2020-10-07T20:42:00Z</dcterms:created>
  <dcterms:modified xsi:type="dcterms:W3CDTF">2020-10-07T20:43:00Z</dcterms:modified>
</cp:coreProperties>
</file>