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3D" w:rsidRDefault="0097303D" w:rsidP="0097303D">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bookmarkStart w:id="0" w:name="_GoBack"/>
      <w:bookmarkEnd w:id="0"/>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877014">
        <w:rPr>
          <w:rFonts w:ascii="Arial" w:hAnsi="Arial" w:cs="Arial"/>
          <w:b/>
          <w:bCs/>
          <w:spacing w:val="-1"/>
          <w:sz w:val="24"/>
          <w:szCs w:val="24"/>
        </w:rPr>
        <w:t>002/2020</w:t>
      </w:r>
    </w:p>
    <w:p w:rsidR="00B133E9"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1F3F82">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w:t>
      </w:r>
      <w:r w:rsidR="00877014">
        <w:rPr>
          <w:rFonts w:ascii="Arial" w:hAnsi="Arial" w:cs="Arial"/>
          <w:bCs/>
          <w:spacing w:val="-1"/>
          <w:sz w:val="24"/>
          <w:szCs w:val="24"/>
        </w:rPr>
        <w:t>a las diez en punto</w:t>
      </w:r>
      <w:r w:rsidR="006177D9">
        <w:rPr>
          <w:rFonts w:ascii="Arial" w:hAnsi="Arial" w:cs="Arial"/>
          <w:bCs/>
          <w:spacing w:val="-1"/>
          <w:sz w:val="24"/>
          <w:szCs w:val="24"/>
        </w:rPr>
        <w:t xml:space="preserve"> del día </w:t>
      </w:r>
      <w:r w:rsidR="00877014">
        <w:rPr>
          <w:rFonts w:ascii="Arial" w:hAnsi="Arial" w:cs="Arial"/>
          <w:bCs/>
          <w:spacing w:val="-1"/>
          <w:sz w:val="24"/>
          <w:szCs w:val="24"/>
        </w:rPr>
        <w:t>treinta</w:t>
      </w:r>
      <w:r w:rsidR="00C21DC7">
        <w:rPr>
          <w:rFonts w:ascii="Arial" w:hAnsi="Arial" w:cs="Arial"/>
          <w:bCs/>
          <w:spacing w:val="-1"/>
          <w:sz w:val="24"/>
          <w:szCs w:val="24"/>
        </w:rPr>
        <w:t xml:space="preserve"> de</w:t>
      </w:r>
      <w:r w:rsidR="006177D9">
        <w:rPr>
          <w:rFonts w:ascii="Arial" w:hAnsi="Arial" w:cs="Arial"/>
          <w:bCs/>
          <w:spacing w:val="-1"/>
          <w:sz w:val="24"/>
          <w:szCs w:val="24"/>
        </w:rPr>
        <w:t xml:space="preserve"> </w:t>
      </w:r>
      <w:r w:rsidR="00877014">
        <w:rPr>
          <w:rFonts w:ascii="Arial" w:hAnsi="Arial" w:cs="Arial"/>
          <w:bCs/>
          <w:spacing w:val="-1"/>
          <w:sz w:val="24"/>
          <w:szCs w:val="24"/>
        </w:rPr>
        <w:t>enero</w:t>
      </w:r>
      <w:r w:rsidR="006177D9">
        <w:rPr>
          <w:rFonts w:ascii="Arial" w:hAnsi="Arial" w:cs="Arial"/>
          <w:bCs/>
          <w:spacing w:val="-1"/>
          <w:sz w:val="24"/>
          <w:szCs w:val="24"/>
        </w:rPr>
        <w:t xml:space="preserve"> </w:t>
      </w:r>
      <w:r w:rsidR="00B133E9" w:rsidRPr="006D5010">
        <w:rPr>
          <w:rFonts w:ascii="Arial" w:hAnsi="Arial" w:cs="Arial"/>
          <w:bCs/>
          <w:spacing w:val="-1"/>
          <w:sz w:val="24"/>
          <w:szCs w:val="24"/>
        </w:rPr>
        <w:t xml:space="preserve">del año dos mil </w:t>
      </w:r>
      <w:r w:rsidR="00877014">
        <w:rPr>
          <w:rFonts w:ascii="Arial" w:hAnsi="Arial" w:cs="Arial"/>
          <w:bCs/>
          <w:spacing w:val="-1"/>
          <w:sz w:val="24"/>
          <w:szCs w:val="24"/>
        </w:rPr>
        <w:t>veinte</w:t>
      </w:r>
      <w:r w:rsidR="00B133E9" w:rsidRPr="006D5010">
        <w:rPr>
          <w:rFonts w:ascii="Arial" w:hAnsi="Arial" w:cs="Arial"/>
          <w:bCs/>
          <w:spacing w:val="-1"/>
          <w:sz w:val="24"/>
          <w:szCs w:val="24"/>
        </w:rPr>
        <w:t>.</w:t>
      </w:r>
    </w:p>
    <w:p w:rsidR="00C93B38" w:rsidRPr="006D5010"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9607A6" w:rsidRPr="0099548A" w:rsidRDefault="00B133E9" w:rsidP="009535D2">
      <w:pPr>
        <w:jc w:val="both"/>
        <w:rPr>
          <w:rFonts w:ascii="Arial" w:hAnsi="Arial" w:cs="Arial"/>
          <w:sz w:val="24"/>
          <w:szCs w:val="24"/>
        </w:rPr>
      </w:pPr>
      <w:r w:rsidRPr="006D5010">
        <w:rPr>
          <w:rFonts w:ascii="Arial" w:hAnsi="Arial" w:cs="Arial"/>
          <w:sz w:val="24"/>
          <w:szCs w:val="24"/>
        </w:rPr>
        <w:t xml:space="preserve">Vista, analizada y tramitada que ha sido la solicitud de acceso a la </w:t>
      </w:r>
      <w:r w:rsidR="0061060A" w:rsidRPr="006D5010">
        <w:rPr>
          <w:rFonts w:ascii="Arial" w:hAnsi="Arial" w:cs="Arial"/>
          <w:sz w:val="24"/>
          <w:szCs w:val="24"/>
        </w:rPr>
        <w:t>información ingresa</w:t>
      </w:r>
      <w:r w:rsidR="0061060A">
        <w:rPr>
          <w:rFonts w:ascii="Arial" w:hAnsi="Arial" w:cs="Arial"/>
          <w:sz w:val="24"/>
          <w:szCs w:val="24"/>
        </w:rPr>
        <w:t>da</w:t>
      </w:r>
      <w:r w:rsidRPr="006D5010">
        <w:rPr>
          <w:rFonts w:ascii="Arial" w:hAnsi="Arial" w:cs="Arial"/>
          <w:sz w:val="24"/>
          <w:szCs w:val="24"/>
        </w:rPr>
        <w:t xml:space="preserve"> el </w:t>
      </w:r>
      <w:r w:rsidR="00DB79B0">
        <w:rPr>
          <w:rFonts w:ascii="Arial" w:hAnsi="Arial" w:cs="Arial"/>
          <w:sz w:val="24"/>
          <w:szCs w:val="24"/>
        </w:rPr>
        <w:t xml:space="preserve">día </w:t>
      </w:r>
      <w:r w:rsidR="00877014">
        <w:rPr>
          <w:rFonts w:ascii="Arial" w:hAnsi="Arial" w:cs="Arial"/>
          <w:sz w:val="24"/>
          <w:szCs w:val="24"/>
        </w:rPr>
        <w:t xml:space="preserve">dieciséis </w:t>
      </w:r>
      <w:r w:rsidR="006D35BA">
        <w:rPr>
          <w:rFonts w:ascii="Arial" w:hAnsi="Arial" w:cs="Arial"/>
          <w:sz w:val="24"/>
          <w:szCs w:val="24"/>
        </w:rPr>
        <w:t xml:space="preserve">de </w:t>
      </w:r>
      <w:r w:rsidR="00877014">
        <w:rPr>
          <w:rFonts w:ascii="Arial" w:hAnsi="Arial" w:cs="Arial"/>
          <w:sz w:val="24"/>
          <w:szCs w:val="24"/>
        </w:rPr>
        <w:t>enero</w:t>
      </w:r>
      <w:r w:rsidR="00936044">
        <w:rPr>
          <w:rFonts w:ascii="Arial" w:hAnsi="Arial" w:cs="Arial"/>
          <w:sz w:val="24"/>
          <w:szCs w:val="24"/>
        </w:rPr>
        <w:t xml:space="preserve"> de </w:t>
      </w:r>
      <w:r w:rsidR="007A685A">
        <w:rPr>
          <w:rFonts w:ascii="Arial" w:hAnsi="Arial" w:cs="Arial"/>
          <w:sz w:val="24"/>
          <w:szCs w:val="24"/>
        </w:rPr>
        <w:t>dos mil</w:t>
      </w:r>
      <w:r w:rsidR="00877014">
        <w:rPr>
          <w:rFonts w:ascii="Arial" w:hAnsi="Arial" w:cs="Arial"/>
          <w:sz w:val="24"/>
          <w:szCs w:val="24"/>
        </w:rPr>
        <w:t xml:space="preserve"> veinte</w:t>
      </w:r>
      <w:r w:rsidRPr="006D5010">
        <w:rPr>
          <w:rFonts w:ascii="Arial" w:hAnsi="Arial" w:cs="Arial"/>
          <w:sz w:val="24"/>
          <w:szCs w:val="24"/>
        </w:rPr>
        <w:t>,</w:t>
      </w:r>
      <w:r w:rsidR="00373F8D" w:rsidRPr="006D5010">
        <w:rPr>
          <w:rFonts w:ascii="Arial" w:hAnsi="Arial" w:cs="Arial"/>
          <w:sz w:val="24"/>
          <w:szCs w:val="24"/>
        </w:rPr>
        <w:t xml:space="preserve"> por </w:t>
      </w:r>
      <w:r w:rsidR="0097303D">
        <w:rPr>
          <w:rFonts w:ascii="Arial" w:hAnsi="Arial" w:cs="Arial"/>
          <w:b/>
          <w:sz w:val="24"/>
          <w:szCs w:val="24"/>
        </w:rPr>
        <w:t>////////////////////////////////</w:t>
      </w:r>
      <w:r w:rsidR="00877014">
        <w:rPr>
          <w:rFonts w:ascii="Arial" w:hAnsi="Arial" w:cs="Arial"/>
          <w:b/>
          <w:sz w:val="24"/>
          <w:szCs w:val="24"/>
        </w:rPr>
        <w:t xml:space="preserve"> </w:t>
      </w:r>
      <w:r w:rsidR="00DB79B0">
        <w:rPr>
          <w:rFonts w:ascii="Arial" w:hAnsi="Arial" w:cs="Arial"/>
          <w:sz w:val="24"/>
          <w:szCs w:val="24"/>
        </w:rPr>
        <w:t>en la que</w:t>
      </w:r>
      <w:r w:rsidRPr="006D5010">
        <w:rPr>
          <w:rFonts w:ascii="Arial" w:hAnsi="Arial" w:cs="Arial"/>
          <w:sz w:val="24"/>
          <w:szCs w:val="24"/>
        </w:rPr>
        <w:t xml:space="preserve"> requiriere la siguiente información:</w:t>
      </w:r>
      <w:r w:rsidR="00373F8D" w:rsidRPr="006D5010">
        <w:rPr>
          <w:rFonts w:ascii="Arial" w:hAnsi="Arial" w:cs="Arial"/>
          <w:sz w:val="24"/>
          <w:szCs w:val="24"/>
        </w:rPr>
        <w:t xml:space="preserve"> </w:t>
      </w:r>
      <w:r w:rsidR="00877014">
        <w:rPr>
          <w:rFonts w:ascii="Arial" w:hAnsi="Arial" w:cs="Arial"/>
          <w:b/>
          <w:sz w:val="24"/>
          <w:szCs w:val="24"/>
        </w:rPr>
        <w:t xml:space="preserve">Requerimiento 1. </w:t>
      </w:r>
      <w:r w:rsidR="00877014">
        <w:rPr>
          <w:rFonts w:ascii="Arial" w:hAnsi="Arial" w:cs="Arial"/>
          <w:sz w:val="24"/>
          <w:szCs w:val="24"/>
        </w:rPr>
        <w:t xml:space="preserve">Cuantos empleados se acogieron al beneficio de retiro voluntario en 2019. </w:t>
      </w:r>
      <w:r w:rsidR="00877014">
        <w:rPr>
          <w:rFonts w:ascii="Arial" w:hAnsi="Arial" w:cs="Arial"/>
          <w:b/>
          <w:sz w:val="24"/>
          <w:szCs w:val="24"/>
        </w:rPr>
        <w:t xml:space="preserve">Requerimiento 2. </w:t>
      </w:r>
      <w:r w:rsidR="00877014">
        <w:rPr>
          <w:rFonts w:ascii="Arial" w:hAnsi="Arial" w:cs="Arial"/>
          <w:sz w:val="24"/>
          <w:szCs w:val="24"/>
        </w:rPr>
        <w:t xml:space="preserve">En </w:t>
      </w:r>
      <w:r w:rsidR="006D15C8">
        <w:rPr>
          <w:rFonts w:ascii="Arial" w:hAnsi="Arial" w:cs="Arial"/>
          <w:sz w:val="24"/>
          <w:szCs w:val="24"/>
        </w:rPr>
        <w:t>qué</w:t>
      </w:r>
      <w:r w:rsidR="00877014">
        <w:rPr>
          <w:rFonts w:ascii="Arial" w:hAnsi="Arial" w:cs="Arial"/>
          <w:sz w:val="24"/>
          <w:szCs w:val="24"/>
        </w:rPr>
        <w:t xml:space="preserve"> forma y condiciones se </w:t>
      </w:r>
      <w:r w:rsidR="006D15C8">
        <w:rPr>
          <w:rFonts w:ascii="Arial" w:hAnsi="Arial" w:cs="Arial"/>
          <w:sz w:val="24"/>
          <w:szCs w:val="24"/>
        </w:rPr>
        <w:t>realizó</w:t>
      </w:r>
      <w:r w:rsidR="00877014">
        <w:rPr>
          <w:rFonts w:ascii="Arial" w:hAnsi="Arial" w:cs="Arial"/>
          <w:sz w:val="24"/>
          <w:szCs w:val="24"/>
        </w:rPr>
        <w:t xml:space="preserve"> el convenio de retiro voluntario. </w:t>
      </w:r>
      <w:r w:rsidR="00877014">
        <w:rPr>
          <w:rFonts w:ascii="Arial" w:hAnsi="Arial" w:cs="Arial"/>
          <w:b/>
          <w:sz w:val="24"/>
          <w:szCs w:val="24"/>
        </w:rPr>
        <w:t xml:space="preserve">Requerimiento 3. </w:t>
      </w:r>
      <w:r w:rsidR="00877014">
        <w:rPr>
          <w:rFonts w:ascii="Arial" w:hAnsi="Arial" w:cs="Arial"/>
          <w:sz w:val="24"/>
          <w:szCs w:val="24"/>
        </w:rPr>
        <w:t xml:space="preserve">Cuantos vendedores inscritos y cuantos activos hasta el 31 de diciembre 2019. </w:t>
      </w:r>
      <w:r w:rsidR="00877014">
        <w:rPr>
          <w:rFonts w:ascii="Arial" w:hAnsi="Arial" w:cs="Arial"/>
          <w:b/>
          <w:sz w:val="24"/>
          <w:szCs w:val="24"/>
        </w:rPr>
        <w:t xml:space="preserve">Requerimiento 4. </w:t>
      </w:r>
      <w:r w:rsidR="006D15C8" w:rsidRPr="00877014">
        <w:rPr>
          <w:rFonts w:ascii="Arial" w:hAnsi="Arial" w:cs="Arial"/>
          <w:sz w:val="24"/>
          <w:szCs w:val="24"/>
        </w:rPr>
        <w:t>Qué</w:t>
      </w:r>
      <w:r w:rsidR="00877014" w:rsidRPr="00877014">
        <w:rPr>
          <w:rFonts w:ascii="Arial" w:hAnsi="Arial" w:cs="Arial"/>
          <w:sz w:val="24"/>
          <w:szCs w:val="24"/>
        </w:rPr>
        <w:t xml:space="preserve"> porcentaje de</w:t>
      </w:r>
      <w:r w:rsidR="003E406E">
        <w:rPr>
          <w:rFonts w:ascii="Arial" w:hAnsi="Arial" w:cs="Arial"/>
          <w:sz w:val="24"/>
          <w:szCs w:val="24"/>
        </w:rPr>
        <w:t xml:space="preserve"> emisiones de billetes se vendieron</w:t>
      </w:r>
      <w:r w:rsidR="00877014" w:rsidRPr="00877014">
        <w:rPr>
          <w:rFonts w:ascii="Arial" w:hAnsi="Arial" w:cs="Arial"/>
          <w:sz w:val="24"/>
          <w:szCs w:val="24"/>
        </w:rPr>
        <w:t xml:space="preserve"> en los sorteos de</w:t>
      </w:r>
      <w:r w:rsidR="003E406E">
        <w:rPr>
          <w:rFonts w:ascii="Arial" w:hAnsi="Arial" w:cs="Arial"/>
          <w:sz w:val="24"/>
          <w:szCs w:val="24"/>
        </w:rPr>
        <w:t>l</w:t>
      </w:r>
      <w:r w:rsidR="00877014" w:rsidRPr="00877014">
        <w:rPr>
          <w:rFonts w:ascii="Arial" w:hAnsi="Arial" w:cs="Arial"/>
          <w:sz w:val="24"/>
          <w:szCs w:val="24"/>
        </w:rPr>
        <w:t xml:space="preserve"> segundo semestre del 2019</w:t>
      </w:r>
      <w:r w:rsidR="00877014">
        <w:rPr>
          <w:rFonts w:ascii="Arial" w:hAnsi="Arial" w:cs="Arial"/>
          <w:sz w:val="24"/>
          <w:szCs w:val="24"/>
        </w:rPr>
        <w:t xml:space="preserve">. </w:t>
      </w:r>
      <w:r w:rsidR="00877014">
        <w:rPr>
          <w:rFonts w:ascii="Arial" w:hAnsi="Arial" w:cs="Arial"/>
          <w:b/>
          <w:sz w:val="24"/>
          <w:szCs w:val="24"/>
        </w:rPr>
        <w:t xml:space="preserve">Requerimiento 5. </w:t>
      </w:r>
      <w:r w:rsidR="00877014">
        <w:rPr>
          <w:rFonts w:ascii="Arial" w:hAnsi="Arial" w:cs="Arial"/>
          <w:sz w:val="24"/>
          <w:szCs w:val="24"/>
        </w:rPr>
        <w:t xml:space="preserve">Cuantos asesores tuvo la lotería al 31 de diciembre del 2019. </w:t>
      </w:r>
      <w:r w:rsidR="00877014">
        <w:rPr>
          <w:rFonts w:ascii="Arial" w:hAnsi="Arial" w:cs="Arial"/>
          <w:b/>
          <w:sz w:val="24"/>
          <w:szCs w:val="24"/>
        </w:rPr>
        <w:t xml:space="preserve">Requerimiento 6. </w:t>
      </w:r>
      <w:r w:rsidR="00877014">
        <w:rPr>
          <w:rFonts w:ascii="Arial" w:hAnsi="Arial" w:cs="Arial"/>
          <w:sz w:val="24"/>
          <w:szCs w:val="24"/>
        </w:rPr>
        <w:t xml:space="preserve">Cual fue el monto aplicado a Beneficencia en el año 2019. </w:t>
      </w:r>
      <w:r w:rsidR="00877014">
        <w:rPr>
          <w:rFonts w:ascii="Arial" w:hAnsi="Arial" w:cs="Arial"/>
          <w:b/>
          <w:sz w:val="24"/>
          <w:szCs w:val="24"/>
        </w:rPr>
        <w:t xml:space="preserve">Requerimiento 7. </w:t>
      </w:r>
      <w:r w:rsidR="0099548A">
        <w:rPr>
          <w:rFonts w:ascii="Arial" w:hAnsi="Arial" w:cs="Arial"/>
          <w:sz w:val="24"/>
          <w:szCs w:val="24"/>
        </w:rPr>
        <w:t xml:space="preserve">Cual fue el monto de venta del año 2019. </w:t>
      </w:r>
      <w:r w:rsidR="0099548A">
        <w:rPr>
          <w:rFonts w:ascii="Arial" w:hAnsi="Arial" w:cs="Arial"/>
          <w:b/>
          <w:sz w:val="24"/>
          <w:szCs w:val="24"/>
        </w:rPr>
        <w:t xml:space="preserve">Requerimiento 8. </w:t>
      </w:r>
      <w:r w:rsidR="006D15C8">
        <w:rPr>
          <w:rFonts w:ascii="Arial" w:hAnsi="Arial" w:cs="Arial"/>
          <w:sz w:val="24"/>
          <w:szCs w:val="24"/>
        </w:rPr>
        <w:t>Pérdidas</w:t>
      </w:r>
      <w:r w:rsidR="005C2FFB">
        <w:rPr>
          <w:rFonts w:ascii="Arial" w:hAnsi="Arial" w:cs="Arial"/>
          <w:sz w:val="24"/>
          <w:szCs w:val="24"/>
        </w:rPr>
        <w:t xml:space="preserve"> y g</w:t>
      </w:r>
      <w:r w:rsidR="0099548A">
        <w:rPr>
          <w:rFonts w:ascii="Arial" w:hAnsi="Arial" w:cs="Arial"/>
          <w:sz w:val="24"/>
          <w:szCs w:val="24"/>
        </w:rPr>
        <w:t>anancias del año 2019.</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Default="006D5010" w:rsidP="001F3F82">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E555F6" w:rsidRDefault="00E555F6" w:rsidP="00E555F6">
      <w:pPr>
        <w:pStyle w:val="Prrafodelista"/>
        <w:spacing w:after="0"/>
        <w:ind w:left="1080"/>
        <w:jc w:val="both"/>
        <w:rPr>
          <w:rFonts w:ascii="Arial" w:hAnsi="Arial" w:cs="Arial"/>
          <w:sz w:val="24"/>
          <w:szCs w:val="24"/>
        </w:rPr>
      </w:pPr>
    </w:p>
    <w:p w:rsidR="00AB4872" w:rsidRPr="005C2FFB" w:rsidRDefault="006D5010" w:rsidP="00641926">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5C2FFB">
        <w:rPr>
          <w:rFonts w:ascii="Arial" w:hAnsi="Arial" w:cs="Arial"/>
          <w:sz w:val="24"/>
          <w:szCs w:val="24"/>
        </w:rPr>
        <w:t>Que de conformidad a los literales c), d), i) y j) del Art. 50 de la LAIP, es responsabilidad del Oficial de Información, realizar los trámites internos a fin de ubicar</w:t>
      </w:r>
      <w:r w:rsidR="0052486D" w:rsidRPr="005C2FFB">
        <w:rPr>
          <w:rFonts w:ascii="Arial" w:hAnsi="Arial" w:cs="Arial"/>
          <w:sz w:val="24"/>
          <w:szCs w:val="24"/>
        </w:rPr>
        <w:t xml:space="preserve"> la información del solicitante y resolver las solicitudes de información</w:t>
      </w:r>
      <w:r w:rsidRPr="005C2FFB">
        <w:rPr>
          <w:rFonts w:ascii="Arial" w:hAnsi="Arial" w:cs="Arial"/>
          <w:sz w:val="24"/>
          <w:szCs w:val="24"/>
        </w:rPr>
        <w:t xml:space="preserve"> </w:t>
      </w:r>
      <w:r w:rsidR="0052486D" w:rsidRPr="005C2FFB">
        <w:rPr>
          <w:rFonts w:ascii="Arial" w:hAnsi="Arial" w:cs="Arial"/>
          <w:sz w:val="24"/>
          <w:szCs w:val="24"/>
        </w:rPr>
        <w:t>que se les sometan, p</w:t>
      </w:r>
      <w:r w:rsidR="003A6640" w:rsidRPr="005C2FFB">
        <w:rPr>
          <w:rFonts w:ascii="Arial" w:hAnsi="Arial" w:cs="Arial"/>
          <w:sz w:val="24"/>
          <w:szCs w:val="24"/>
        </w:rPr>
        <w:t xml:space="preserve">or lo </w:t>
      </w:r>
      <w:r w:rsidR="00B83285" w:rsidRPr="005C2FFB">
        <w:rPr>
          <w:rFonts w:ascii="Arial" w:hAnsi="Arial" w:cs="Arial"/>
          <w:sz w:val="24"/>
          <w:szCs w:val="24"/>
        </w:rPr>
        <w:t>que,</w:t>
      </w:r>
      <w:r w:rsidR="003A6640" w:rsidRPr="005C2FFB">
        <w:rPr>
          <w:rFonts w:ascii="Arial" w:hAnsi="Arial" w:cs="Arial"/>
          <w:sz w:val="24"/>
          <w:szCs w:val="24"/>
        </w:rPr>
        <w:t xml:space="preserve"> habiéndose admitido la</w:t>
      </w:r>
      <w:r w:rsidRPr="005C2FFB">
        <w:rPr>
          <w:rFonts w:ascii="Arial" w:hAnsi="Arial" w:cs="Arial"/>
          <w:sz w:val="24"/>
          <w:szCs w:val="24"/>
        </w:rPr>
        <w:t xml:space="preserve"> </w:t>
      </w:r>
      <w:r w:rsidRPr="005C2FFB">
        <w:rPr>
          <w:rFonts w:ascii="Arial" w:hAnsi="Arial" w:cs="Arial"/>
          <w:sz w:val="24"/>
          <w:szCs w:val="24"/>
        </w:rPr>
        <w:lastRenderedPageBreak/>
        <w:t>solicitud</w:t>
      </w:r>
      <w:r w:rsidR="003A6640" w:rsidRPr="005C2FFB">
        <w:rPr>
          <w:rFonts w:ascii="Arial" w:hAnsi="Arial" w:cs="Arial"/>
          <w:sz w:val="24"/>
          <w:szCs w:val="24"/>
        </w:rPr>
        <w:t xml:space="preserve"> de información,</w:t>
      </w:r>
      <w:r w:rsidR="0052486D" w:rsidRPr="005C2FFB">
        <w:rPr>
          <w:rFonts w:ascii="Arial" w:hAnsi="Arial" w:cs="Arial"/>
          <w:sz w:val="24"/>
          <w:szCs w:val="24"/>
        </w:rPr>
        <w:t xml:space="preserve"> se ubicó la información y</w:t>
      </w:r>
      <w:r w:rsidR="003A6640" w:rsidRPr="005C2FFB">
        <w:rPr>
          <w:rFonts w:ascii="Arial" w:hAnsi="Arial" w:cs="Arial"/>
          <w:sz w:val="24"/>
          <w:szCs w:val="24"/>
        </w:rPr>
        <w:t xml:space="preserve"> se gestionó </w:t>
      </w:r>
      <w:r w:rsidRPr="005C2FFB">
        <w:rPr>
          <w:rFonts w:ascii="Arial" w:hAnsi="Arial" w:cs="Arial"/>
          <w:sz w:val="24"/>
          <w:szCs w:val="24"/>
        </w:rPr>
        <w:t xml:space="preserve"> con</w:t>
      </w:r>
      <w:r w:rsidR="00027808" w:rsidRPr="005C2FFB">
        <w:rPr>
          <w:rFonts w:ascii="Arial" w:hAnsi="Arial" w:cs="Arial"/>
          <w:sz w:val="24"/>
          <w:szCs w:val="24"/>
        </w:rPr>
        <w:t xml:space="preserve"> </w:t>
      </w:r>
      <w:r w:rsidR="0052486D" w:rsidRPr="005C2FFB">
        <w:rPr>
          <w:rFonts w:ascii="Arial" w:hAnsi="Arial" w:cs="Arial"/>
          <w:sz w:val="24"/>
          <w:szCs w:val="24"/>
        </w:rPr>
        <w:t xml:space="preserve">la </w:t>
      </w:r>
      <w:r w:rsidR="0052486D" w:rsidRPr="005C2FFB">
        <w:rPr>
          <w:rFonts w:ascii="Arial" w:hAnsi="Arial" w:cs="Arial"/>
          <w:b/>
          <w:sz w:val="24"/>
          <w:szCs w:val="24"/>
        </w:rPr>
        <w:t>Unidad de Recursos Humanos</w:t>
      </w:r>
      <w:r w:rsidR="005C2FFB" w:rsidRPr="005C2FFB">
        <w:rPr>
          <w:rFonts w:ascii="Arial" w:hAnsi="Arial" w:cs="Arial"/>
          <w:b/>
          <w:sz w:val="24"/>
          <w:szCs w:val="24"/>
        </w:rPr>
        <w:t xml:space="preserve"> en relación al</w:t>
      </w:r>
      <w:r w:rsidR="005C2FFB" w:rsidRPr="005C2FFB">
        <w:rPr>
          <w:rFonts w:ascii="Arial" w:hAnsi="Arial" w:cs="Arial"/>
          <w:sz w:val="24"/>
          <w:szCs w:val="24"/>
        </w:rPr>
        <w:t xml:space="preserve"> </w:t>
      </w:r>
      <w:r w:rsidR="005C2FFB" w:rsidRPr="005C2FFB">
        <w:rPr>
          <w:rFonts w:ascii="Arial" w:hAnsi="Arial" w:cs="Arial"/>
          <w:b/>
          <w:sz w:val="24"/>
          <w:szCs w:val="24"/>
        </w:rPr>
        <w:t>requerimiento 1</w:t>
      </w:r>
      <w:r w:rsidR="005C2FFB" w:rsidRPr="005C2FFB">
        <w:rPr>
          <w:rFonts w:ascii="Arial" w:hAnsi="Arial" w:cs="Arial"/>
          <w:sz w:val="24"/>
          <w:szCs w:val="24"/>
        </w:rPr>
        <w:t>,</w:t>
      </w:r>
      <w:r w:rsidR="003A6640" w:rsidRPr="005C2FFB">
        <w:rPr>
          <w:rFonts w:ascii="Arial" w:hAnsi="Arial" w:cs="Arial"/>
          <w:sz w:val="24"/>
          <w:szCs w:val="24"/>
        </w:rPr>
        <w:t xml:space="preserve"> a través del memorándum con referencia </w:t>
      </w:r>
      <w:r w:rsidR="0052486D" w:rsidRPr="005C2FFB">
        <w:rPr>
          <w:rFonts w:ascii="Arial" w:hAnsi="Arial" w:cs="Arial"/>
          <w:sz w:val="24"/>
          <w:szCs w:val="24"/>
        </w:rPr>
        <w:t>UAIP.ME.005</w:t>
      </w:r>
      <w:r w:rsidR="00021F0F" w:rsidRPr="005C2FFB">
        <w:rPr>
          <w:rFonts w:ascii="Arial" w:hAnsi="Arial" w:cs="Arial"/>
          <w:sz w:val="24"/>
          <w:szCs w:val="24"/>
        </w:rPr>
        <w:t>/</w:t>
      </w:r>
      <w:r w:rsidR="0052486D" w:rsidRPr="005C2FFB">
        <w:rPr>
          <w:rFonts w:ascii="Arial" w:hAnsi="Arial" w:cs="Arial"/>
          <w:sz w:val="24"/>
          <w:szCs w:val="24"/>
        </w:rPr>
        <w:t>2020</w:t>
      </w:r>
      <w:r w:rsidR="00B83285" w:rsidRPr="005C2FFB">
        <w:rPr>
          <w:rFonts w:ascii="Arial" w:hAnsi="Arial" w:cs="Arial"/>
          <w:sz w:val="24"/>
          <w:szCs w:val="24"/>
        </w:rPr>
        <w:t xml:space="preserve">, </w:t>
      </w:r>
      <w:r w:rsidR="0052486D" w:rsidRPr="005C2FFB">
        <w:rPr>
          <w:rFonts w:ascii="Arial" w:hAnsi="Arial" w:cs="Arial"/>
          <w:sz w:val="24"/>
          <w:szCs w:val="24"/>
        </w:rPr>
        <w:t xml:space="preserve">con la </w:t>
      </w:r>
      <w:r w:rsidR="0052486D" w:rsidRPr="005C2FFB">
        <w:rPr>
          <w:rFonts w:ascii="Arial" w:hAnsi="Arial" w:cs="Arial"/>
          <w:b/>
          <w:sz w:val="24"/>
          <w:szCs w:val="24"/>
        </w:rPr>
        <w:t xml:space="preserve">Unidad de Asesoría Jurídica </w:t>
      </w:r>
      <w:r w:rsidR="005C2FFB" w:rsidRPr="005C2FFB">
        <w:rPr>
          <w:rFonts w:ascii="Arial" w:hAnsi="Arial" w:cs="Arial"/>
          <w:b/>
          <w:sz w:val="24"/>
          <w:szCs w:val="24"/>
        </w:rPr>
        <w:t>el requerimiento 2</w:t>
      </w:r>
      <w:r w:rsidR="005C2FFB" w:rsidRPr="005C2FFB">
        <w:rPr>
          <w:rFonts w:ascii="Arial" w:hAnsi="Arial" w:cs="Arial"/>
          <w:sz w:val="24"/>
          <w:szCs w:val="24"/>
        </w:rPr>
        <w:t xml:space="preserve">, </w:t>
      </w:r>
      <w:r w:rsidR="0052486D" w:rsidRPr="005C2FFB">
        <w:rPr>
          <w:rFonts w:ascii="Arial" w:hAnsi="Arial" w:cs="Arial"/>
          <w:sz w:val="24"/>
          <w:szCs w:val="24"/>
        </w:rPr>
        <w:t>a través del memorándum con referencia UAIP.ME.006/2020</w:t>
      </w:r>
      <w:r w:rsidR="005C2FFB" w:rsidRPr="005C2FFB">
        <w:rPr>
          <w:rFonts w:ascii="Arial" w:hAnsi="Arial" w:cs="Arial"/>
          <w:sz w:val="24"/>
          <w:szCs w:val="24"/>
        </w:rPr>
        <w:t>, ambos con fecha veintiuno de enero de dos mil veinte, quedando establecida la fecha para la entrega de la</w:t>
      </w:r>
      <w:r w:rsidR="003E406E">
        <w:rPr>
          <w:rFonts w:ascii="Arial" w:hAnsi="Arial" w:cs="Arial"/>
          <w:sz w:val="24"/>
          <w:szCs w:val="24"/>
        </w:rPr>
        <w:t xml:space="preserve"> </w:t>
      </w:r>
      <w:proofErr w:type="spellStart"/>
      <w:r w:rsidR="003E406E">
        <w:rPr>
          <w:rFonts w:ascii="Arial" w:hAnsi="Arial" w:cs="Arial"/>
          <w:sz w:val="24"/>
          <w:szCs w:val="24"/>
        </w:rPr>
        <w:t>informacion</w:t>
      </w:r>
      <w:proofErr w:type="spellEnd"/>
      <w:r w:rsidR="005C2FFB" w:rsidRPr="005C2FFB">
        <w:rPr>
          <w:rFonts w:ascii="Arial" w:hAnsi="Arial" w:cs="Arial"/>
          <w:sz w:val="24"/>
          <w:szCs w:val="24"/>
        </w:rPr>
        <w:t xml:space="preserve"> solicitada el día 27 de enero de 2020, y con la </w:t>
      </w:r>
      <w:r w:rsidR="005C2FFB" w:rsidRPr="005C2FFB">
        <w:rPr>
          <w:rFonts w:ascii="Arial" w:hAnsi="Arial" w:cs="Arial"/>
          <w:b/>
          <w:sz w:val="24"/>
          <w:szCs w:val="24"/>
        </w:rPr>
        <w:t>Gerencia Comercial el requerimiento 3</w:t>
      </w:r>
      <w:r w:rsidR="005C2FFB" w:rsidRPr="005C2FFB">
        <w:rPr>
          <w:rFonts w:ascii="Arial" w:hAnsi="Arial" w:cs="Arial"/>
          <w:sz w:val="24"/>
          <w:szCs w:val="24"/>
        </w:rPr>
        <w:t xml:space="preserve">, a través del memorándum con referencia UAIP.ME.010/2020, </w:t>
      </w:r>
      <w:r w:rsidR="005C2FFB">
        <w:rPr>
          <w:rFonts w:ascii="Arial" w:hAnsi="Arial" w:cs="Arial"/>
          <w:sz w:val="24"/>
          <w:szCs w:val="24"/>
        </w:rPr>
        <w:t xml:space="preserve">y </w:t>
      </w:r>
      <w:r w:rsidR="005C2FFB" w:rsidRPr="005C2FFB">
        <w:rPr>
          <w:rFonts w:ascii="Arial" w:hAnsi="Arial" w:cs="Arial"/>
          <w:sz w:val="24"/>
          <w:szCs w:val="24"/>
        </w:rPr>
        <w:t xml:space="preserve">con el </w:t>
      </w:r>
      <w:r w:rsidR="005C2FFB" w:rsidRPr="005C2FFB">
        <w:rPr>
          <w:rFonts w:ascii="Arial" w:hAnsi="Arial" w:cs="Arial"/>
          <w:b/>
          <w:sz w:val="24"/>
          <w:szCs w:val="24"/>
        </w:rPr>
        <w:t>Departamento de Beneficencia el requerimiento 6</w:t>
      </w:r>
      <w:r w:rsidR="005C2FFB">
        <w:rPr>
          <w:rFonts w:ascii="Arial" w:hAnsi="Arial" w:cs="Arial"/>
          <w:sz w:val="24"/>
          <w:szCs w:val="24"/>
        </w:rPr>
        <w:t xml:space="preserve">, </w:t>
      </w:r>
      <w:r w:rsidR="005C2FFB" w:rsidRPr="005C2FFB">
        <w:rPr>
          <w:rFonts w:ascii="Arial" w:hAnsi="Arial" w:cs="Arial"/>
          <w:sz w:val="24"/>
          <w:szCs w:val="24"/>
        </w:rPr>
        <w:t xml:space="preserve">a través del memorándum con referencia UAIP.ME.007/2020, </w:t>
      </w:r>
      <w:r w:rsidR="005C2FFB">
        <w:rPr>
          <w:rFonts w:ascii="Arial" w:hAnsi="Arial" w:cs="Arial"/>
          <w:sz w:val="24"/>
          <w:szCs w:val="24"/>
        </w:rPr>
        <w:t>ambos</w:t>
      </w:r>
      <w:r w:rsidR="005C2FFB" w:rsidRPr="005C2FFB">
        <w:rPr>
          <w:rFonts w:ascii="Arial" w:hAnsi="Arial" w:cs="Arial"/>
          <w:sz w:val="24"/>
          <w:szCs w:val="24"/>
        </w:rPr>
        <w:t xml:space="preserve"> </w:t>
      </w:r>
      <w:r w:rsidR="00B83285" w:rsidRPr="005C2FFB">
        <w:rPr>
          <w:rFonts w:ascii="Arial" w:hAnsi="Arial" w:cs="Arial"/>
          <w:sz w:val="24"/>
          <w:szCs w:val="24"/>
        </w:rPr>
        <w:t>de</w:t>
      </w:r>
      <w:r w:rsidR="00027808" w:rsidRPr="005C2FFB">
        <w:rPr>
          <w:rFonts w:ascii="Arial" w:hAnsi="Arial" w:cs="Arial"/>
          <w:sz w:val="24"/>
          <w:szCs w:val="24"/>
        </w:rPr>
        <w:t xml:space="preserve"> fecha </w:t>
      </w:r>
      <w:r w:rsidR="005C2FFB">
        <w:rPr>
          <w:rFonts w:ascii="Arial" w:hAnsi="Arial" w:cs="Arial"/>
          <w:sz w:val="24"/>
          <w:szCs w:val="24"/>
        </w:rPr>
        <w:t>veinticuatro</w:t>
      </w:r>
      <w:r w:rsidR="0052486D" w:rsidRPr="005C2FFB">
        <w:rPr>
          <w:rFonts w:ascii="Arial" w:hAnsi="Arial" w:cs="Arial"/>
          <w:sz w:val="24"/>
          <w:szCs w:val="24"/>
        </w:rPr>
        <w:t xml:space="preserve"> de enero</w:t>
      </w:r>
      <w:r w:rsidR="00021F0F" w:rsidRPr="005C2FFB">
        <w:rPr>
          <w:rFonts w:ascii="Arial" w:hAnsi="Arial" w:cs="Arial"/>
          <w:sz w:val="24"/>
          <w:szCs w:val="24"/>
        </w:rPr>
        <w:t xml:space="preserve"> del año dos mil </w:t>
      </w:r>
      <w:r w:rsidR="0052486D" w:rsidRPr="005C2FFB">
        <w:rPr>
          <w:rFonts w:ascii="Arial" w:hAnsi="Arial" w:cs="Arial"/>
          <w:sz w:val="24"/>
          <w:szCs w:val="24"/>
        </w:rPr>
        <w:t xml:space="preserve">veinte, </w:t>
      </w:r>
      <w:r w:rsidRPr="005C2FFB">
        <w:rPr>
          <w:rFonts w:ascii="Arial" w:hAnsi="Arial" w:cs="Arial"/>
          <w:sz w:val="24"/>
          <w:szCs w:val="24"/>
        </w:rPr>
        <w:t xml:space="preserve"> quedando establecida la fecha para la entrega de la</w:t>
      </w:r>
      <w:r w:rsidR="003E406E">
        <w:rPr>
          <w:rFonts w:ascii="Arial" w:hAnsi="Arial" w:cs="Arial"/>
          <w:sz w:val="24"/>
          <w:szCs w:val="24"/>
        </w:rPr>
        <w:t xml:space="preserve"> </w:t>
      </w:r>
      <w:proofErr w:type="spellStart"/>
      <w:r w:rsidR="003E406E">
        <w:rPr>
          <w:rFonts w:ascii="Arial" w:hAnsi="Arial" w:cs="Arial"/>
          <w:sz w:val="24"/>
          <w:szCs w:val="24"/>
        </w:rPr>
        <w:t>informacion</w:t>
      </w:r>
      <w:proofErr w:type="spellEnd"/>
      <w:r w:rsidR="00507265" w:rsidRPr="005C2FFB">
        <w:rPr>
          <w:rFonts w:ascii="Arial" w:hAnsi="Arial" w:cs="Arial"/>
          <w:sz w:val="24"/>
          <w:szCs w:val="24"/>
        </w:rPr>
        <w:t xml:space="preserve"> solicitada el</w:t>
      </w:r>
      <w:r w:rsidRPr="005C2FFB">
        <w:rPr>
          <w:rFonts w:ascii="Arial" w:hAnsi="Arial" w:cs="Arial"/>
          <w:sz w:val="24"/>
          <w:szCs w:val="24"/>
        </w:rPr>
        <w:t xml:space="preserve"> día </w:t>
      </w:r>
      <w:r w:rsidR="005C2FFB">
        <w:rPr>
          <w:rFonts w:ascii="Arial" w:hAnsi="Arial" w:cs="Arial"/>
          <w:sz w:val="24"/>
          <w:szCs w:val="24"/>
        </w:rPr>
        <w:t>27 de enero de 2020</w:t>
      </w:r>
      <w:r w:rsidRPr="005C2FFB">
        <w:rPr>
          <w:rFonts w:ascii="Arial" w:hAnsi="Arial" w:cs="Arial"/>
          <w:sz w:val="24"/>
          <w:szCs w:val="24"/>
        </w:rPr>
        <w:t>.</w:t>
      </w:r>
    </w:p>
    <w:p w:rsidR="00E555F6" w:rsidRDefault="00E555F6" w:rsidP="00E555F6">
      <w:pPr>
        <w:pStyle w:val="Prrafodelista"/>
        <w:widowControl w:val="0"/>
        <w:tabs>
          <w:tab w:val="left" w:pos="1920"/>
          <w:tab w:val="left" w:pos="6340"/>
          <w:tab w:val="left" w:pos="6920"/>
        </w:tabs>
        <w:autoSpaceDE w:val="0"/>
        <w:autoSpaceDN w:val="0"/>
        <w:adjustRightInd w:val="0"/>
        <w:spacing w:after="0"/>
        <w:ind w:left="1080" w:right="62"/>
        <w:jc w:val="both"/>
        <w:rPr>
          <w:rFonts w:ascii="Arial" w:hAnsi="Arial" w:cs="Arial"/>
          <w:sz w:val="24"/>
          <w:szCs w:val="24"/>
        </w:rPr>
      </w:pPr>
    </w:p>
    <w:p w:rsidR="0081387A" w:rsidRDefault="0081387A" w:rsidP="00111F16">
      <w:pPr>
        <w:pStyle w:val="Prrafodelista"/>
        <w:numPr>
          <w:ilvl w:val="0"/>
          <w:numId w:val="18"/>
        </w:numPr>
        <w:spacing w:after="0"/>
        <w:jc w:val="both"/>
        <w:rPr>
          <w:rFonts w:ascii="Arial" w:hAnsi="Arial" w:cs="Arial"/>
          <w:sz w:val="24"/>
          <w:szCs w:val="24"/>
        </w:rPr>
      </w:pPr>
      <w:r>
        <w:rPr>
          <w:rFonts w:ascii="Arial" w:hAnsi="Arial" w:cs="Arial"/>
          <w:sz w:val="24"/>
          <w:szCs w:val="24"/>
        </w:rPr>
        <w:t xml:space="preserve">Que en relación al </w:t>
      </w:r>
      <w:r w:rsidRPr="0081387A">
        <w:rPr>
          <w:rFonts w:ascii="Arial" w:hAnsi="Arial" w:cs="Arial"/>
          <w:b/>
          <w:sz w:val="24"/>
          <w:szCs w:val="24"/>
        </w:rPr>
        <w:t>requerimiento 4</w:t>
      </w:r>
      <w:r>
        <w:rPr>
          <w:rFonts w:ascii="Arial" w:hAnsi="Arial" w:cs="Arial"/>
          <w:sz w:val="24"/>
          <w:szCs w:val="24"/>
        </w:rPr>
        <w:t xml:space="preserve">, que hace referencia a los porcentajes de ventas por emisión de billetes vendidos para el segundo trimestre del año 2019, se le informa al ciudadano que </w:t>
      </w:r>
      <w:r w:rsidR="007844F1" w:rsidRPr="007844F1">
        <w:rPr>
          <w:rFonts w:ascii="Arial" w:hAnsi="Arial" w:cs="Arial"/>
          <w:b/>
          <w:sz w:val="24"/>
          <w:szCs w:val="24"/>
        </w:rPr>
        <w:t>DICHA INFORMACIÓN ESTÁ CLASIFICADA COMO RESERVADA</w:t>
      </w:r>
      <w:r w:rsidRPr="0081387A">
        <w:rPr>
          <w:rFonts w:ascii="Arial" w:hAnsi="Arial" w:cs="Arial"/>
          <w:sz w:val="24"/>
          <w:szCs w:val="24"/>
        </w:rPr>
        <w:t xml:space="preserve">, en base al art. 19 literal g) ya que compromete las estrategias y funciones de la LNB, en relación a la comercialización, publicidad y mercadeo de los productos que tiene la institución; además dicha información se usa constantemente en la toma de decisiones y estrategas de la LNB para políticas, proyectos, procesos y planes que están siendo evaluados, analizados o en proceso de construcción; la calificación de reserva además contempla el literal </w:t>
      </w:r>
      <w:r w:rsidR="003E406E">
        <w:rPr>
          <w:rFonts w:ascii="Arial" w:hAnsi="Arial" w:cs="Arial"/>
          <w:sz w:val="24"/>
          <w:szCs w:val="24"/>
        </w:rPr>
        <w:t xml:space="preserve">     </w:t>
      </w:r>
      <w:r w:rsidRPr="0081387A">
        <w:rPr>
          <w:rFonts w:ascii="Arial" w:hAnsi="Arial" w:cs="Arial"/>
          <w:sz w:val="24"/>
          <w:szCs w:val="24"/>
        </w:rPr>
        <w:t>h)</w:t>
      </w:r>
      <w:r w:rsidR="003E406E">
        <w:rPr>
          <w:rFonts w:ascii="Arial" w:hAnsi="Arial" w:cs="Arial"/>
          <w:sz w:val="24"/>
          <w:szCs w:val="24"/>
        </w:rPr>
        <w:t xml:space="preserve"> </w:t>
      </w:r>
      <w:r w:rsidRPr="0081387A">
        <w:rPr>
          <w:rFonts w:ascii="Arial" w:hAnsi="Arial" w:cs="Arial"/>
          <w:sz w:val="24"/>
          <w:szCs w:val="24"/>
        </w:rPr>
        <w:t>debido a que la información solicitada ‘puede generar una ventaja a una persona en perju</w:t>
      </w:r>
      <w:r w:rsidR="003E406E">
        <w:rPr>
          <w:rFonts w:ascii="Arial" w:hAnsi="Arial" w:cs="Arial"/>
          <w:sz w:val="24"/>
          <w:szCs w:val="24"/>
        </w:rPr>
        <w:t>icio de un tercero, para el caso</w:t>
      </w:r>
      <w:r w:rsidRPr="0081387A">
        <w:rPr>
          <w:rFonts w:ascii="Arial" w:hAnsi="Arial" w:cs="Arial"/>
          <w:sz w:val="24"/>
          <w:szCs w:val="24"/>
        </w:rPr>
        <w:t xml:space="preserve"> en concreto afectaría procesos de compra de bienes y servicios que la Gerencia Comercial pueda realizar tales como</w:t>
      </w:r>
      <w:r w:rsidR="003E406E">
        <w:rPr>
          <w:rFonts w:ascii="Arial" w:hAnsi="Arial" w:cs="Arial"/>
          <w:sz w:val="24"/>
          <w:szCs w:val="24"/>
        </w:rPr>
        <w:t>,</w:t>
      </w:r>
      <w:r w:rsidRPr="0081387A">
        <w:rPr>
          <w:rFonts w:ascii="Arial" w:hAnsi="Arial" w:cs="Arial"/>
          <w:sz w:val="24"/>
          <w:szCs w:val="24"/>
        </w:rPr>
        <w:t xml:space="preserve"> suministro de LOTRA y LOTIN, Servicios de Publicidad, Consultorías, Estudios de Mercado, etc.</w:t>
      </w:r>
      <w:r>
        <w:rPr>
          <w:rFonts w:ascii="Arial" w:hAnsi="Arial" w:cs="Arial"/>
          <w:sz w:val="24"/>
          <w:szCs w:val="24"/>
        </w:rPr>
        <w:t xml:space="preserve">, dicha clasificación puede ser revisada en el estándar de Índice de Información </w:t>
      </w:r>
      <w:r w:rsidR="003E406E">
        <w:rPr>
          <w:rFonts w:ascii="Arial" w:hAnsi="Arial" w:cs="Arial"/>
          <w:sz w:val="24"/>
          <w:szCs w:val="24"/>
        </w:rPr>
        <w:t>R</w:t>
      </w:r>
      <w:r>
        <w:rPr>
          <w:rFonts w:ascii="Arial" w:hAnsi="Arial" w:cs="Arial"/>
          <w:sz w:val="24"/>
          <w:szCs w:val="24"/>
        </w:rPr>
        <w:t>eservada, que se encuentra en el Portal de Transparencia de la LNB</w:t>
      </w:r>
      <w:r>
        <w:rPr>
          <w:rStyle w:val="Refdenotaalpie"/>
          <w:rFonts w:ascii="Arial" w:hAnsi="Arial" w:cs="Arial"/>
          <w:sz w:val="24"/>
          <w:szCs w:val="24"/>
        </w:rPr>
        <w:footnoteReference w:id="1"/>
      </w:r>
    </w:p>
    <w:p w:rsidR="0081387A" w:rsidRPr="009D34B1" w:rsidRDefault="0081387A" w:rsidP="0081387A">
      <w:pPr>
        <w:pStyle w:val="Prrafodelista"/>
        <w:spacing w:after="0"/>
        <w:ind w:left="1080"/>
        <w:jc w:val="both"/>
        <w:rPr>
          <w:rFonts w:ascii="Arial" w:hAnsi="Arial" w:cs="Arial"/>
          <w:sz w:val="24"/>
          <w:szCs w:val="24"/>
        </w:rPr>
      </w:pPr>
    </w:p>
    <w:p w:rsidR="00111F16" w:rsidRDefault="00111F16" w:rsidP="00C747EC">
      <w:pPr>
        <w:pStyle w:val="Prrafodelista"/>
        <w:numPr>
          <w:ilvl w:val="0"/>
          <w:numId w:val="1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Que en relación </w:t>
      </w:r>
      <w:r w:rsidR="003E406E">
        <w:rPr>
          <w:rFonts w:ascii="Arial" w:hAnsi="Arial" w:cs="Arial"/>
          <w:sz w:val="24"/>
          <w:szCs w:val="24"/>
        </w:rPr>
        <w:t>al</w:t>
      </w:r>
      <w:r>
        <w:rPr>
          <w:rFonts w:ascii="Arial" w:hAnsi="Arial" w:cs="Arial"/>
          <w:sz w:val="24"/>
          <w:szCs w:val="24"/>
        </w:rPr>
        <w:t xml:space="preserve"> </w:t>
      </w:r>
      <w:r w:rsidRPr="00FA77ED">
        <w:rPr>
          <w:rFonts w:ascii="Arial" w:hAnsi="Arial" w:cs="Arial"/>
          <w:b/>
          <w:sz w:val="24"/>
          <w:szCs w:val="24"/>
        </w:rPr>
        <w:t>requerimientos 5</w:t>
      </w:r>
      <w:r>
        <w:rPr>
          <w:rFonts w:ascii="Arial" w:hAnsi="Arial" w:cs="Arial"/>
          <w:sz w:val="24"/>
          <w:szCs w:val="24"/>
        </w:rPr>
        <w:t>, sobre la cantidad de asesores que la LNB</w:t>
      </w:r>
      <w:r w:rsidR="008E77FE">
        <w:rPr>
          <w:rFonts w:ascii="Arial" w:hAnsi="Arial" w:cs="Arial"/>
          <w:sz w:val="24"/>
          <w:szCs w:val="24"/>
        </w:rPr>
        <w:t xml:space="preserve"> tuvo durante el año 2019, </w:t>
      </w:r>
      <w:r w:rsidR="00FA77ED" w:rsidRPr="00FA77ED">
        <w:rPr>
          <w:rFonts w:ascii="Arial" w:hAnsi="Arial" w:cs="Arial"/>
          <w:b/>
          <w:sz w:val="24"/>
          <w:szCs w:val="24"/>
        </w:rPr>
        <w:t>requerimiento 7</w:t>
      </w:r>
      <w:r w:rsidR="00FA77ED">
        <w:rPr>
          <w:rFonts w:ascii="Arial" w:hAnsi="Arial" w:cs="Arial"/>
          <w:sz w:val="24"/>
          <w:szCs w:val="24"/>
        </w:rPr>
        <w:t xml:space="preserve">, sobre el monto de venta del año 2019 y </w:t>
      </w:r>
      <w:r w:rsidR="00FA77ED" w:rsidRPr="00FA77ED">
        <w:rPr>
          <w:rFonts w:ascii="Arial" w:hAnsi="Arial" w:cs="Arial"/>
          <w:b/>
          <w:sz w:val="24"/>
          <w:szCs w:val="24"/>
        </w:rPr>
        <w:t>requerimiento 8</w:t>
      </w:r>
      <w:r w:rsidR="00FA77ED">
        <w:rPr>
          <w:rFonts w:ascii="Arial" w:hAnsi="Arial" w:cs="Arial"/>
          <w:b/>
          <w:sz w:val="24"/>
          <w:szCs w:val="24"/>
        </w:rPr>
        <w:t>,</w:t>
      </w:r>
      <w:r w:rsidR="00FA77ED">
        <w:rPr>
          <w:rFonts w:ascii="Arial" w:hAnsi="Arial" w:cs="Arial"/>
          <w:sz w:val="24"/>
          <w:szCs w:val="24"/>
        </w:rPr>
        <w:t xml:space="preserve"> sobre pérdidas y ganancias del año 2019, </w:t>
      </w:r>
      <w:r w:rsidR="008E77FE">
        <w:rPr>
          <w:rFonts w:ascii="Arial" w:hAnsi="Arial" w:cs="Arial"/>
          <w:sz w:val="24"/>
          <w:szCs w:val="24"/>
        </w:rPr>
        <w:t>se observa</w:t>
      </w:r>
      <w:r w:rsidR="003E406E">
        <w:rPr>
          <w:rFonts w:ascii="Arial" w:hAnsi="Arial" w:cs="Arial"/>
          <w:sz w:val="24"/>
          <w:szCs w:val="24"/>
        </w:rPr>
        <w:t>,</w:t>
      </w:r>
      <w:r w:rsidR="008E77FE">
        <w:rPr>
          <w:rFonts w:ascii="Arial" w:hAnsi="Arial" w:cs="Arial"/>
          <w:sz w:val="24"/>
          <w:szCs w:val="24"/>
        </w:rPr>
        <w:t xml:space="preserve"> que </w:t>
      </w:r>
      <w:r w:rsidR="00FA77ED" w:rsidRPr="00FA77ED">
        <w:rPr>
          <w:rFonts w:ascii="Arial" w:hAnsi="Arial" w:cs="Arial"/>
          <w:sz w:val="24"/>
          <w:szCs w:val="24"/>
          <w:u w:val="single"/>
        </w:rPr>
        <w:t>dicha</w:t>
      </w:r>
      <w:r w:rsidR="008E77FE" w:rsidRPr="00FA77ED">
        <w:rPr>
          <w:rFonts w:ascii="Arial" w:hAnsi="Arial" w:cs="Arial"/>
          <w:sz w:val="24"/>
          <w:szCs w:val="24"/>
          <w:u w:val="single"/>
        </w:rPr>
        <w:t xml:space="preserve"> información es oficiosa</w:t>
      </w:r>
      <w:r w:rsidR="00FA77ED">
        <w:rPr>
          <w:rFonts w:ascii="Arial" w:hAnsi="Arial" w:cs="Arial"/>
          <w:sz w:val="24"/>
          <w:szCs w:val="24"/>
        </w:rPr>
        <w:t>,</w:t>
      </w:r>
      <w:r w:rsidR="008E77FE">
        <w:rPr>
          <w:rFonts w:ascii="Arial" w:hAnsi="Arial" w:cs="Arial"/>
          <w:sz w:val="24"/>
          <w:szCs w:val="24"/>
        </w:rPr>
        <w:t xml:space="preserve"> y en atención al artículo 62 inciso 2</w:t>
      </w:r>
      <w:r w:rsidR="003E406E">
        <w:rPr>
          <w:rFonts w:ascii="Arial" w:hAnsi="Arial" w:cs="Arial"/>
          <w:sz w:val="24"/>
          <w:szCs w:val="24"/>
        </w:rPr>
        <w:t>º</w:t>
      </w:r>
      <w:r w:rsidR="008E77FE">
        <w:rPr>
          <w:rFonts w:ascii="Arial" w:hAnsi="Arial" w:cs="Arial"/>
          <w:sz w:val="24"/>
          <w:szCs w:val="24"/>
        </w:rPr>
        <w:t xml:space="preserve"> de la Ley de Acceso a la Información </w:t>
      </w:r>
      <w:r w:rsidR="00FA77ED">
        <w:rPr>
          <w:rFonts w:ascii="Arial" w:hAnsi="Arial" w:cs="Arial"/>
          <w:sz w:val="24"/>
          <w:szCs w:val="24"/>
        </w:rPr>
        <w:t>Pública</w:t>
      </w:r>
      <w:r w:rsidR="008E77FE">
        <w:rPr>
          <w:rFonts w:ascii="Arial" w:hAnsi="Arial" w:cs="Arial"/>
          <w:sz w:val="24"/>
          <w:szCs w:val="24"/>
        </w:rPr>
        <w:t xml:space="preserve">, </w:t>
      </w:r>
      <w:r w:rsidR="00FA77ED">
        <w:rPr>
          <w:rFonts w:ascii="Arial" w:hAnsi="Arial" w:cs="Arial"/>
          <w:sz w:val="24"/>
          <w:szCs w:val="24"/>
        </w:rPr>
        <w:t xml:space="preserve">se le indica al ciudadano, </w:t>
      </w:r>
      <w:r w:rsidR="008E77FE">
        <w:rPr>
          <w:rFonts w:ascii="Arial" w:hAnsi="Arial" w:cs="Arial"/>
          <w:sz w:val="24"/>
          <w:szCs w:val="24"/>
        </w:rPr>
        <w:t>que la misma puede ser encontrada desde el Portal de Transparencia de la LNB</w:t>
      </w:r>
      <w:r w:rsidR="00FA77ED">
        <w:rPr>
          <w:rFonts w:ascii="Arial" w:hAnsi="Arial" w:cs="Arial"/>
          <w:sz w:val="24"/>
          <w:szCs w:val="24"/>
        </w:rPr>
        <w:t>,</w:t>
      </w:r>
      <w:r w:rsidR="008E77FE">
        <w:rPr>
          <w:rFonts w:ascii="Arial" w:hAnsi="Arial" w:cs="Arial"/>
          <w:sz w:val="24"/>
          <w:szCs w:val="24"/>
        </w:rPr>
        <w:t xml:space="preserve"> en los estándares de información</w:t>
      </w:r>
      <w:r w:rsidR="00FA77ED">
        <w:rPr>
          <w:rFonts w:ascii="Arial" w:hAnsi="Arial" w:cs="Arial"/>
          <w:sz w:val="24"/>
          <w:szCs w:val="24"/>
        </w:rPr>
        <w:t xml:space="preserve">: </w:t>
      </w:r>
      <w:r w:rsidR="008E77FE">
        <w:rPr>
          <w:rFonts w:ascii="Arial" w:hAnsi="Arial" w:cs="Arial"/>
          <w:sz w:val="24"/>
          <w:szCs w:val="24"/>
        </w:rPr>
        <w:t xml:space="preserve"> “</w:t>
      </w:r>
      <w:r w:rsidR="008E77FE" w:rsidRPr="008E77FE">
        <w:rPr>
          <w:rFonts w:ascii="Arial" w:hAnsi="Arial" w:cs="Arial"/>
          <w:b/>
          <w:sz w:val="24"/>
          <w:szCs w:val="24"/>
        </w:rPr>
        <w:t xml:space="preserve">Listado </w:t>
      </w:r>
      <w:r w:rsidR="008E77FE" w:rsidRPr="008E77FE">
        <w:rPr>
          <w:rFonts w:ascii="Arial" w:hAnsi="Arial" w:cs="Arial"/>
          <w:b/>
          <w:sz w:val="24"/>
          <w:szCs w:val="24"/>
        </w:rPr>
        <w:lastRenderedPageBreak/>
        <w:t>de Asesores</w:t>
      </w:r>
      <w:r w:rsidR="008E77FE">
        <w:rPr>
          <w:rStyle w:val="Refdenotaalpie"/>
          <w:rFonts w:ascii="Arial" w:hAnsi="Arial" w:cs="Arial"/>
          <w:sz w:val="24"/>
          <w:szCs w:val="24"/>
        </w:rPr>
        <w:footnoteReference w:id="2"/>
      </w:r>
      <w:r w:rsidR="008E77FE">
        <w:rPr>
          <w:rFonts w:ascii="Arial" w:hAnsi="Arial" w:cs="Arial"/>
          <w:sz w:val="24"/>
          <w:szCs w:val="24"/>
        </w:rPr>
        <w:t xml:space="preserve">”, donde se </w:t>
      </w:r>
      <w:r w:rsidR="00FA77ED">
        <w:rPr>
          <w:rFonts w:ascii="Arial" w:hAnsi="Arial" w:cs="Arial"/>
          <w:sz w:val="24"/>
          <w:szCs w:val="24"/>
        </w:rPr>
        <w:t>encuentran</w:t>
      </w:r>
      <w:r w:rsidR="008E77FE">
        <w:rPr>
          <w:rFonts w:ascii="Arial" w:hAnsi="Arial" w:cs="Arial"/>
          <w:sz w:val="24"/>
          <w:szCs w:val="24"/>
        </w:rPr>
        <w:t xml:space="preserve"> los asesores que la LNB posee, y además en el estándar de “</w:t>
      </w:r>
      <w:r w:rsidR="008E77FE" w:rsidRPr="008E77FE">
        <w:rPr>
          <w:rFonts w:ascii="Arial" w:hAnsi="Arial" w:cs="Arial"/>
          <w:b/>
          <w:sz w:val="24"/>
          <w:szCs w:val="24"/>
        </w:rPr>
        <w:t>Directorio de Funcionarios</w:t>
      </w:r>
      <w:r w:rsidR="008E77FE">
        <w:rPr>
          <w:rStyle w:val="Refdenotaalpie"/>
          <w:rFonts w:ascii="Arial" w:hAnsi="Arial" w:cs="Arial"/>
          <w:b/>
          <w:sz w:val="24"/>
          <w:szCs w:val="24"/>
        </w:rPr>
        <w:footnoteReference w:id="3"/>
      </w:r>
      <w:r w:rsidR="008E77FE">
        <w:rPr>
          <w:rFonts w:ascii="Arial" w:hAnsi="Arial" w:cs="Arial"/>
          <w:sz w:val="24"/>
          <w:szCs w:val="24"/>
        </w:rPr>
        <w:t>”, se puede descargar el cuadro que contiene el desglose de los funcionarios nombrados y contratados para el año 2019, entre ellos</w:t>
      </w:r>
      <w:r w:rsidR="003E406E">
        <w:rPr>
          <w:rFonts w:ascii="Arial" w:hAnsi="Arial" w:cs="Arial"/>
          <w:sz w:val="24"/>
          <w:szCs w:val="24"/>
        </w:rPr>
        <w:t>,</w:t>
      </w:r>
      <w:r w:rsidR="008E77FE">
        <w:rPr>
          <w:rFonts w:ascii="Arial" w:hAnsi="Arial" w:cs="Arial"/>
          <w:sz w:val="24"/>
          <w:szCs w:val="24"/>
        </w:rPr>
        <w:t xml:space="preserve"> los as</w:t>
      </w:r>
      <w:r w:rsidR="00FA77ED">
        <w:rPr>
          <w:rFonts w:ascii="Arial" w:hAnsi="Arial" w:cs="Arial"/>
          <w:sz w:val="24"/>
          <w:szCs w:val="24"/>
        </w:rPr>
        <w:t>esores; “</w:t>
      </w:r>
      <w:r w:rsidR="00FA77ED" w:rsidRPr="00FA77ED">
        <w:rPr>
          <w:rFonts w:ascii="Arial" w:hAnsi="Arial" w:cs="Arial"/>
          <w:b/>
          <w:sz w:val="24"/>
          <w:szCs w:val="24"/>
        </w:rPr>
        <w:t>Estadísticas</w:t>
      </w:r>
      <w:r w:rsidR="00FA77ED" w:rsidRPr="00FA77ED">
        <w:rPr>
          <w:rStyle w:val="Refdenotaalpie"/>
          <w:rFonts w:ascii="Arial" w:hAnsi="Arial" w:cs="Arial"/>
          <w:b/>
          <w:sz w:val="24"/>
          <w:szCs w:val="24"/>
        </w:rPr>
        <w:footnoteReference w:id="4"/>
      </w:r>
      <w:r w:rsidR="00FA77ED" w:rsidRPr="00FA77ED">
        <w:rPr>
          <w:rFonts w:ascii="Arial" w:hAnsi="Arial" w:cs="Arial"/>
          <w:b/>
          <w:sz w:val="24"/>
          <w:szCs w:val="24"/>
        </w:rPr>
        <w:t>”,</w:t>
      </w:r>
      <w:r w:rsidR="003E406E">
        <w:rPr>
          <w:rFonts w:ascii="Arial" w:hAnsi="Arial" w:cs="Arial"/>
          <w:sz w:val="24"/>
          <w:szCs w:val="24"/>
        </w:rPr>
        <w:t xml:space="preserve"> donde encontrara</w:t>
      </w:r>
      <w:r w:rsidR="00FA77ED">
        <w:rPr>
          <w:rFonts w:ascii="Arial" w:hAnsi="Arial" w:cs="Arial"/>
          <w:sz w:val="24"/>
          <w:szCs w:val="24"/>
        </w:rPr>
        <w:t xml:space="preserve"> el detalle de porcentaje de ventas por producto LOTRA y LOTIN para el año 2019, segmentado y detallado por mes; y “</w:t>
      </w:r>
      <w:r w:rsidR="00FA77ED" w:rsidRPr="00FA77ED">
        <w:rPr>
          <w:rFonts w:ascii="Arial" w:hAnsi="Arial" w:cs="Arial"/>
          <w:b/>
          <w:sz w:val="24"/>
          <w:szCs w:val="24"/>
        </w:rPr>
        <w:t>Estados Financiero</w:t>
      </w:r>
      <w:r w:rsidR="00FA77ED">
        <w:rPr>
          <w:rStyle w:val="Refdenotaalpie"/>
          <w:rFonts w:ascii="Arial" w:hAnsi="Arial" w:cs="Arial"/>
          <w:b/>
          <w:sz w:val="24"/>
          <w:szCs w:val="24"/>
        </w:rPr>
        <w:footnoteReference w:id="5"/>
      </w:r>
      <w:r w:rsidR="00FA77ED">
        <w:rPr>
          <w:rFonts w:ascii="Arial" w:hAnsi="Arial" w:cs="Arial"/>
          <w:sz w:val="24"/>
          <w:szCs w:val="24"/>
        </w:rPr>
        <w:t>“, donde podrá encontrar todos los detalles y especificaciones relacionadas a la situación financiera de la LNB, entre ellas las pérdidas y ganancias para el año 2019.</w:t>
      </w:r>
    </w:p>
    <w:p w:rsidR="00FA77ED" w:rsidRDefault="00FA77ED" w:rsidP="00FA77ED">
      <w:pPr>
        <w:pStyle w:val="Prrafodelista"/>
        <w:autoSpaceDE w:val="0"/>
        <w:autoSpaceDN w:val="0"/>
        <w:adjustRightInd w:val="0"/>
        <w:spacing w:after="0" w:line="240" w:lineRule="auto"/>
        <w:ind w:left="1080"/>
        <w:jc w:val="both"/>
        <w:rPr>
          <w:rFonts w:ascii="Arial" w:hAnsi="Arial" w:cs="Arial"/>
          <w:sz w:val="24"/>
          <w:szCs w:val="24"/>
        </w:rPr>
      </w:pPr>
    </w:p>
    <w:p w:rsidR="005C2FFB" w:rsidRDefault="008B5FE4" w:rsidP="008A19AE">
      <w:pPr>
        <w:pStyle w:val="Prrafodelista"/>
        <w:numPr>
          <w:ilvl w:val="0"/>
          <w:numId w:val="18"/>
        </w:numPr>
        <w:autoSpaceDE w:val="0"/>
        <w:autoSpaceDN w:val="0"/>
        <w:adjustRightInd w:val="0"/>
        <w:spacing w:after="0" w:line="240" w:lineRule="auto"/>
        <w:jc w:val="both"/>
        <w:rPr>
          <w:rFonts w:ascii="Arial" w:hAnsi="Arial" w:cs="Arial"/>
          <w:sz w:val="24"/>
          <w:szCs w:val="24"/>
        </w:rPr>
      </w:pPr>
      <w:r w:rsidRPr="005C2FFB">
        <w:rPr>
          <w:rFonts w:ascii="Arial" w:hAnsi="Arial" w:cs="Arial"/>
          <w:sz w:val="24"/>
          <w:szCs w:val="24"/>
        </w:rPr>
        <w:t xml:space="preserve">Que a </w:t>
      </w:r>
      <w:r w:rsidR="00E555F6" w:rsidRPr="005C2FFB">
        <w:rPr>
          <w:rFonts w:ascii="Arial" w:hAnsi="Arial" w:cs="Arial"/>
          <w:sz w:val="24"/>
          <w:szCs w:val="24"/>
        </w:rPr>
        <w:t>través del</w:t>
      </w:r>
      <w:r w:rsidRPr="005C2FFB">
        <w:rPr>
          <w:rFonts w:ascii="Arial" w:hAnsi="Arial" w:cs="Arial"/>
          <w:sz w:val="24"/>
          <w:szCs w:val="24"/>
        </w:rPr>
        <w:t xml:space="preserve"> memorándum </w:t>
      </w:r>
      <w:r w:rsidR="00FA77ED">
        <w:rPr>
          <w:rFonts w:ascii="Arial" w:hAnsi="Arial" w:cs="Arial"/>
          <w:sz w:val="24"/>
          <w:szCs w:val="24"/>
        </w:rPr>
        <w:t xml:space="preserve">URH-ME-052/2020, </w:t>
      </w:r>
      <w:r w:rsidRPr="005C2FFB">
        <w:rPr>
          <w:rFonts w:ascii="Arial" w:hAnsi="Arial" w:cs="Arial"/>
          <w:sz w:val="24"/>
          <w:szCs w:val="24"/>
        </w:rPr>
        <w:t xml:space="preserve">de fecha </w:t>
      </w:r>
      <w:r w:rsidR="00FA77ED">
        <w:rPr>
          <w:rFonts w:ascii="Arial" w:hAnsi="Arial" w:cs="Arial"/>
          <w:sz w:val="24"/>
          <w:szCs w:val="24"/>
        </w:rPr>
        <w:t>2</w:t>
      </w:r>
      <w:r w:rsidRPr="005C2FFB">
        <w:rPr>
          <w:rFonts w:ascii="Arial" w:hAnsi="Arial" w:cs="Arial"/>
          <w:sz w:val="24"/>
          <w:szCs w:val="24"/>
        </w:rPr>
        <w:t xml:space="preserve">3 de </w:t>
      </w:r>
      <w:r w:rsidR="00FA77ED">
        <w:rPr>
          <w:rFonts w:ascii="Arial" w:hAnsi="Arial" w:cs="Arial"/>
          <w:sz w:val="24"/>
          <w:szCs w:val="24"/>
        </w:rPr>
        <w:t>enero de 2020</w:t>
      </w:r>
      <w:r w:rsidR="00E555F6" w:rsidRPr="005C2FFB">
        <w:rPr>
          <w:rFonts w:ascii="Arial" w:hAnsi="Arial" w:cs="Arial"/>
          <w:sz w:val="24"/>
          <w:szCs w:val="24"/>
        </w:rPr>
        <w:t>,</w:t>
      </w:r>
      <w:r w:rsidR="00FA77ED">
        <w:rPr>
          <w:rFonts w:ascii="Arial" w:hAnsi="Arial" w:cs="Arial"/>
          <w:sz w:val="24"/>
          <w:szCs w:val="24"/>
        </w:rPr>
        <w:t xml:space="preserve"> el Jefe de Recursos Humanos</w:t>
      </w:r>
      <w:r w:rsidR="008A19AE">
        <w:rPr>
          <w:rFonts w:ascii="Arial" w:hAnsi="Arial" w:cs="Arial"/>
          <w:sz w:val="24"/>
          <w:szCs w:val="24"/>
        </w:rPr>
        <w:t xml:space="preserve">, dio respuesta al </w:t>
      </w:r>
      <w:r w:rsidR="008A19AE" w:rsidRPr="008A19AE">
        <w:rPr>
          <w:rFonts w:ascii="Arial" w:hAnsi="Arial" w:cs="Arial"/>
          <w:b/>
          <w:sz w:val="24"/>
          <w:szCs w:val="24"/>
        </w:rPr>
        <w:t>requerimiento 1</w:t>
      </w:r>
      <w:r w:rsidR="008A19AE">
        <w:rPr>
          <w:rFonts w:ascii="Arial" w:hAnsi="Arial" w:cs="Arial"/>
          <w:sz w:val="24"/>
          <w:szCs w:val="24"/>
        </w:rPr>
        <w:t>, manifestando que fueron 23 empleados los que se acogieron a la Política de Beneficio por Retiro Voluntario, dicha política puede ser consultada en el Portal de Transparencia de la LNB, en el estándar de información “</w:t>
      </w:r>
      <w:r w:rsidR="008A19AE" w:rsidRPr="00635D48">
        <w:rPr>
          <w:rFonts w:ascii="Arial" w:hAnsi="Arial" w:cs="Arial"/>
          <w:b/>
          <w:sz w:val="24"/>
          <w:szCs w:val="24"/>
        </w:rPr>
        <w:t>Otros documentos normativos</w:t>
      </w:r>
      <w:r w:rsidR="00635D48">
        <w:rPr>
          <w:rStyle w:val="Refdenotaalpie"/>
          <w:rFonts w:ascii="Arial" w:hAnsi="Arial" w:cs="Arial"/>
          <w:sz w:val="24"/>
          <w:szCs w:val="24"/>
        </w:rPr>
        <w:footnoteReference w:id="6"/>
      </w:r>
      <w:r w:rsidR="008A19AE">
        <w:rPr>
          <w:rFonts w:ascii="Arial" w:hAnsi="Arial" w:cs="Arial"/>
          <w:sz w:val="24"/>
          <w:szCs w:val="24"/>
        </w:rPr>
        <w:t xml:space="preserve">”; en relación al </w:t>
      </w:r>
      <w:r w:rsidR="008A19AE" w:rsidRPr="008A19AE">
        <w:rPr>
          <w:rFonts w:ascii="Arial" w:hAnsi="Arial" w:cs="Arial"/>
          <w:b/>
          <w:sz w:val="24"/>
          <w:szCs w:val="24"/>
        </w:rPr>
        <w:t>requerimiento 2</w:t>
      </w:r>
      <w:r w:rsidR="008A19AE">
        <w:rPr>
          <w:rFonts w:ascii="Arial" w:hAnsi="Arial" w:cs="Arial"/>
          <w:sz w:val="24"/>
          <w:szCs w:val="24"/>
        </w:rPr>
        <w:t xml:space="preserve"> la Unidad de Asesoría Jurídica, manifiesto en su memorándum UAJ.ME.009/2020, de fecha 23 de enero de 2020, que la información relacionada a la forma y condiciones en que se realizó el convenio de retiro voluntario, es de acuerdo al artículo 73 de la de la Ley de Acceso a la Información Pública, información inexistente</w:t>
      </w:r>
      <w:r w:rsidR="00635D48">
        <w:rPr>
          <w:rFonts w:ascii="Arial" w:hAnsi="Arial" w:cs="Arial"/>
          <w:sz w:val="24"/>
          <w:szCs w:val="24"/>
        </w:rPr>
        <w:t xml:space="preserve">. </w:t>
      </w:r>
    </w:p>
    <w:p w:rsidR="00635D48" w:rsidRPr="00635D48" w:rsidRDefault="00635D48" w:rsidP="00635D48">
      <w:pPr>
        <w:pStyle w:val="Prrafodelista"/>
        <w:rPr>
          <w:rFonts w:ascii="Arial" w:hAnsi="Arial" w:cs="Arial"/>
          <w:sz w:val="24"/>
          <w:szCs w:val="24"/>
        </w:rPr>
      </w:pPr>
    </w:p>
    <w:p w:rsidR="00635D48" w:rsidRPr="00CE6C6A" w:rsidRDefault="00635D48" w:rsidP="0055419D">
      <w:pPr>
        <w:pStyle w:val="Prrafodelista"/>
        <w:numPr>
          <w:ilvl w:val="0"/>
          <w:numId w:val="18"/>
        </w:numPr>
        <w:autoSpaceDE w:val="0"/>
        <w:autoSpaceDN w:val="0"/>
        <w:adjustRightInd w:val="0"/>
        <w:spacing w:after="0" w:line="240" w:lineRule="auto"/>
        <w:jc w:val="both"/>
        <w:rPr>
          <w:rFonts w:ascii="Arial" w:hAnsi="Arial" w:cs="Arial"/>
          <w:sz w:val="24"/>
          <w:szCs w:val="24"/>
        </w:rPr>
      </w:pPr>
      <w:r w:rsidRPr="00635D48">
        <w:rPr>
          <w:rFonts w:ascii="Arial" w:hAnsi="Arial" w:cs="Arial"/>
          <w:sz w:val="24"/>
          <w:szCs w:val="24"/>
        </w:rPr>
        <w:t xml:space="preserve">Que según </w:t>
      </w:r>
      <w:r w:rsidRPr="00CE6C6A">
        <w:rPr>
          <w:rFonts w:ascii="Arial" w:hAnsi="Arial" w:cs="Arial"/>
          <w:sz w:val="24"/>
          <w:szCs w:val="24"/>
        </w:rPr>
        <w:t>memorándum GC-</w:t>
      </w:r>
      <w:r w:rsidR="00CE6C6A" w:rsidRPr="00CE6C6A">
        <w:rPr>
          <w:rFonts w:ascii="Arial" w:hAnsi="Arial" w:cs="Arial"/>
          <w:sz w:val="24"/>
          <w:szCs w:val="24"/>
        </w:rPr>
        <w:t>ME-023</w:t>
      </w:r>
      <w:r w:rsidRPr="00CE6C6A">
        <w:rPr>
          <w:rFonts w:ascii="Arial" w:hAnsi="Arial" w:cs="Arial"/>
          <w:sz w:val="24"/>
          <w:szCs w:val="24"/>
        </w:rPr>
        <w:t xml:space="preserve">/2020, de fecha 27 de enero de los corrientes, la Gerencia Comercial, dio respuesta al </w:t>
      </w:r>
      <w:r w:rsidRPr="00CE6C6A">
        <w:rPr>
          <w:rFonts w:ascii="Arial" w:hAnsi="Arial" w:cs="Arial"/>
          <w:b/>
          <w:sz w:val="24"/>
          <w:szCs w:val="24"/>
        </w:rPr>
        <w:t>requerimiento 3</w:t>
      </w:r>
      <w:r w:rsidRPr="00CE6C6A">
        <w:rPr>
          <w:rFonts w:ascii="Arial" w:hAnsi="Arial" w:cs="Arial"/>
          <w:sz w:val="24"/>
          <w:szCs w:val="24"/>
        </w:rPr>
        <w:t xml:space="preserve">, informando que actualmente la LNB posee </w:t>
      </w:r>
      <w:r w:rsidR="00CE6C6A" w:rsidRPr="00CE6C6A">
        <w:rPr>
          <w:rFonts w:ascii="Arial" w:hAnsi="Arial" w:cs="Arial"/>
          <w:sz w:val="24"/>
          <w:szCs w:val="24"/>
        </w:rPr>
        <w:t>904</w:t>
      </w:r>
      <w:r w:rsidR="00CE6C6A">
        <w:rPr>
          <w:rFonts w:ascii="Arial" w:hAnsi="Arial" w:cs="Arial"/>
          <w:sz w:val="24"/>
          <w:szCs w:val="24"/>
        </w:rPr>
        <w:t xml:space="preserve"> agentes vendedores inscritos y activos</w:t>
      </w:r>
      <w:r w:rsidR="0055419D">
        <w:rPr>
          <w:rFonts w:ascii="Arial" w:hAnsi="Arial" w:cs="Arial"/>
          <w:sz w:val="24"/>
          <w:szCs w:val="24"/>
        </w:rPr>
        <w:t>, mediante la nota bajo referencia DB-NI-001/AÑO2020, de fecha 27 de enero de 2020, del Departamento de B</w:t>
      </w:r>
      <w:r w:rsidR="00945A61">
        <w:rPr>
          <w:rFonts w:ascii="Arial" w:hAnsi="Arial" w:cs="Arial"/>
          <w:sz w:val="24"/>
          <w:szCs w:val="24"/>
        </w:rPr>
        <w:t>eneficencia da</w:t>
      </w:r>
      <w:r w:rsidR="0055419D">
        <w:rPr>
          <w:rFonts w:ascii="Arial" w:hAnsi="Arial" w:cs="Arial"/>
          <w:sz w:val="24"/>
          <w:szCs w:val="24"/>
        </w:rPr>
        <w:t xml:space="preserve"> respuesta al </w:t>
      </w:r>
      <w:r w:rsidR="0055419D" w:rsidRPr="0055419D">
        <w:rPr>
          <w:rFonts w:ascii="Arial" w:hAnsi="Arial" w:cs="Arial"/>
          <w:b/>
          <w:sz w:val="24"/>
          <w:szCs w:val="24"/>
        </w:rPr>
        <w:t>requerimiento 6</w:t>
      </w:r>
      <w:r w:rsidR="0055419D">
        <w:rPr>
          <w:rFonts w:ascii="Arial" w:hAnsi="Arial" w:cs="Arial"/>
          <w:sz w:val="24"/>
          <w:szCs w:val="24"/>
        </w:rPr>
        <w:t xml:space="preserve"> relacionado al monto aplicado en el año 2019 a la beneficencia, el</w:t>
      </w:r>
      <w:r w:rsidR="0055419D" w:rsidRPr="0055419D">
        <w:rPr>
          <w:rFonts w:ascii="Arial" w:hAnsi="Arial" w:cs="Arial"/>
          <w:sz w:val="24"/>
          <w:szCs w:val="24"/>
        </w:rPr>
        <w:t xml:space="preserve"> desglose y detalle de la información solicitada </w:t>
      </w:r>
      <w:r w:rsidR="0055419D">
        <w:rPr>
          <w:rFonts w:ascii="Arial" w:hAnsi="Arial" w:cs="Arial"/>
          <w:sz w:val="24"/>
          <w:szCs w:val="24"/>
        </w:rPr>
        <w:t>para el requerimiento 6</w:t>
      </w:r>
      <w:r w:rsidR="0055419D" w:rsidRPr="0055419D">
        <w:rPr>
          <w:rFonts w:ascii="Arial" w:hAnsi="Arial" w:cs="Arial"/>
          <w:sz w:val="24"/>
          <w:szCs w:val="24"/>
        </w:rPr>
        <w:t>, se entrega en original en un documento anexo a esta resolución</w:t>
      </w:r>
      <w:r w:rsidR="0055419D">
        <w:rPr>
          <w:rFonts w:ascii="Arial" w:hAnsi="Arial" w:cs="Arial"/>
          <w:sz w:val="24"/>
          <w:szCs w:val="24"/>
        </w:rPr>
        <w:t>.</w:t>
      </w:r>
    </w:p>
    <w:p w:rsidR="001F3F82" w:rsidRDefault="001F3F82" w:rsidP="001F3F82">
      <w:pPr>
        <w:spacing w:after="0"/>
        <w:jc w:val="both"/>
        <w:rPr>
          <w:rFonts w:ascii="Arial" w:hAnsi="Arial" w:cs="Arial"/>
          <w:sz w:val="24"/>
          <w:szCs w:val="24"/>
          <w:lang w:eastAsia="en-US"/>
        </w:rPr>
      </w:pPr>
    </w:p>
    <w:p w:rsidR="00327EC6" w:rsidRDefault="00327EC6" w:rsidP="001F3F82">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97303D">
        <w:rPr>
          <w:rFonts w:ascii="Arial" w:hAnsi="Arial" w:cs="Arial"/>
          <w:b/>
          <w:sz w:val="24"/>
          <w:szCs w:val="24"/>
        </w:rPr>
        <w:t>///////////////////////////</w:t>
      </w:r>
      <w:r w:rsidR="00AB7707">
        <w:rPr>
          <w:rFonts w:ascii="Arial" w:hAnsi="Arial" w:cs="Arial"/>
          <w:b/>
          <w:sz w:val="24"/>
          <w:szCs w:val="24"/>
        </w:rPr>
        <w:t>,</w:t>
      </w:r>
      <w:r w:rsidRPr="00BC703E">
        <w:rPr>
          <w:rFonts w:ascii="Arial" w:hAnsi="Arial" w:cs="Arial"/>
          <w:sz w:val="24"/>
          <w:szCs w:val="24"/>
        </w:rPr>
        <w:t xml:space="preserve"> en cumplimiento con lo regulado en los artículos 2, 3 literal “a”, </w:t>
      </w:r>
      <w:r w:rsidRPr="00BC703E">
        <w:rPr>
          <w:rFonts w:ascii="Arial" w:hAnsi="Arial" w:cs="Arial"/>
          <w:sz w:val="24"/>
          <w:szCs w:val="24"/>
        </w:rPr>
        <w:lastRenderedPageBreak/>
        <w:t xml:space="preserve">62, 66, 71 y 72 de la Ley de Acceso a la Información Pública y art. 56, 57 y 58 del Reglamento de la Ley de Acceso a la </w:t>
      </w:r>
      <w:r w:rsidR="00C93478"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9607A6" w:rsidRDefault="009607A6" w:rsidP="001F3F82">
      <w:pPr>
        <w:spacing w:after="0"/>
        <w:jc w:val="both"/>
        <w:rPr>
          <w:rFonts w:ascii="Arial" w:hAnsi="Arial" w:cs="Arial"/>
          <w:b/>
          <w:sz w:val="24"/>
          <w:szCs w:val="24"/>
        </w:rPr>
      </w:pPr>
    </w:p>
    <w:p w:rsidR="009607A6" w:rsidRDefault="009607A6" w:rsidP="001F3F82">
      <w:pPr>
        <w:spacing w:after="0"/>
        <w:jc w:val="both"/>
        <w:rPr>
          <w:rFonts w:ascii="Arial" w:hAnsi="Arial" w:cs="Arial"/>
          <w:b/>
          <w:sz w:val="24"/>
          <w:szCs w:val="24"/>
        </w:rPr>
      </w:pPr>
    </w:p>
    <w:p w:rsidR="007844F1" w:rsidRDefault="007844F1" w:rsidP="007844F1">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CONCED</w:t>
      </w:r>
      <w:r w:rsidR="00180A59">
        <w:rPr>
          <w:rFonts w:ascii="Arial" w:hAnsi="Arial" w:cs="Arial"/>
          <w:b/>
          <w:sz w:val="24"/>
          <w:szCs w:val="24"/>
        </w:rPr>
        <w:t>ER PARCIALMENTE</w:t>
      </w:r>
      <w:r w:rsidRPr="00BC703E">
        <w:rPr>
          <w:rFonts w:ascii="Arial" w:hAnsi="Arial" w:cs="Arial"/>
          <w:b/>
          <w:sz w:val="24"/>
          <w:szCs w:val="24"/>
        </w:rPr>
        <w:t xml:space="preserve">, </w:t>
      </w:r>
      <w:r w:rsidRPr="00BC703E">
        <w:rPr>
          <w:rFonts w:ascii="Arial" w:hAnsi="Arial" w:cs="Arial"/>
          <w:sz w:val="24"/>
          <w:szCs w:val="24"/>
        </w:rPr>
        <w:t xml:space="preserve">el acceso a la información </w:t>
      </w:r>
      <w:r w:rsidR="00180A59" w:rsidRPr="00BC703E">
        <w:rPr>
          <w:rFonts w:ascii="Arial" w:hAnsi="Arial" w:cs="Arial"/>
          <w:sz w:val="24"/>
          <w:szCs w:val="24"/>
        </w:rPr>
        <w:t>pública solicitada por</w:t>
      </w:r>
      <w:r w:rsidRPr="00BC703E">
        <w:rPr>
          <w:rFonts w:ascii="Arial" w:hAnsi="Arial" w:cs="Arial"/>
        </w:rPr>
        <w:t xml:space="preserve"> </w:t>
      </w:r>
      <w:r w:rsidR="0097303D">
        <w:rPr>
          <w:rFonts w:ascii="Arial" w:hAnsi="Arial" w:cs="Arial"/>
          <w:b/>
          <w:sz w:val="24"/>
          <w:szCs w:val="24"/>
        </w:rPr>
        <w:t>//////////////////////</w:t>
      </w:r>
      <w:r w:rsidR="00180A59">
        <w:rPr>
          <w:rFonts w:ascii="Arial" w:hAnsi="Arial" w:cs="Arial"/>
          <w:b/>
          <w:sz w:val="24"/>
          <w:szCs w:val="24"/>
        </w:rPr>
        <w:t>,</w:t>
      </w:r>
      <w:r w:rsidRPr="00BC703E">
        <w:rPr>
          <w:rFonts w:ascii="Arial" w:hAnsi="Arial" w:cs="Arial"/>
          <w:sz w:val="24"/>
          <w:szCs w:val="24"/>
        </w:rPr>
        <w:t xml:space="preserve"> </w:t>
      </w:r>
      <w:r w:rsidR="00180A59">
        <w:rPr>
          <w:rFonts w:ascii="Arial" w:hAnsi="Arial" w:cs="Arial"/>
          <w:sz w:val="24"/>
          <w:szCs w:val="24"/>
        </w:rPr>
        <w:t>debido a que el contenido de la información solicitada en el requerimiento 4, es información clasificada como RESERVADA, y que la información solicitada en los requerimientos 5, 7 y 8 es INFORMACIÓN OFICIOSA, la cual puede ser consultada y descargada en el Portal de Transparencia de la LNB, en los link relacionados en el romano IV</w:t>
      </w:r>
      <w:r>
        <w:rPr>
          <w:rFonts w:ascii="Arial" w:hAnsi="Arial" w:cs="Arial"/>
          <w:sz w:val="24"/>
          <w:szCs w:val="24"/>
        </w:rPr>
        <w:t xml:space="preserve"> de esta resolución</w:t>
      </w:r>
      <w:r w:rsidR="00180A59">
        <w:rPr>
          <w:rFonts w:ascii="Arial" w:hAnsi="Arial" w:cs="Arial"/>
          <w:sz w:val="24"/>
          <w:szCs w:val="24"/>
        </w:rPr>
        <w:t xml:space="preserve">; circunscribiéndose el acceso a la información pública solicitada únicamente para los requerimientos 1, 2, 3 y 6 en los términos y especificaciones descritos en los romanos V y VI de esta resolución y para el requerimiento 6 con </w:t>
      </w:r>
      <w:r w:rsidR="00475296">
        <w:rPr>
          <w:rFonts w:ascii="Arial" w:hAnsi="Arial" w:cs="Arial"/>
          <w:sz w:val="24"/>
          <w:szCs w:val="24"/>
        </w:rPr>
        <w:t>la cifras establecidas</w:t>
      </w:r>
      <w:r w:rsidR="00180A59" w:rsidRPr="00BC703E">
        <w:rPr>
          <w:rFonts w:ascii="Arial" w:hAnsi="Arial" w:cs="Arial"/>
          <w:sz w:val="24"/>
          <w:szCs w:val="24"/>
        </w:rPr>
        <w:t xml:space="preserve"> en el </w:t>
      </w:r>
      <w:r w:rsidR="00180A59">
        <w:rPr>
          <w:rFonts w:ascii="Arial" w:hAnsi="Arial" w:cs="Arial"/>
          <w:sz w:val="24"/>
          <w:szCs w:val="24"/>
        </w:rPr>
        <w:t xml:space="preserve">documento </w:t>
      </w:r>
      <w:r w:rsidR="00180A59" w:rsidRPr="00BC703E">
        <w:rPr>
          <w:rFonts w:ascii="Arial" w:hAnsi="Arial" w:cs="Arial"/>
          <w:sz w:val="24"/>
          <w:szCs w:val="24"/>
        </w:rPr>
        <w:t>anexo</w:t>
      </w:r>
      <w:r w:rsidR="00475296">
        <w:rPr>
          <w:rFonts w:ascii="Arial" w:hAnsi="Arial" w:cs="Arial"/>
          <w:sz w:val="24"/>
          <w:szCs w:val="24"/>
        </w:rPr>
        <w:t>.</w:t>
      </w:r>
    </w:p>
    <w:p w:rsidR="007844F1" w:rsidRDefault="007844F1" w:rsidP="007844F1">
      <w:pPr>
        <w:pStyle w:val="Prrafodelista"/>
        <w:spacing w:after="0" w:line="240" w:lineRule="auto"/>
        <w:ind w:right="-518"/>
        <w:jc w:val="both"/>
        <w:rPr>
          <w:rFonts w:ascii="Arial" w:hAnsi="Arial" w:cs="Arial"/>
          <w:sz w:val="24"/>
          <w:szCs w:val="24"/>
        </w:rPr>
      </w:pPr>
    </w:p>
    <w:p w:rsidR="007844F1" w:rsidRDefault="007844F1" w:rsidP="007844F1">
      <w:pPr>
        <w:pStyle w:val="Prrafodelista"/>
        <w:numPr>
          <w:ilvl w:val="0"/>
          <w:numId w:val="21"/>
        </w:numPr>
        <w:spacing w:after="0" w:line="240" w:lineRule="auto"/>
        <w:jc w:val="both"/>
        <w:rPr>
          <w:rFonts w:ascii="Arial" w:hAnsi="Arial" w:cs="Arial"/>
          <w:sz w:val="24"/>
          <w:szCs w:val="24"/>
        </w:rPr>
      </w:pPr>
      <w:r>
        <w:rPr>
          <w:rFonts w:ascii="Arial" w:hAnsi="Arial" w:cs="Arial"/>
          <w:b/>
          <w:sz w:val="24"/>
          <w:szCs w:val="24"/>
        </w:rPr>
        <w:t xml:space="preserve">Entréguese, </w:t>
      </w:r>
      <w:r>
        <w:rPr>
          <w:rFonts w:ascii="Arial" w:hAnsi="Arial" w:cs="Arial"/>
          <w:sz w:val="24"/>
          <w:szCs w:val="24"/>
        </w:rPr>
        <w:t xml:space="preserve">documentación en formato original en </w:t>
      </w:r>
      <w:r w:rsidR="00180A59">
        <w:rPr>
          <w:rFonts w:ascii="Arial" w:hAnsi="Arial" w:cs="Arial"/>
          <w:sz w:val="24"/>
          <w:szCs w:val="24"/>
        </w:rPr>
        <w:t>el anexo</w:t>
      </w:r>
      <w:r>
        <w:rPr>
          <w:rFonts w:ascii="Arial" w:hAnsi="Arial" w:cs="Arial"/>
          <w:sz w:val="24"/>
          <w:szCs w:val="24"/>
        </w:rPr>
        <w:t xml:space="preserve"> a que hace referencia el literal anterior, con </w:t>
      </w:r>
      <w:r w:rsidR="00475296">
        <w:rPr>
          <w:rFonts w:ascii="Arial" w:hAnsi="Arial" w:cs="Arial"/>
          <w:sz w:val="24"/>
          <w:szCs w:val="24"/>
        </w:rPr>
        <w:t>un folio útil,</w:t>
      </w:r>
      <w:r>
        <w:rPr>
          <w:rFonts w:ascii="Arial" w:hAnsi="Arial" w:cs="Arial"/>
          <w:sz w:val="24"/>
          <w:szCs w:val="24"/>
        </w:rPr>
        <w:t xml:space="preserve"> con información impresa únicamente al frente de </w:t>
      </w:r>
      <w:r w:rsidR="00475296">
        <w:rPr>
          <w:rFonts w:ascii="Arial" w:hAnsi="Arial" w:cs="Arial"/>
          <w:sz w:val="24"/>
          <w:szCs w:val="24"/>
        </w:rPr>
        <w:t>la</w:t>
      </w:r>
      <w:r>
        <w:rPr>
          <w:rFonts w:ascii="Arial" w:hAnsi="Arial" w:cs="Arial"/>
          <w:sz w:val="24"/>
          <w:szCs w:val="24"/>
        </w:rPr>
        <w:t xml:space="preserve"> hoja, haciendo constar </w:t>
      </w:r>
      <w:r w:rsidR="00475296">
        <w:rPr>
          <w:rFonts w:ascii="Arial" w:hAnsi="Arial" w:cs="Arial"/>
          <w:sz w:val="24"/>
          <w:szCs w:val="24"/>
        </w:rPr>
        <w:t>que,</w:t>
      </w:r>
      <w:r>
        <w:rPr>
          <w:rFonts w:ascii="Arial" w:hAnsi="Arial" w:cs="Arial"/>
          <w:sz w:val="24"/>
          <w:szCs w:val="24"/>
        </w:rPr>
        <w:t xml:space="preserve"> en </w:t>
      </w:r>
      <w:r w:rsidR="00475296">
        <w:rPr>
          <w:rFonts w:ascii="Arial" w:hAnsi="Arial" w:cs="Arial"/>
          <w:sz w:val="24"/>
          <w:szCs w:val="24"/>
        </w:rPr>
        <w:t>consecuencia,</w:t>
      </w:r>
      <w:r>
        <w:rPr>
          <w:rFonts w:ascii="Arial" w:hAnsi="Arial" w:cs="Arial"/>
          <w:sz w:val="24"/>
          <w:szCs w:val="24"/>
        </w:rPr>
        <w:t xml:space="preserve"> de la entrega ordenada, el expediente físico de la solicitud </w:t>
      </w:r>
      <w:r w:rsidR="00475296">
        <w:rPr>
          <w:rFonts w:ascii="Arial" w:hAnsi="Arial" w:cs="Arial"/>
          <w:sz w:val="24"/>
          <w:szCs w:val="24"/>
        </w:rPr>
        <w:t>02</w:t>
      </w:r>
      <w:r>
        <w:rPr>
          <w:rFonts w:ascii="Arial" w:hAnsi="Arial" w:cs="Arial"/>
          <w:sz w:val="24"/>
          <w:szCs w:val="24"/>
        </w:rPr>
        <w:t>/20</w:t>
      </w:r>
      <w:r w:rsidR="00475296">
        <w:rPr>
          <w:rFonts w:ascii="Arial" w:hAnsi="Arial" w:cs="Arial"/>
          <w:sz w:val="24"/>
          <w:szCs w:val="24"/>
        </w:rPr>
        <w:t>20</w:t>
      </w:r>
      <w:r>
        <w:rPr>
          <w:rFonts w:ascii="Arial" w:hAnsi="Arial" w:cs="Arial"/>
          <w:sz w:val="24"/>
          <w:szCs w:val="24"/>
        </w:rPr>
        <w:t xml:space="preserve">, queda </w:t>
      </w:r>
      <w:r w:rsidR="00475296">
        <w:rPr>
          <w:rFonts w:ascii="Arial" w:hAnsi="Arial" w:cs="Arial"/>
          <w:sz w:val="24"/>
          <w:szCs w:val="24"/>
        </w:rPr>
        <w:t>con copia</w:t>
      </w:r>
      <w:r>
        <w:rPr>
          <w:rFonts w:ascii="Arial" w:hAnsi="Arial" w:cs="Arial"/>
          <w:sz w:val="24"/>
          <w:szCs w:val="24"/>
        </w:rPr>
        <w:t xml:space="preserve"> de la información entregada.</w:t>
      </w:r>
    </w:p>
    <w:p w:rsidR="007844F1" w:rsidRDefault="007844F1" w:rsidP="007844F1">
      <w:pPr>
        <w:pStyle w:val="Prrafodelista"/>
        <w:spacing w:after="0" w:line="240" w:lineRule="auto"/>
        <w:jc w:val="both"/>
        <w:rPr>
          <w:rFonts w:ascii="Arial" w:hAnsi="Arial" w:cs="Arial"/>
          <w:sz w:val="24"/>
          <w:szCs w:val="24"/>
        </w:rPr>
      </w:pPr>
    </w:p>
    <w:p w:rsidR="007844F1" w:rsidRPr="001438D4" w:rsidRDefault="007844F1" w:rsidP="007844F1">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97303D">
        <w:rPr>
          <w:rFonts w:ascii="Arial" w:hAnsi="Arial" w:cs="Arial"/>
          <w:b/>
          <w:sz w:val="24"/>
          <w:szCs w:val="24"/>
        </w:rPr>
        <w:t>////////////////////////</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Pr>
          <w:rFonts w:ascii="Arial" w:hAnsi="Arial" w:cs="Arial"/>
          <w:sz w:val="24"/>
          <w:szCs w:val="24"/>
        </w:rPr>
        <w:t xml:space="preserve"> </w:t>
      </w:r>
      <w:r w:rsidRPr="001438D4">
        <w:rPr>
          <w:rFonts w:ascii="Arial" w:hAnsi="Arial" w:cs="Arial"/>
          <w:sz w:val="24"/>
          <w:szCs w:val="24"/>
        </w:rPr>
        <w:t>LAIP, o considere que la presente incurre en cualquiera de las causales anunciadas en el Art.83</w:t>
      </w:r>
      <w:r>
        <w:rPr>
          <w:rFonts w:ascii="Arial" w:hAnsi="Arial" w:cs="Arial"/>
          <w:sz w:val="24"/>
          <w:szCs w:val="24"/>
        </w:rPr>
        <w:t xml:space="preserve"> </w:t>
      </w:r>
      <w:r w:rsidRPr="001438D4">
        <w:rPr>
          <w:rFonts w:ascii="Arial" w:hAnsi="Arial" w:cs="Arial"/>
          <w:sz w:val="24"/>
          <w:szCs w:val="24"/>
        </w:rPr>
        <w:t xml:space="preserve">LAIP,  tiene derecho a interponer ante el Instituto de Acceso a la Información, Recurso de Apelación conforme a lo establecido en el Art. 82 de la Ley de  Acceso a la Información Pública, para lo cual tiene un plazo de </w:t>
      </w:r>
      <w:r w:rsidRPr="00D22638">
        <w:rPr>
          <w:rFonts w:ascii="Arial" w:hAnsi="Arial" w:cs="Arial"/>
          <w:b/>
          <w:sz w:val="24"/>
          <w:szCs w:val="24"/>
        </w:rPr>
        <w:t>quince días hábiles</w:t>
      </w:r>
      <w:r w:rsidRPr="001438D4">
        <w:rPr>
          <w:rFonts w:ascii="Arial" w:hAnsi="Arial" w:cs="Arial"/>
          <w:sz w:val="24"/>
          <w:szCs w:val="24"/>
        </w:rPr>
        <w:t xml:space="preserve"> contados a partir del día siguiente a la fecha de la notificación</w:t>
      </w:r>
      <w:r>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7844F1" w:rsidRPr="00E168A9" w:rsidRDefault="00475296" w:rsidP="007844F1">
      <w:pPr>
        <w:spacing w:after="0" w:line="240" w:lineRule="auto"/>
        <w:jc w:val="both"/>
        <w:rPr>
          <w:rFonts w:ascii="Arial" w:hAnsi="Arial" w:cs="Arial"/>
          <w:b/>
          <w:sz w:val="24"/>
          <w:szCs w:val="24"/>
        </w:rPr>
      </w:pPr>
      <w:r w:rsidRPr="00E168A9">
        <w:rPr>
          <w:rFonts w:ascii="Arial" w:hAnsi="Arial" w:cs="Arial"/>
          <w:b/>
          <w:sz w:val="24"/>
          <w:szCs w:val="24"/>
        </w:rPr>
        <w:t>NOTIFIQUESE. -</w:t>
      </w:r>
    </w:p>
    <w:p w:rsidR="009607A6" w:rsidRPr="001438D4" w:rsidRDefault="009607A6" w:rsidP="009607A6">
      <w:pPr>
        <w:pStyle w:val="Prrafodelista"/>
        <w:autoSpaceDE w:val="0"/>
        <w:autoSpaceDN w:val="0"/>
        <w:adjustRightInd w:val="0"/>
        <w:spacing w:after="0"/>
        <w:jc w:val="both"/>
        <w:rPr>
          <w:sz w:val="24"/>
          <w:szCs w:val="24"/>
        </w:rPr>
      </w:pP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C93478" w:rsidRDefault="00C93478"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1438D4" w:rsidRPr="006D5010" w:rsidRDefault="001F3F82" w:rsidP="001438D4">
      <w:pPr>
        <w:widowControl w:val="0"/>
        <w:autoSpaceDE w:val="0"/>
        <w:autoSpaceDN w:val="0"/>
        <w:adjustRightInd w:val="0"/>
        <w:spacing w:after="0" w:line="240" w:lineRule="auto"/>
        <w:contextualSpacing/>
        <w:jc w:val="center"/>
        <w:rPr>
          <w:rFonts w:ascii="Arial" w:hAnsi="Arial" w:cs="Arial"/>
          <w:b/>
          <w:spacing w:val="2"/>
          <w:sz w:val="24"/>
          <w:szCs w:val="24"/>
        </w:rPr>
      </w:pPr>
      <w:r>
        <w:rPr>
          <w:rFonts w:ascii="Arial" w:hAnsi="Arial" w:cs="Arial"/>
          <w:b/>
          <w:spacing w:val="2"/>
          <w:sz w:val="24"/>
          <w:szCs w:val="24"/>
        </w:rPr>
        <w:t>Lic. Cesar Rosales Ulloa</w:t>
      </w:r>
    </w:p>
    <w:p w:rsidR="00E168A9" w:rsidRDefault="001438D4" w:rsidP="00D22638">
      <w:pPr>
        <w:widowControl w:val="0"/>
        <w:autoSpaceDE w:val="0"/>
        <w:autoSpaceDN w:val="0"/>
        <w:adjustRightInd w:val="0"/>
        <w:spacing w:after="0" w:line="240" w:lineRule="auto"/>
        <w:contextualSpacing/>
        <w:jc w:val="center"/>
      </w:pPr>
      <w:r w:rsidRPr="006D5010">
        <w:rPr>
          <w:rFonts w:ascii="Arial" w:hAnsi="Arial" w:cs="Arial"/>
          <w:b/>
          <w:spacing w:val="2"/>
          <w:sz w:val="24"/>
          <w:szCs w:val="24"/>
        </w:rPr>
        <w:t>O</w:t>
      </w:r>
      <w:r w:rsidRPr="006D5010">
        <w:rPr>
          <w:rFonts w:ascii="Arial" w:hAnsi="Arial" w:cs="Arial"/>
          <w:b/>
          <w:spacing w:val="-3"/>
          <w:sz w:val="24"/>
          <w:szCs w:val="24"/>
        </w:rPr>
        <w:t>f</w:t>
      </w:r>
      <w:r w:rsidRPr="006D5010">
        <w:rPr>
          <w:rFonts w:ascii="Arial" w:hAnsi="Arial" w:cs="Arial"/>
          <w:b/>
          <w:spacing w:val="3"/>
          <w:sz w:val="24"/>
          <w:szCs w:val="24"/>
        </w:rPr>
        <w:t>i</w:t>
      </w:r>
      <w:r w:rsidRPr="006D5010">
        <w:rPr>
          <w:rFonts w:ascii="Arial" w:hAnsi="Arial" w:cs="Arial"/>
          <w:b/>
          <w:spacing w:val="-2"/>
          <w:sz w:val="24"/>
          <w:szCs w:val="24"/>
        </w:rPr>
        <w:t>c</w:t>
      </w:r>
      <w:r w:rsidRPr="006D5010">
        <w:rPr>
          <w:rFonts w:ascii="Arial" w:hAnsi="Arial" w:cs="Arial"/>
          <w:b/>
          <w:spacing w:val="1"/>
          <w:sz w:val="24"/>
          <w:szCs w:val="24"/>
        </w:rPr>
        <w:t>i</w:t>
      </w:r>
      <w:r w:rsidRPr="006D5010">
        <w:rPr>
          <w:rFonts w:ascii="Arial" w:hAnsi="Arial" w:cs="Arial"/>
          <w:b/>
          <w:spacing w:val="-2"/>
          <w:sz w:val="24"/>
          <w:szCs w:val="24"/>
        </w:rPr>
        <w:t>a</w:t>
      </w:r>
      <w:r w:rsidRPr="006D5010">
        <w:rPr>
          <w:rFonts w:ascii="Arial" w:hAnsi="Arial" w:cs="Arial"/>
          <w:b/>
          <w:sz w:val="24"/>
          <w:szCs w:val="24"/>
        </w:rPr>
        <w:t>l</w:t>
      </w:r>
      <w:r w:rsidRPr="006D5010">
        <w:rPr>
          <w:rFonts w:ascii="Arial" w:hAnsi="Arial" w:cs="Arial"/>
          <w:b/>
          <w:spacing w:val="7"/>
          <w:sz w:val="24"/>
          <w:szCs w:val="24"/>
        </w:rPr>
        <w:t xml:space="preserve"> </w:t>
      </w:r>
      <w:r w:rsidRPr="006D5010">
        <w:rPr>
          <w:rFonts w:ascii="Arial" w:hAnsi="Arial" w:cs="Arial"/>
          <w:b/>
          <w:sz w:val="24"/>
          <w:szCs w:val="24"/>
        </w:rPr>
        <w:t>de</w:t>
      </w:r>
      <w:r w:rsidRPr="006D5010">
        <w:rPr>
          <w:rFonts w:ascii="Arial" w:hAnsi="Arial" w:cs="Arial"/>
          <w:b/>
          <w:spacing w:val="-2"/>
          <w:sz w:val="24"/>
          <w:szCs w:val="24"/>
        </w:rPr>
        <w:t xml:space="preserve"> </w:t>
      </w:r>
      <w:r w:rsidRPr="006D5010">
        <w:rPr>
          <w:rFonts w:ascii="Arial" w:hAnsi="Arial" w:cs="Arial"/>
          <w:b/>
          <w:spacing w:val="1"/>
          <w:sz w:val="24"/>
          <w:szCs w:val="24"/>
        </w:rPr>
        <w:t>I</w:t>
      </w:r>
      <w:r w:rsidRPr="006D5010">
        <w:rPr>
          <w:rFonts w:ascii="Arial" w:hAnsi="Arial" w:cs="Arial"/>
          <w:b/>
          <w:sz w:val="24"/>
          <w:szCs w:val="24"/>
        </w:rPr>
        <w:t>n</w:t>
      </w:r>
      <w:r w:rsidRPr="006D5010">
        <w:rPr>
          <w:rFonts w:ascii="Arial" w:hAnsi="Arial" w:cs="Arial"/>
          <w:b/>
          <w:spacing w:val="-1"/>
          <w:sz w:val="24"/>
          <w:szCs w:val="24"/>
        </w:rPr>
        <w:t>fo</w:t>
      </w:r>
      <w:r w:rsidRPr="006D5010">
        <w:rPr>
          <w:rFonts w:ascii="Arial" w:hAnsi="Arial" w:cs="Arial"/>
          <w:b/>
          <w:sz w:val="24"/>
          <w:szCs w:val="24"/>
        </w:rPr>
        <w:t>r</w:t>
      </w:r>
      <w:r w:rsidRPr="006D5010">
        <w:rPr>
          <w:rFonts w:ascii="Arial" w:hAnsi="Arial" w:cs="Arial"/>
          <w:b/>
          <w:spacing w:val="1"/>
          <w:sz w:val="24"/>
          <w:szCs w:val="24"/>
        </w:rPr>
        <w:t>m</w:t>
      </w:r>
      <w:r w:rsidRPr="006D5010">
        <w:rPr>
          <w:rFonts w:ascii="Arial" w:hAnsi="Arial" w:cs="Arial"/>
          <w:b/>
          <w:spacing w:val="-2"/>
          <w:sz w:val="24"/>
          <w:szCs w:val="24"/>
        </w:rPr>
        <w:t>ac</w:t>
      </w:r>
      <w:r w:rsidRPr="006D5010">
        <w:rPr>
          <w:rFonts w:ascii="Arial" w:hAnsi="Arial" w:cs="Arial"/>
          <w:b/>
          <w:spacing w:val="1"/>
          <w:sz w:val="24"/>
          <w:szCs w:val="24"/>
        </w:rPr>
        <w:t>i</w:t>
      </w:r>
      <w:r w:rsidRPr="006D5010">
        <w:rPr>
          <w:rFonts w:ascii="Arial" w:hAnsi="Arial" w:cs="Arial"/>
          <w:b/>
          <w:spacing w:val="-1"/>
          <w:sz w:val="24"/>
          <w:szCs w:val="24"/>
        </w:rPr>
        <w:t>ó</w:t>
      </w:r>
      <w:r w:rsidRPr="006D5010">
        <w:rPr>
          <w:rFonts w:ascii="Arial" w:hAnsi="Arial" w:cs="Arial"/>
          <w:b/>
          <w:sz w:val="24"/>
          <w:szCs w:val="24"/>
        </w:rPr>
        <w:t>n</w:t>
      </w:r>
      <w:r w:rsidRPr="006D5010">
        <w:rPr>
          <w:rFonts w:ascii="Arial" w:hAnsi="Arial" w:cs="Arial"/>
          <w:b/>
          <w:spacing w:val="16"/>
          <w:sz w:val="24"/>
          <w:szCs w:val="24"/>
        </w:rPr>
        <w:t xml:space="preserve"> </w:t>
      </w:r>
      <w:r w:rsidR="001F3F82">
        <w:rPr>
          <w:rFonts w:ascii="Arial" w:hAnsi="Arial" w:cs="Arial"/>
          <w:b/>
          <w:spacing w:val="16"/>
          <w:sz w:val="24"/>
          <w:szCs w:val="24"/>
        </w:rPr>
        <w:t>de la LNB</w:t>
      </w:r>
    </w:p>
    <w:p w:rsidR="001F3F82" w:rsidRDefault="001F3F82" w:rsidP="00E168A9">
      <w:pPr>
        <w:widowControl w:val="0"/>
        <w:autoSpaceDE w:val="0"/>
        <w:autoSpaceDN w:val="0"/>
        <w:adjustRightInd w:val="0"/>
        <w:spacing w:after="0" w:line="240" w:lineRule="auto"/>
        <w:contextualSpacing/>
      </w:pPr>
    </w:p>
    <w:p w:rsidR="001F3F82" w:rsidRDefault="001F3F82" w:rsidP="00E168A9">
      <w:pPr>
        <w:widowControl w:val="0"/>
        <w:autoSpaceDE w:val="0"/>
        <w:autoSpaceDN w:val="0"/>
        <w:adjustRightInd w:val="0"/>
        <w:spacing w:after="0" w:line="240" w:lineRule="auto"/>
        <w:contextualSpacing/>
      </w:pPr>
    </w:p>
    <w:p w:rsidR="0097303D" w:rsidRPr="00E804DF" w:rsidRDefault="0097303D" w:rsidP="0097303D">
      <w:pPr>
        <w:pStyle w:val="Prrafodelista"/>
        <w:ind w:left="0"/>
        <w:jc w:val="both"/>
        <w:rPr>
          <w:rFonts w:ascii="Arial" w:hAnsi="Arial" w:cs="Arial"/>
          <w:spacing w:val="2"/>
          <w:sz w:val="24"/>
          <w:szCs w:val="24"/>
        </w:rPr>
      </w:pPr>
      <w:r w:rsidRPr="00356DCD">
        <w:rPr>
          <w:rFonts w:ascii="Arial" w:hAnsi="Arial" w:cs="Arial"/>
          <w:b/>
          <w:color w:val="FF0000"/>
          <w:lang w:val="es-ES_tradnl"/>
        </w:rPr>
        <w:lastRenderedPageBreak/>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E168A9" w:rsidRDefault="00E168A9" w:rsidP="00E168A9">
      <w:pPr>
        <w:widowControl w:val="0"/>
        <w:autoSpaceDE w:val="0"/>
        <w:autoSpaceDN w:val="0"/>
        <w:adjustRightInd w:val="0"/>
        <w:spacing w:after="0" w:line="240" w:lineRule="auto"/>
        <w:contextualSpacing/>
        <w:rPr>
          <w:rFonts w:ascii="Arial" w:hAnsi="Arial" w:cs="Arial"/>
          <w:b/>
          <w:w w:val="102"/>
          <w:sz w:val="24"/>
          <w:szCs w:val="24"/>
        </w:rPr>
      </w:pPr>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26" w:rsidRDefault="007C1B26" w:rsidP="00F425A5">
      <w:pPr>
        <w:spacing w:after="0" w:line="240" w:lineRule="auto"/>
      </w:pPr>
      <w:r>
        <w:separator/>
      </w:r>
    </w:p>
  </w:endnote>
  <w:endnote w:type="continuationSeparator" w:id="0">
    <w:p w:rsidR="007C1B26" w:rsidRDefault="007C1B2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B83285" w:rsidRDefault="00B83285">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97303D">
              <w:rPr>
                <w:b/>
                <w:noProof/>
              </w:rPr>
              <w:t>4</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97303D">
              <w:rPr>
                <w:b/>
                <w:noProof/>
              </w:rPr>
              <w:t>5</w:t>
            </w:r>
            <w:r>
              <w:rPr>
                <w:b/>
                <w:sz w:val="24"/>
                <w:szCs w:val="24"/>
              </w:rPr>
              <w:fldChar w:fldCharType="end"/>
            </w:r>
          </w:p>
        </w:sdtContent>
      </w:sdt>
    </w:sdtContent>
  </w:sdt>
  <w:p w:rsidR="00B83285" w:rsidRDefault="00B832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85" w:rsidRPr="00E168A9" w:rsidRDefault="00E555F6" w:rsidP="00E168A9">
    <w:pPr>
      <w:spacing w:after="0" w:line="360" w:lineRule="auto"/>
      <w:ind w:right="-93"/>
      <w:rPr>
        <w:rFonts w:ascii="Arial" w:eastAsia="Calibri" w:hAnsi="Arial" w:cs="Arial"/>
        <w:color w:val="000000"/>
        <w:sz w:val="18"/>
        <w:szCs w:val="18"/>
        <w:lang w:val="es-ES" w:eastAsia="en-US"/>
      </w:rPr>
    </w:pPr>
    <w:proofErr w:type="spellStart"/>
    <w:r>
      <w:t>CRosales</w:t>
    </w:r>
    <w:proofErr w:type="spellEnd"/>
    <w:r>
      <w:t>.</w:t>
    </w:r>
    <w:r w:rsidR="00B83285">
      <w:t xml:space="preserve">          </w:t>
    </w:r>
    <w:r w:rsidR="00B83285" w:rsidRPr="00E168A9">
      <w:t xml:space="preserve">                                                                                                                                                Página 1 de 2</w:t>
    </w:r>
    <w:r w:rsidR="00B83285" w:rsidRPr="00E168A9">
      <w:tab/>
    </w:r>
  </w:p>
  <w:p w:rsidR="00B83285" w:rsidRPr="00C93B38" w:rsidRDefault="00B83285"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B83285" w:rsidRPr="00C93B38" w:rsidRDefault="00B83285"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B83285" w:rsidRPr="00C93B38" w:rsidRDefault="00B83285" w:rsidP="00C93B38">
    <w:pPr>
      <w:tabs>
        <w:tab w:val="center" w:pos="4419"/>
        <w:tab w:val="right" w:pos="8838"/>
      </w:tabs>
      <w:spacing w:after="0"/>
      <w:jc w:val="right"/>
      <w:rPr>
        <w:rFonts w:ascii="Arial" w:eastAsia="Calibri" w:hAnsi="Arial" w:cs="Arial"/>
        <w:sz w:val="16"/>
        <w:szCs w:val="16"/>
        <w:lang w:eastAsia="en-US"/>
      </w:rPr>
    </w:pPr>
  </w:p>
  <w:p w:rsidR="00B83285" w:rsidRDefault="00B83285"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B83285" w:rsidRPr="00C93B38" w:rsidRDefault="00B83285"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B83285" w:rsidRPr="00C93B38" w:rsidRDefault="00B83285"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B83285" w:rsidRPr="00C93B38" w:rsidRDefault="00B83285"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26" w:rsidRDefault="007C1B26" w:rsidP="00F425A5">
      <w:pPr>
        <w:spacing w:after="0" w:line="240" w:lineRule="auto"/>
      </w:pPr>
      <w:r>
        <w:separator/>
      </w:r>
    </w:p>
  </w:footnote>
  <w:footnote w:type="continuationSeparator" w:id="0">
    <w:p w:rsidR="007C1B26" w:rsidRDefault="007C1B26" w:rsidP="00F425A5">
      <w:pPr>
        <w:spacing w:after="0" w:line="240" w:lineRule="auto"/>
      </w:pPr>
      <w:r>
        <w:continuationSeparator/>
      </w:r>
    </w:p>
  </w:footnote>
  <w:footnote w:id="1">
    <w:p w:rsidR="0081387A" w:rsidRPr="0081387A" w:rsidRDefault="0081387A" w:rsidP="0081387A">
      <w:pPr>
        <w:pStyle w:val="Textonotapie"/>
        <w:rPr>
          <w:lang w:val="es-ES"/>
        </w:rPr>
      </w:pPr>
      <w:r>
        <w:rPr>
          <w:rStyle w:val="Refdenotaalpie"/>
        </w:rPr>
        <w:footnoteRef/>
      </w:r>
      <w:r>
        <w:t xml:space="preserve"> </w:t>
      </w:r>
      <w:hyperlink r:id="rId1" w:history="1">
        <w:r>
          <w:rPr>
            <w:rStyle w:val="Hipervnculo"/>
          </w:rPr>
          <w:t>https://www.transparencia.gob.sv/institutions/lnb/documents/indice-de-informacion-reservada</w:t>
        </w:r>
      </w:hyperlink>
    </w:p>
  </w:footnote>
  <w:footnote w:id="2">
    <w:p w:rsidR="008E77FE" w:rsidRPr="008E77FE" w:rsidRDefault="008E77FE">
      <w:pPr>
        <w:pStyle w:val="Textonotapie"/>
        <w:rPr>
          <w:lang w:val="es-ES"/>
        </w:rPr>
      </w:pPr>
      <w:r>
        <w:rPr>
          <w:rStyle w:val="Refdenotaalpie"/>
        </w:rPr>
        <w:footnoteRef/>
      </w:r>
      <w:r>
        <w:t xml:space="preserve"> </w:t>
      </w:r>
      <w:hyperlink r:id="rId2" w:history="1">
        <w:r>
          <w:rPr>
            <w:rStyle w:val="Hipervnculo"/>
          </w:rPr>
          <w:t>https://www.transparencia.gob.sv/institutions/lnb/consultants</w:t>
        </w:r>
      </w:hyperlink>
    </w:p>
  </w:footnote>
  <w:footnote w:id="3">
    <w:p w:rsidR="008E77FE" w:rsidRPr="008E77FE" w:rsidRDefault="008E77FE">
      <w:pPr>
        <w:pStyle w:val="Textonotapie"/>
        <w:rPr>
          <w:lang w:val="es-ES"/>
        </w:rPr>
      </w:pPr>
      <w:r>
        <w:rPr>
          <w:rStyle w:val="Refdenotaalpie"/>
        </w:rPr>
        <w:footnoteRef/>
      </w:r>
      <w:r>
        <w:t xml:space="preserve"> </w:t>
      </w:r>
      <w:hyperlink r:id="rId3" w:history="1">
        <w:r>
          <w:rPr>
            <w:rStyle w:val="Hipervnculo"/>
          </w:rPr>
          <w:t>https://www.transparencia.gob.sv/institutions/lnb/officials</w:t>
        </w:r>
      </w:hyperlink>
    </w:p>
  </w:footnote>
  <w:footnote w:id="4">
    <w:p w:rsidR="00FA77ED" w:rsidRPr="00FA77ED" w:rsidRDefault="00FA77ED">
      <w:pPr>
        <w:pStyle w:val="Textonotapie"/>
        <w:rPr>
          <w:lang w:val="es-ES"/>
        </w:rPr>
      </w:pPr>
      <w:r>
        <w:rPr>
          <w:rStyle w:val="Refdenotaalpie"/>
        </w:rPr>
        <w:footnoteRef/>
      </w:r>
      <w:r>
        <w:t xml:space="preserve"> </w:t>
      </w:r>
      <w:hyperlink r:id="rId4" w:history="1">
        <w:r>
          <w:rPr>
            <w:rStyle w:val="Hipervnculo"/>
          </w:rPr>
          <w:t>https://www.transparencia.gob.sv/institutions/lnb/documents/estadisticas</w:t>
        </w:r>
      </w:hyperlink>
    </w:p>
  </w:footnote>
  <w:footnote w:id="5">
    <w:p w:rsidR="00FA77ED" w:rsidRPr="00FA77ED" w:rsidRDefault="00FA77ED">
      <w:pPr>
        <w:pStyle w:val="Textonotapie"/>
        <w:rPr>
          <w:lang w:val="es-ES"/>
        </w:rPr>
      </w:pPr>
      <w:r>
        <w:rPr>
          <w:rStyle w:val="Refdenotaalpie"/>
        </w:rPr>
        <w:footnoteRef/>
      </w:r>
      <w:r>
        <w:rPr>
          <w:rStyle w:val="Refdenotaalpie"/>
        </w:rPr>
        <w:footnoteRef/>
      </w:r>
      <w:r>
        <w:t xml:space="preserve"> </w:t>
      </w:r>
      <w:hyperlink r:id="rId5" w:history="1">
        <w:r>
          <w:rPr>
            <w:rStyle w:val="Hipervnculo"/>
          </w:rPr>
          <w:t>https://www.transparencia.gob.sv/institutions/lnb/documents/estados-financieros</w:t>
        </w:r>
      </w:hyperlink>
    </w:p>
  </w:footnote>
  <w:footnote w:id="6">
    <w:p w:rsidR="00635D48" w:rsidRPr="00635D48" w:rsidRDefault="00635D48">
      <w:pPr>
        <w:pStyle w:val="Textonotapie"/>
        <w:rPr>
          <w:lang w:val="es-ES"/>
        </w:rPr>
      </w:pPr>
      <w:r>
        <w:rPr>
          <w:rStyle w:val="Refdenotaalpie"/>
        </w:rPr>
        <w:footnoteRef/>
      </w:r>
      <w:r>
        <w:t xml:space="preserve"> </w:t>
      </w:r>
      <w:hyperlink r:id="rId6" w:history="1">
        <w:r>
          <w:rPr>
            <w:rStyle w:val="Hipervnculo"/>
          </w:rPr>
          <w:t>https://www.transparencia.gob.sv/institutions/lnb/documents/otros-documentos-normativos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85" w:rsidRDefault="00B83285"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B83285" w:rsidRDefault="00B832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DF6AA0"/>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1"/>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1F0F"/>
    <w:rsid w:val="000250C5"/>
    <w:rsid w:val="00027808"/>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1F16"/>
    <w:rsid w:val="0011275E"/>
    <w:rsid w:val="001142C6"/>
    <w:rsid w:val="00115811"/>
    <w:rsid w:val="00116255"/>
    <w:rsid w:val="001167C9"/>
    <w:rsid w:val="00122DA2"/>
    <w:rsid w:val="0013257A"/>
    <w:rsid w:val="001438D4"/>
    <w:rsid w:val="0014492B"/>
    <w:rsid w:val="001507F7"/>
    <w:rsid w:val="00156763"/>
    <w:rsid w:val="00160241"/>
    <w:rsid w:val="0016040E"/>
    <w:rsid w:val="00162EFA"/>
    <w:rsid w:val="00163F0A"/>
    <w:rsid w:val="0016481B"/>
    <w:rsid w:val="00165185"/>
    <w:rsid w:val="00165702"/>
    <w:rsid w:val="0017771D"/>
    <w:rsid w:val="00180A59"/>
    <w:rsid w:val="00181259"/>
    <w:rsid w:val="00181949"/>
    <w:rsid w:val="00195876"/>
    <w:rsid w:val="00197879"/>
    <w:rsid w:val="001B45C4"/>
    <w:rsid w:val="001B7D37"/>
    <w:rsid w:val="001C5FBF"/>
    <w:rsid w:val="001C6407"/>
    <w:rsid w:val="001C7F24"/>
    <w:rsid w:val="001D7521"/>
    <w:rsid w:val="001E72A8"/>
    <w:rsid w:val="001F3F82"/>
    <w:rsid w:val="002027A5"/>
    <w:rsid w:val="0021272C"/>
    <w:rsid w:val="00215F09"/>
    <w:rsid w:val="002172C1"/>
    <w:rsid w:val="00230538"/>
    <w:rsid w:val="00235106"/>
    <w:rsid w:val="00236A41"/>
    <w:rsid w:val="00240220"/>
    <w:rsid w:val="002402CC"/>
    <w:rsid w:val="00243F27"/>
    <w:rsid w:val="00246503"/>
    <w:rsid w:val="00246DE5"/>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6640"/>
    <w:rsid w:val="003A732E"/>
    <w:rsid w:val="003C0FEF"/>
    <w:rsid w:val="003D3423"/>
    <w:rsid w:val="003E1B04"/>
    <w:rsid w:val="003E2252"/>
    <w:rsid w:val="003E406E"/>
    <w:rsid w:val="003E5515"/>
    <w:rsid w:val="003E7751"/>
    <w:rsid w:val="003E7B10"/>
    <w:rsid w:val="003F173B"/>
    <w:rsid w:val="003F6697"/>
    <w:rsid w:val="004114E8"/>
    <w:rsid w:val="0041769E"/>
    <w:rsid w:val="004228E8"/>
    <w:rsid w:val="00444AC7"/>
    <w:rsid w:val="0044516C"/>
    <w:rsid w:val="00453E40"/>
    <w:rsid w:val="004601DD"/>
    <w:rsid w:val="00463197"/>
    <w:rsid w:val="00475296"/>
    <w:rsid w:val="00486187"/>
    <w:rsid w:val="00496BB5"/>
    <w:rsid w:val="004A48EF"/>
    <w:rsid w:val="004B25F7"/>
    <w:rsid w:val="004B6715"/>
    <w:rsid w:val="004C050C"/>
    <w:rsid w:val="004D0118"/>
    <w:rsid w:val="004D57E8"/>
    <w:rsid w:val="004E19B1"/>
    <w:rsid w:val="004F1A06"/>
    <w:rsid w:val="004F333D"/>
    <w:rsid w:val="00505879"/>
    <w:rsid w:val="00507265"/>
    <w:rsid w:val="0051694F"/>
    <w:rsid w:val="0051705C"/>
    <w:rsid w:val="0052105E"/>
    <w:rsid w:val="0052486D"/>
    <w:rsid w:val="00535C89"/>
    <w:rsid w:val="00541B7E"/>
    <w:rsid w:val="00547CFB"/>
    <w:rsid w:val="005534AF"/>
    <w:rsid w:val="0055419D"/>
    <w:rsid w:val="00556C07"/>
    <w:rsid w:val="005606D5"/>
    <w:rsid w:val="0056178B"/>
    <w:rsid w:val="0057253F"/>
    <w:rsid w:val="00587E7C"/>
    <w:rsid w:val="005A0071"/>
    <w:rsid w:val="005A5A38"/>
    <w:rsid w:val="005B0347"/>
    <w:rsid w:val="005B2A4F"/>
    <w:rsid w:val="005C2FFB"/>
    <w:rsid w:val="005D56E5"/>
    <w:rsid w:val="005D5B8E"/>
    <w:rsid w:val="005E6462"/>
    <w:rsid w:val="005E67D1"/>
    <w:rsid w:val="005E7EA5"/>
    <w:rsid w:val="005F77E1"/>
    <w:rsid w:val="00604293"/>
    <w:rsid w:val="0061060A"/>
    <w:rsid w:val="00615772"/>
    <w:rsid w:val="006177D9"/>
    <w:rsid w:val="00620BC1"/>
    <w:rsid w:val="006239AF"/>
    <w:rsid w:val="00635D48"/>
    <w:rsid w:val="00651DAC"/>
    <w:rsid w:val="006524D0"/>
    <w:rsid w:val="00655DEF"/>
    <w:rsid w:val="00663837"/>
    <w:rsid w:val="006739EE"/>
    <w:rsid w:val="006749AF"/>
    <w:rsid w:val="006773A7"/>
    <w:rsid w:val="00680239"/>
    <w:rsid w:val="00685D0A"/>
    <w:rsid w:val="00692F38"/>
    <w:rsid w:val="00694DFE"/>
    <w:rsid w:val="006A1BCE"/>
    <w:rsid w:val="006C00C8"/>
    <w:rsid w:val="006C0284"/>
    <w:rsid w:val="006C5B88"/>
    <w:rsid w:val="006C64D5"/>
    <w:rsid w:val="006D15C8"/>
    <w:rsid w:val="006D2B26"/>
    <w:rsid w:val="006D35BA"/>
    <w:rsid w:val="006D5010"/>
    <w:rsid w:val="006E3986"/>
    <w:rsid w:val="006E3CEB"/>
    <w:rsid w:val="006E3D05"/>
    <w:rsid w:val="006E5302"/>
    <w:rsid w:val="006E5F41"/>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844F1"/>
    <w:rsid w:val="007943F4"/>
    <w:rsid w:val="007A685A"/>
    <w:rsid w:val="007B124A"/>
    <w:rsid w:val="007B361B"/>
    <w:rsid w:val="007B45B2"/>
    <w:rsid w:val="007B4940"/>
    <w:rsid w:val="007C0393"/>
    <w:rsid w:val="007C1B26"/>
    <w:rsid w:val="007C1E92"/>
    <w:rsid w:val="007C2B61"/>
    <w:rsid w:val="007C4B39"/>
    <w:rsid w:val="007C6C62"/>
    <w:rsid w:val="007C7301"/>
    <w:rsid w:val="007E5C50"/>
    <w:rsid w:val="007F2570"/>
    <w:rsid w:val="007F299F"/>
    <w:rsid w:val="007F3CB1"/>
    <w:rsid w:val="008054A4"/>
    <w:rsid w:val="008064EA"/>
    <w:rsid w:val="008075D7"/>
    <w:rsid w:val="00807FEF"/>
    <w:rsid w:val="008116F2"/>
    <w:rsid w:val="00812151"/>
    <w:rsid w:val="0081387A"/>
    <w:rsid w:val="00822656"/>
    <w:rsid w:val="0082470A"/>
    <w:rsid w:val="00824E30"/>
    <w:rsid w:val="00840553"/>
    <w:rsid w:val="00844EBB"/>
    <w:rsid w:val="008462CB"/>
    <w:rsid w:val="00873538"/>
    <w:rsid w:val="00877014"/>
    <w:rsid w:val="00885439"/>
    <w:rsid w:val="008863EB"/>
    <w:rsid w:val="00896346"/>
    <w:rsid w:val="00897033"/>
    <w:rsid w:val="008A19AE"/>
    <w:rsid w:val="008A5DA2"/>
    <w:rsid w:val="008B23E4"/>
    <w:rsid w:val="008B5FE4"/>
    <w:rsid w:val="008C3F0F"/>
    <w:rsid w:val="008D1FBB"/>
    <w:rsid w:val="008D2B73"/>
    <w:rsid w:val="008D4FFF"/>
    <w:rsid w:val="008D58A3"/>
    <w:rsid w:val="008E3EF5"/>
    <w:rsid w:val="008E45E4"/>
    <w:rsid w:val="008E48B2"/>
    <w:rsid w:val="008E77FE"/>
    <w:rsid w:val="008F0FC8"/>
    <w:rsid w:val="0090498A"/>
    <w:rsid w:val="009055FE"/>
    <w:rsid w:val="00913FA7"/>
    <w:rsid w:val="00914192"/>
    <w:rsid w:val="00922C2D"/>
    <w:rsid w:val="009265DE"/>
    <w:rsid w:val="00930B65"/>
    <w:rsid w:val="00936044"/>
    <w:rsid w:val="00936227"/>
    <w:rsid w:val="0094244E"/>
    <w:rsid w:val="00942D26"/>
    <w:rsid w:val="00945A61"/>
    <w:rsid w:val="009535D2"/>
    <w:rsid w:val="009607A6"/>
    <w:rsid w:val="00966BC2"/>
    <w:rsid w:val="00970FA7"/>
    <w:rsid w:val="0097303D"/>
    <w:rsid w:val="00984AD1"/>
    <w:rsid w:val="00994BA6"/>
    <w:rsid w:val="0099548A"/>
    <w:rsid w:val="009A0ABD"/>
    <w:rsid w:val="009A6BF7"/>
    <w:rsid w:val="009B0940"/>
    <w:rsid w:val="009B41C3"/>
    <w:rsid w:val="009B53CF"/>
    <w:rsid w:val="009B5E4D"/>
    <w:rsid w:val="009D34B1"/>
    <w:rsid w:val="009D3C0D"/>
    <w:rsid w:val="009E17F8"/>
    <w:rsid w:val="00A005BA"/>
    <w:rsid w:val="00A00A80"/>
    <w:rsid w:val="00A01E0F"/>
    <w:rsid w:val="00A155AF"/>
    <w:rsid w:val="00A26954"/>
    <w:rsid w:val="00A3099F"/>
    <w:rsid w:val="00A347BD"/>
    <w:rsid w:val="00A35D92"/>
    <w:rsid w:val="00A421B4"/>
    <w:rsid w:val="00A55ABA"/>
    <w:rsid w:val="00A67CE1"/>
    <w:rsid w:val="00A92C76"/>
    <w:rsid w:val="00A94BDA"/>
    <w:rsid w:val="00A95D0B"/>
    <w:rsid w:val="00AA5BDA"/>
    <w:rsid w:val="00AB220B"/>
    <w:rsid w:val="00AB4872"/>
    <w:rsid w:val="00AB7707"/>
    <w:rsid w:val="00AD1ED6"/>
    <w:rsid w:val="00AD3E68"/>
    <w:rsid w:val="00AD4CA0"/>
    <w:rsid w:val="00AE4794"/>
    <w:rsid w:val="00AE4C81"/>
    <w:rsid w:val="00AE52F0"/>
    <w:rsid w:val="00AF2095"/>
    <w:rsid w:val="00B1076C"/>
    <w:rsid w:val="00B10FAA"/>
    <w:rsid w:val="00B133E9"/>
    <w:rsid w:val="00B3085C"/>
    <w:rsid w:val="00B40D16"/>
    <w:rsid w:val="00B4347D"/>
    <w:rsid w:val="00B641A2"/>
    <w:rsid w:val="00B67B52"/>
    <w:rsid w:val="00B70BB2"/>
    <w:rsid w:val="00B83285"/>
    <w:rsid w:val="00B92DC3"/>
    <w:rsid w:val="00B974A0"/>
    <w:rsid w:val="00B97B3B"/>
    <w:rsid w:val="00BB3670"/>
    <w:rsid w:val="00BB3B37"/>
    <w:rsid w:val="00BB3FD5"/>
    <w:rsid w:val="00BB7139"/>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21DC7"/>
    <w:rsid w:val="00C31EB9"/>
    <w:rsid w:val="00C335F0"/>
    <w:rsid w:val="00C46524"/>
    <w:rsid w:val="00C51288"/>
    <w:rsid w:val="00C57D19"/>
    <w:rsid w:val="00C63233"/>
    <w:rsid w:val="00C67029"/>
    <w:rsid w:val="00C74023"/>
    <w:rsid w:val="00C92437"/>
    <w:rsid w:val="00C93478"/>
    <w:rsid w:val="00C93B38"/>
    <w:rsid w:val="00C95523"/>
    <w:rsid w:val="00CA3223"/>
    <w:rsid w:val="00CA34A6"/>
    <w:rsid w:val="00CC1B45"/>
    <w:rsid w:val="00CC703E"/>
    <w:rsid w:val="00CD0840"/>
    <w:rsid w:val="00CD15AB"/>
    <w:rsid w:val="00CD454A"/>
    <w:rsid w:val="00CE4590"/>
    <w:rsid w:val="00CE51F8"/>
    <w:rsid w:val="00CE6C6A"/>
    <w:rsid w:val="00CF2224"/>
    <w:rsid w:val="00D024FD"/>
    <w:rsid w:val="00D22638"/>
    <w:rsid w:val="00D36494"/>
    <w:rsid w:val="00D500AD"/>
    <w:rsid w:val="00D502B5"/>
    <w:rsid w:val="00D518EA"/>
    <w:rsid w:val="00D53570"/>
    <w:rsid w:val="00D5780C"/>
    <w:rsid w:val="00D749E0"/>
    <w:rsid w:val="00D759A2"/>
    <w:rsid w:val="00D85A12"/>
    <w:rsid w:val="00D87087"/>
    <w:rsid w:val="00D91DB8"/>
    <w:rsid w:val="00D95AF5"/>
    <w:rsid w:val="00D96C0D"/>
    <w:rsid w:val="00DB2314"/>
    <w:rsid w:val="00DB4C95"/>
    <w:rsid w:val="00DB79B0"/>
    <w:rsid w:val="00DC22D6"/>
    <w:rsid w:val="00DC4C0A"/>
    <w:rsid w:val="00DC5012"/>
    <w:rsid w:val="00DD1DB3"/>
    <w:rsid w:val="00DD388F"/>
    <w:rsid w:val="00DD7EE6"/>
    <w:rsid w:val="00DE01B6"/>
    <w:rsid w:val="00DF0216"/>
    <w:rsid w:val="00DF045C"/>
    <w:rsid w:val="00DF0F89"/>
    <w:rsid w:val="00DF1A86"/>
    <w:rsid w:val="00DF6948"/>
    <w:rsid w:val="00E0299D"/>
    <w:rsid w:val="00E119BE"/>
    <w:rsid w:val="00E153A7"/>
    <w:rsid w:val="00E168A9"/>
    <w:rsid w:val="00E22BCC"/>
    <w:rsid w:val="00E22E83"/>
    <w:rsid w:val="00E30400"/>
    <w:rsid w:val="00E41558"/>
    <w:rsid w:val="00E458E0"/>
    <w:rsid w:val="00E506A7"/>
    <w:rsid w:val="00E555F6"/>
    <w:rsid w:val="00E6563E"/>
    <w:rsid w:val="00E711FC"/>
    <w:rsid w:val="00E83259"/>
    <w:rsid w:val="00E86AB6"/>
    <w:rsid w:val="00E87F33"/>
    <w:rsid w:val="00E92BAD"/>
    <w:rsid w:val="00EA726F"/>
    <w:rsid w:val="00EB60AF"/>
    <w:rsid w:val="00EB7714"/>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A77ED"/>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4A532F"/>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transparencia.gob.sv/institutions/lnb/officials" TargetMode="External"/><Relationship Id="rId2" Type="http://schemas.openxmlformats.org/officeDocument/2006/relationships/hyperlink" Target="https://www.transparencia.gob.sv/institutions/lnb/consultants" TargetMode="External"/><Relationship Id="rId1" Type="http://schemas.openxmlformats.org/officeDocument/2006/relationships/hyperlink" Target="https://www.transparencia.gob.sv/institutions/lnb/documents/indice-de-informacion-reservada" TargetMode="External"/><Relationship Id="rId6" Type="http://schemas.openxmlformats.org/officeDocument/2006/relationships/hyperlink" Target="https://www.transparencia.gob.sv/institutions/lnb/documents/otros-documentos-normativos" TargetMode="External"/><Relationship Id="rId5" Type="http://schemas.openxmlformats.org/officeDocument/2006/relationships/hyperlink" Target="https://www.transparencia.gob.sv/institutions/lnb/documents/estados-financieros" TargetMode="External"/><Relationship Id="rId4" Type="http://schemas.openxmlformats.org/officeDocument/2006/relationships/hyperlink" Target="https://www.transparencia.gob.sv/institutions/lnb/documents/estadistica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E928-38BD-4DE3-B818-CD5A02E1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7606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2</cp:revision>
  <cp:lastPrinted>2020-01-30T19:21:00Z</cp:lastPrinted>
  <dcterms:created xsi:type="dcterms:W3CDTF">2020-07-06T19:02:00Z</dcterms:created>
  <dcterms:modified xsi:type="dcterms:W3CDTF">2020-07-06T19:02:00Z</dcterms:modified>
</cp:coreProperties>
</file>