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D94654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  <w:r w:rsidR="006E75EB">
        <w:rPr>
          <w:rFonts w:ascii="Times New Roman" w:eastAsia="Adobe Song Std L" w:hAnsi="Times New Roman" w:cs="Times New Roman"/>
          <w:b/>
          <w:bCs/>
          <w:sz w:val="24"/>
          <w:szCs w:val="24"/>
        </w:rPr>
        <w:t>9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65FF8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65FF8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405397" w:rsidRPr="00465FF8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AE672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día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jueves</w:t>
      </w:r>
      <w:r w:rsidR="005E684E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veinticinco d</w:t>
      </w:r>
      <w:r w:rsidR="009C1189" w:rsidRPr="00465FF8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F6794" w:rsidRPr="00465FF8">
        <w:rPr>
          <w:rFonts w:ascii="Times New Roman" w:eastAsia="Adobe Song Std L" w:hAnsi="Times New Roman" w:cs="Times New Roman"/>
          <w:sz w:val="24"/>
          <w:szCs w:val="24"/>
        </w:rPr>
        <w:t>abril</w:t>
      </w:r>
      <w:r w:rsidR="00524F0D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65FF8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65FF8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65FF8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65FF8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65FF8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65FF8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65FF8" w:rsidRDefault="00827A95" w:rsidP="003424C7">
      <w:pPr>
        <w:spacing w:line="240" w:lineRule="auto"/>
        <w:jc w:val="both"/>
        <w:rPr>
          <w:rFonts w:ascii="Times New Roman" w:hAnsi="Times New Roman" w:cs="Times New Roman"/>
        </w:rPr>
      </w:pPr>
      <w:r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917E3F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917E3F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917E3F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917E3F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917E3F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917E3F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917E3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917E3F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2595D" w:rsidRPr="00917E3F" w:rsidRDefault="00D2595D" w:rsidP="00465FF8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III.- Asuntos de Presidencia </w:t>
      </w:r>
    </w:p>
    <w:p w:rsidR="00D2595D" w:rsidRPr="00917E3F" w:rsidRDefault="00D2595D" w:rsidP="00D2595D">
      <w:pPr>
        <w:suppressAutoHyphens w:val="0"/>
        <w:spacing w:line="240" w:lineRule="auto"/>
        <w:ind w:left="786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2595D" w:rsidRPr="00917E3F" w:rsidRDefault="00D2595D" w:rsidP="00465FF8">
      <w:pPr>
        <w:pStyle w:val="Prrafodelista"/>
        <w:numPr>
          <w:ilvl w:val="1"/>
          <w:numId w:val="18"/>
        </w:num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>Memorando UTL.ME.063/04/2019, sobre informe de caso laboral de Carlos Leonardo Hernández.</w:t>
      </w:r>
    </w:p>
    <w:p w:rsidR="00D2595D" w:rsidRPr="00917E3F" w:rsidRDefault="00D2595D" w:rsidP="00465FF8">
      <w:p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2595D" w:rsidRPr="00917E3F" w:rsidRDefault="00D2595D" w:rsidP="00465FF8">
      <w:pPr>
        <w:pStyle w:val="Prrafodelista"/>
        <w:numPr>
          <w:ilvl w:val="1"/>
          <w:numId w:val="18"/>
        </w:num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>Memorando UTL.ME.065/04/2019, sobre informe de demanda Laboral presentada por el ex empleado Edwin Alfredo Flores Villalobos, ante el Juez 4° de lo Laboral de San Salvador.</w:t>
      </w:r>
    </w:p>
    <w:p w:rsidR="00D2595D" w:rsidRPr="00917E3F" w:rsidRDefault="00D2595D" w:rsidP="00465FF8">
      <w:pPr>
        <w:suppressAutoHyphens w:val="0"/>
        <w:spacing w:line="240" w:lineRule="auto"/>
        <w:ind w:left="426" w:hanging="426"/>
        <w:rPr>
          <w:rFonts w:ascii="Times New Roman" w:eastAsia="Adobe Song Std L" w:hAnsi="Times New Roman" w:cs="Times New Roman"/>
          <w:sz w:val="24"/>
          <w:szCs w:val="24"/>
        </w:rPr>
      </w:pPr>
    </w:p>
    <w:p w:rsidR="00D2595D" w:rsidRPr="00917E3F" w:rsidRDefault="00D2595D" w:rsidP="00465FF8">
      <w:pPr>
        <w:numPr>
          <w:ilvl w:val="1"/>
          <w:numId w:val="18"/>
        </w:numPr>
        <w:suppressAutoHyphens w:val="0"/>
        <w:spacing w:line="240" w:lineRule="auto"/>
        <w:ind w:left="426" w:hanging="426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Memorando PI-ME-056/2019, </w:t>
      </w:r>
      <w:r w:rsidR="00065A64">
        <w:rPr>
          <w:rFonts w:ascii="Times New Roman" w:eastAsia="Adobe Song Std L" w:hAnsi="Times New Roman" w:cs="Times New Roman"/>
          <w:sz w:val="24"/>
          <w:szCs w:val="24"/>
        </w:rPr>
        <w:t xml:space="preserve">Solicitud de autorización para participar en Misión Oficial y atender convocatoria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de la CIBELAE a reunión de trabajo en la Ciudad de Córdoba</w:t>
      </w:r>
      <w:r w:rsidR="00065A64">
        <w:rPr>
          <w:rFonts w:ascii="Times New Roman" w:eastAsia="Adobe Song Std L" w:hAnsi="Times New Roman" w:cs="Times New Roman"/>
          <w:sz w:val="24"/>
          <w:szCs w:val="24"/>
        </w:rPr>
        <w:t>, República de Argentina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, por corresponder a la Presidencia de la LNB el rol de Sindico.</w:t>
      </w:r>
    </w:p>
    <w:p w:rsidR="00D2595D" w:rsidRPr="00917E3F" w:rsidRDefault="00D2595D" w:rsidP="00D2595D">
      <w:pPr>
        <w:suppressAutoHyphens w:val="0"/>
        <w:spacing w:line="240" w:lineRule="auto"/>
        <w:ind w:left="786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2595D" w:rsidRPr="00917E3F" w:rsidRDefault="00D2595D" w:rsidP="00D2595D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IV.- Asuntos Unidad de Adquisiciones y Contrataciones.</w:t>
      </w:r>
    </w:p>
    <w:p w:rsidR="00D2595D" w:rsidRPr="00917E3F" w:rsidRDefault="00D2595D" w:rsidP="00D2595D">
      <w:pPr>
        <w:suppressAutoHyphens w:val="0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D2595D" w:rsidRPr="00917E3F" w:rsidRDefault="00D2595D" w:rsidP="00465FF8">
      <w:pPr>
        <w:numPr>
          <w:ilvl w:val="1"/>
          <w:numId w:val="17"/>
        </w:numPr>
        <w:tabs>
          <w:tab w:val="left" w:pos="426"/>
          <w:tab w:val="left" w:pos="1134"/>
        </w:tabs>
        <w:suppressAutoHyphens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Memorando UACI/ME/296/2019 sobre propuesta de conformación de la comisión de Evaluación de Oferta (CEO) referente al proceso LP No. 06/2019 “Adquisición de máquinas de sorteo con Tecnología de gravedad para la selección de números, con balotas o pelotas con sistema de reconocimiento”.</w:t>
      </w:r>
    </w:p>
    <w:p w:rsidR="00D2595D" w:rsidRPr="00917E3F" w:rsidRDefault="00D2595D" w:rsidP="00D2595D">
      <w:pPr>
        <w:tabs>
          <w:tab w:val="left" w:pos="851"/>
          <w:tab w:val="left" w:pos="1134"/>
        </w:tabs>
        <w:suppressAutoHyphens w:val="0"/>
        <w:spacing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D2595D" w:rsidRPr="00917E3F" w:rsidRDefault="00D2595D" w:rsidP="00D2595D">
      <w:pPr>
        <w:tabs>
          <w:tab w:val="left" w:pos="851"/>
          <w:tab w:val="left" w:pos="1134"/>
        </w:tabs>
        <w:suppressAutoHyphens w:val="0"/>
        <w:spacing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D2595D" w:rsidRPr="00917E3F" w:rsidRDefault="00D2595D" w:rsidP="00D2595D">
      <w:pPr>
        <w:suppressAutoHyphens w:val="0"/>
        <w:spacing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D2595D" w:rsidRPr="00917E3F" w:rsidRDefault="00D2595D" w:rsidP="008B3407">
      <w:pPr>
        <w:pStyle w:val="Prrafodelista"/>
        <w:numPr>
          <w:ilvl w:val="0"/>
          <w:numId w:val="20"/>
        </w:numPr>
        <w:suppressAutoHyphens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Asuntos Unidad Financiera</w:t>
      </w:r>
    </w:p>
    <w:p w:rsidR="00D2595D" w:rsidRPr="00917E3F" w:rsidRDefault="00D2595D" w:rsidP="00D2595D">
      <w:pPr>
        <w:suppressAutoHyphens w:val="0"/>
        <w:spacing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695930" w:rsidRPr="00917E3F" w:rsidRDefault="00D2595D" w:rsidP="00465FF8">
      <w:pPr>
        <w:pStyle w:val="Prrafodelista"/>
        <w:numPr>
          <w:ilvl w:val="1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E3F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Memorando UFI/145/2019, </w:t>
      </w:r>
      <w:r w:rsidR="00065A6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Informe </w:t>
      </w:r>
      <w:r w:rsidRPr="00917E3F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sobre saldos bancarios y justificación de colocación de depósitos.</w:t>
      </w:r>
    </w:p>
    <w:p w:rsidR="00D2595D" w:rsidRPr="00917E3F" w:rsidRDefault="00D2595D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917E3F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917E3F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F2E5A" w:rsidRPr="00917E3F" w:rsidRDefault="000F2E5A" w:rsidP="000F2E5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sz w:val="24"/>
          <w:szCs w:val="24"/>
        </w:rPr>
        <w:t>III.- Asuntos de Presidencia.</w:t>
      </w:r>
    </w:p>
    <w:p w:rsidR="000F2E5A" w:rsidRPr="00917E3F" w:rsidRDefault="000F2E5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8545E6" w:rsidRPr="006011EB" w:rsidRDefault="008545E6" w:rsidP="00F8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D2595D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UTL.ME.063/04/2019, sobre informe de caso laboral de </w:t>
      </w:r>
      <w:r w:rsidR="00625FE2">
        <w:rPr>
          <w:rFonts w:ascii="Times New Roman" w:hAnsi="Times New Roman" w:cs="Times New Roman"/>
          <w:b/>
          <w:sz w:val="24"/>
          <w:szCs w:val="24"/>
          <w:lang w:val="es-ES_tradnl"/>
        </w:rPr>
        <w:t>/////////////</w:t>
      </w:r>
      <w:r w:rsidR="00D2595D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704A7D" w:rsidRPr="00917E3F">
        <w:rPr>
          <w:rFonts w:ascii="Times New Roman" w:hAnsi="Times New Roman" w:cs="Times New Roman"/>
          <w:sz w:val="24"/>
          <w:szCs w:val="24"/>
          <w:lang w:val="es-SV"/>
        </w:rPr>
        <w:t xml:space="preserve"> Conocido este punto</w:t>
      </w:r>
      <w:r w:rsidR="00704A7D"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04A7D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JUNTA</w:t>
      </w: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DIRECTIVA ACUERDA</w:t>
      </w:r>
      <w:r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a) </w:t>
      </w:r>
      <w:r w:rsidRPr="00917E3F">
        <w:rPr>
          <w:rFonts w:ascii="Times New Roman" w:hAnsi="Times New Roman" w:cs="Times New Roman"/>
          <w:sz w:val="24"/>
          <w:szCs w:val="24"/>
          <w:lang w:val="es-ES_tradnl"/>
        </w:rPr>
        <w:t>Darse por enterada de</w:t>
      </w:r>
      <w:r w:rsidR="00704A7D" w:rsidRPr="00917E3F">
        <w:rPr>
          <w:rFonts w:ascii="Times New Roman" w:hAnsi="Times New Roman" w:cs="Times New Roman"/>
          <w:sz w:val="24"/>
          <w:szCs w:val="24"/>
          <w:lang w:val="es-ES_tradnl"/>
        </w:rPr>
        <w:t>l resultado del proceso laboral promovido en el Ministerio de Trabajo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 y Previsión</w:t>
      </w:r>
      <w:r w:rsidR="00704A7D"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, por el ex gerente administrativo Lic. </w:t>
      </w:r>
      <w:r w:rsidR="00625FE2">
        <w:rPr>
          <w:rFonts w:ascii="Times New Roman" w:hAnsi="Times New Roman" w:cs="Times New Roman"/>
          <w:sz w:val="24"/>
          <w:szCs w:val="24"/>
          <w:lang w:val="es-ES_tradnl"/>
        </w:rPr>
        <w:t>///////////////////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; y b) </w:t>
      </w:r>
      <w:r w:rsidR="008C44E9">
        <w:rPr>
          <w:rFonts w:ascii="Times New Roman" w:hAnsi="Times New Roman" w:cs="Times New Roman"/>
          <w:sz w:val="24"/>
          <w:szCs w:val="24"/>
          <w:lang w:val="es-ES_tradnl"/>
        </w:rPr>
        <w:t>Instruir a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 la Jef</w:t>
      </w:r>
      <w:r w:rsidR="008C44E9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 de Recursos Humanos Interina, para </w:t>
      </w:r>
      <w:r w:rsidR="008C44E9">
        <w:rPr>
          <w:rFonts w:ascii="Times New Roman" w:hAnsi="Times New Roman" w:cs="Times New Roman"/>
          <w:sz w:val="24"/>
          <w:szCs w:val="24"/>
          <w:lang w:val="es-ES_tradnl"/>
        </w:rPr>
        <w:t>que dé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 xml:space="preserve"> seguimiento </w:t>
      </w:r>
      <w:r w:rsidR="008C44E9" w:rsidRPr="008C44E9">
        <w:rPr>
          <w:rFonts w:ascii="Times New Roman" w:hAnsi="Times New Roman" w:cs="Times New Roman"/>
          <w:sz w:val="24"/>
          <w:szCs w:val="24"/>
          <w:lang w:val="es-ES_tradnl"/>
        </w:rPr>
        <w:t>a la opinión solicitada</w:t>
      </w:r>
      <w:r w:rsidR="008C44E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8C44E9" w:rsidRPr="008C44E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>ante la Dirección General de Inspección de Trabajo del Ministerio de Trabajo y Previsión Social, e informe inmediata</w:t>
      </w:r>
      <w:r w:rsidR="008C44E9">
        <w:rPr>
          <w:rFonts w:ascii="Times New Roman" w:hAnsi="Times New Roman" w:cs="Times New Roman"/>
          <w:sz w:val="24"/>
          <w:szCs w:val="24"/>
          <w:lang w:val="es-ES_tradnl"/>
        </w:rPr>
        <w:t>mente del dictamen que se emita</w:t>
      </w:r>
      <w:r w:rsidR="00D14DE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Pr="00917E3F">
        <w:rPr>
          <w:rFonts w:ascii="Times New Roman" w:hAnsi="Times New Roman" w:cs="Times New Roman"/>
          <w:sz w:val="24"/>
          <w:szCs w:val="24"/>
        </w:rPr>
        <w:t>.</w:t>
      </w:r>
    </w:p>
    <w:p w:rsidR="00035CA7" w:rsidRPr="00917E3F" w:rsidRDefault="00035CA7" w:rsidP="005417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7BF8" w:rsidRPr="00917E3F" w:rsidRDefault="00704A7D" w:rsidP="00AA2A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3.2 Memorando UTL.ME.065/04/2019, sobre informe de demanda Laboral presentada por el ex empleado </w:t>
      </w:r>
      <w:r w:rsidR="00625FE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////////////////////////</w:t>
      </w: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, ante el Juez 4° de lo Laboral de San Salvador</w:t>
      </w:r>
      <w:r w:rsidRPr="00917E3F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.</w:t>
      </w:r>
      <w:r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A1259" w:rsidRPr="00917E3F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Conocido y analizado este punto</w:t>
      </w:r>
      <w:r w:rsidR="000A1259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A1259" w:rsidRPr="00917E3F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JUNTA DIRECTIVA ACUERDA</w:t>
      </w:r>
      <w:r w:rsidR="000A1259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: a) Darse por enterada del informe 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presentado; b) Girar lineamiento a la Unidad de Auditoria Interna para </w:t>
      </w:r>
      <w:r w:rsidR="00B657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proceda</w:t>
      </w:r>
      <w:r w:rsidR="00B657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 efectuar 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una auditoría especial</w:t>
      </w:r>
      <w:r w:rsidR="00B657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proceso de pago de la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Prestación Económica por Renuncia Voluntaria del ex empleado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25F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//////////////////////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, la cual deberá presentar su informe a </w:t>
      </w:r>
      <w:r w:rsidR="00917E3F" w:rsidRPr="00917E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más</w:t>
      </w:r>
      <w:r w:rsidR="00F449E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tardar el día</w:t>
      </w:r>
      <w:r w:rsidR="00B6575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="00F449E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13</w:t>
      </w:r>
      <w:r w:rsidR="00133A90" w:rsidRPr="00917E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mayo del presente año.</w:t>
      </w:r>
      <w:r w:rsidR="000A1259" w:rsidRPr="00917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A1259" w:rsidRPr="00917E3F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COMUNIQUESE</w:t>
      </w:r>
      <w:r w:rsidR="001222DB" w:rsidRPr="00917E3F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.</w:t>
      </w:r>
    </w:p>
    <w:p w:rsidR="001222DB" w:rsidRPr="00917E3F" w:rsidRDefault="001222DB" w:rsidP="00AA2A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142909" w:rsidRPr="006011EB" w:rsidRDefault="00EC6C32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</w:pPr>
      <w:r w:rsidRPr="001B19A1">
        <w:rPr>
          <w:rFonts w:ascii="Times New Roman" w:eastAsia="Arial Narrow" w:hAnsi="Times New Roman" w:cs="Times New Roman"/>
          <w:b/>
          <w:kern w:val="0"/>
          <w:sz w:val="24"/>
          <w:szCs w:val="24"/>
          <w:lang w:val="es-ES_tradnl" w:eastAsia="es-SV"/>
        </w:rPr>
        <w:t>3.3.</w:t>
      </w:r>
      <w:r w:rsidR="00F449E9" w:rsidRPr="00F449E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449E9" w:rsidRPr="00F449E9">
        <w:rPr>
          <w:rFonts w:ascii="Times New Roman" w:eastAsia="Arial Narrow" w:hAnsi="Times New Roman" w:cs="Times New Roman"/>
          <w:b/>
          <w:kern w:val="0"/>
          <w:sz w:val="24"/>
          <w:szCs w:val="24"/>
          <w:lang w:eastAsia="es-SV"/>
        </w:rPr>
        <w:t>Memorando PI-ME-056/2019, Solicitud de autorización para participar en Misión Oficial y atender convocatoria de la CIBELAE a reunión de trabajo en la Ciudad de Córdoba, República de Argentina, por corresponder a la Presidencia de la LNB el rol de Sindico</w:t>
      </w:r>
      <w:r w:rsidRPr="001B19A1">
        <w:rPr>
          <w:rFonts w:ascii="Times New Roman" w:eastAsia="Arial Narrow" w:hAnsi="Times New Roman" w:cs="Times New Roman"/>
          <w:kern w:val="0"/>
          <w:sz w:val="24"/>
          <w:szCs w:val="24"/>
          <w:lang w:val="es-ES_tradnl" w:eastAsia="es-SV"/>
        </w:rPr>
        <w:t>.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Conocido y analizado este punto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Pr="001B19A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: </w:t>
      </w:r>
      <w:r w:rsidRPr="001B19A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Autorizar 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la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Misión Oficial al 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Lic. René Roberto Flores Martínez,</w:t>
      </w:r>
      <w:r w:rsidRPr="001B19A1"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  <w:t xml:space="preserve"> </w:t>
      </w:r>
      <w:r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  <w:t xml:space="preserve">Director Presidente Interino, para </w:t>
      </w:r>
      <w:r w:rsidRPr="0048120E"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  <w:t>participar  en  reunión de trabajo, los días 8 y 9 de mayo del presente año</w:t>
      </w:r>
      <w:r w:rsidR="00FD692C"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  <w:t xml:space="preserve"> (saliendo el día 7 de mayo regresando el día 10 del mismo mes y año)</w:t>
      </w:r>
      <w:r w:rsidRPr="0048120E">
        <w:rPr>
          <w:rFonts w:ascii="Times New Roman" w:eastAsia="Arial Narrow" w:hAnsi="Times New Roman" w:cs="Times New Roman"/>
          <w:kern w:val="0"/>
          <w:sz w:val="24"/>
          <w:szCs w:val="24"/>
          <w:lang w:eastAsia="es-SV"/>
        </w:rPr>
        <w:t>, en la ciudad de Córdoba, Argentina, conjuntamente con el contador de la Corporación Iberoamericana de Loterías y Apuestas del Estado  (CIBELAE), a efecto de examinar las operaciones efectuadas por la Asociación de Loterías Estatales de Argentina (ALEA), quien por mandato de la CIBELAE desde noviembre 2016 a febrero 2019 ha manejado los ingresos y gastos de la Corporación, por cuenta y orden de ésta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,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Pr="001B19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b)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A</w:t>
      </w:r>
      <w:r w:rsidRPr="005913E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utorizar los gastos para el cumplimiento de misión oficial, conforme a lo establecido en el Reglamento General de Viáticos vigente y su respectivo instructivo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, ascendiendo el desembolso en concepto de gastos de viaje a 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US$ 600.00, y gastos terminales,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a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US$ 45.00, en vista que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la 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CIBELAE cubrirá los gastos de pasaje y alojamiento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; </w:t>
      </w:r>
      <w:r w:rsidRPr="001B19A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c)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Designar al 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 Raúl Anaya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Mena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Director Propietario en funciones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por el Ministerio de Hacienda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para que ejerza como Presidente en funciones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Pr="001B19A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</w:t>
      </w:r>
      <w:r w:rsidRPr="007E3A8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atender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asuntos de trabajo urgentes y prioritarios que puedan surgir 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el período del 7 de mayo al 10 de mayo del presente año, ambas fechas incluidas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MX" w:eastAsia="es-ES"/>
        </w:rPr>
        <w:t xml:space="preserve">; </w:t>
      </w:r>
      <w:r w:rsidRPr="00591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MX" w:eastAsia="es-ES"/>
        </w:rPr>
        <w:t>d)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MX" w:eastAsia="es-ES"/>
        </w:rPr>
        <w:t xml:space="preserve"> 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val="es-MX" w:eastAsia="es-ES"/>
        </w:rPr>
        <w:t>Girar lineamientos al</w:t>
      </w:r>
      <w:r w:rsidRPr="005913E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jefe UFI, 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para que </w:t>
      </w:r>
      <w:r w:rsidRPr="005913E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de acuerd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o a sus </w:t>
      </w:r>
      <w:r w:rsidR="00FD692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lastRenderedPageBreak/>
        <w:t>competencias, verifique, valide, registre y efectúe</w:t>
      </w:r>
      <w:r w:rsidRPr="005913E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las gestiones y operaciones que determine procedentes, según lo establecido en la normativa técnica y legal pertinente</w:t>
      </w:r>
      <w:r w:rsidRPr="004F72FB">
        <w:rPr>
          <w:rFonts w:ascii="Times New Roman" w:hAnsi="Times New Roman" w:cs="Times New Roman"/>
          <w:lang w:eastAsia="es-ES"/>
        </w:rPr>
        <w:t xml:space="preserve">. </w:t>
      </w:r>
      <w:r w:rsidRPr="004F72FB">
        <w:rPr>
          <w:rFonts w:ascii="Times New Roman" w:hAnsi="Times New Roman" w:cs="Times New Roman"/>
          <w:b/>
          <w:lang w:eastAsia="es-ES"/>
        </w:rPr>
        <w:t>COMUNIQUESE</w:t>
      </w:r>
      <w:r w:rsidR="00142909"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.</w:t>
      </w:r>
    </w:p>
    <w:p w:rsidR="008B3407" w:rsidRPr="00917E3F" w:rsidRDefault="008B3407" w:rsidP="008B3407">
      <w:pPr>
        <w:suppressAutoHyphens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8B3407" w:rsidRPr="00917E3F" w:rsidRDefault="008B3407" w:rsidP="008B3407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IV. Asuntos Unidad de Adquisiciones  Contrataciones.</w:t>
      </w:r>
    </w:p>
    <w:p w:rsidR="008B3407" w:rsidRPr="00917E3F" w:rsidRDefault="008B3407" w:rsidP="008B3407">
      <w:pPr>
        <w:spacing w:line="240" w:lineRule="auto"/>
        <w:contextualSpacing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6011EB" w:rsidRDefault="008B3407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Memorando UACI/ME/296/2019 sobre propuesta de conformación de la comisión de Evaluación de Oferta (CEO) referente al proceso LP No. 06/2019 “Adquisición de máquinas de sorteo con Tecnología de gravedad para la selección de números, con balotas o pelotas con sistema de reconocimiento”. </w:t>
      </w:r>
      <w:r w:rsidR="00625FE2">
        <w:rPr>
          <w:rFonts w:ascii="Times New Roman" w:hAnsi="Times New Roman" w:cs="Times New Roman"/>
          <w:b/>
          <w:sz w:val="24"/>
          <w:szCs w:val="24"/>
          <w:lang w:val="es-ES_tradnl"/>
        </w:rPr>
        <w:t>C</w:t>
      </w:r>
      <w:r w:rsidRPr="00917E3F">
        <w:rPr>
          <w:rFonts w:ascii="Times New Roman" w:hAnsi="Times New Roman" w:cs="Times New Roman"/>
          <w:sz w:val="24"/>
          <w:szCs w:val="24"/>
        </w:rPr>
        <w:t>onocido y analizado el punto con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base 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>al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Art. 20 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>de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la</w:t>
      </w:r>
      <w:r w:rsidR="003E1C8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Ley de Adquisiciones y Contrataciones de la Administración </w:t>
      </w:r>
      <w:r w:rsidR="00625FE2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Pública, </w:t>
      </w:r>
      <w:r w:rsidR="00AA2A93">
        <w:rPr>
          <w:rFonts w:ascii="Times New Roman" w:hAnsi="Times New Roman" w:cs="Times New Roman"/>
          <w:sz w:val="24"/>
          <w:szCs w:val="24"/>
        </w:rPr>
        <w:t xml:space="preserve">  </w:t>
      </w:r>
      <w:r w:rsidRPr="00917E3F">
        <w:rPr>
          <w:rFonts w:ascii="Times New Roman" w:hAnsi="Times New Roman" w:cs="Times New Roman"/>
          <w:sz w:val="24"/>
          <w:szCs w:val="24"/>
        </w:rPr>
        <w:t>Artículo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21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del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Reglamento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de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la 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Ley 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>de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Adquisiciones 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y 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Contrataciones 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>de</w:t>
      </w:r>
      <w:r w:rsidR="00AA2A93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 la Administración Pú</w:t>
      </w:r>
      <w:r w:rsidR="00AA191A">
        <w:rPr>
          <w:rFonts w:ascii="Times New Roman" w:hAnsi="Times New Roman" w:cs="Times New Roman"/>
          <w:sz w:val="24"/>
          <w:szCs w:val="24"/>
        </w:rPr>
        <w:t xml:space="preserve">blica, </w:t>
      </w:r>
      <w:r w:rsidR="00AA191A" w:rsidRPr="00AA191A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Pr="00917E3F">
        <w:rPr>
          <w:rFonts w:ascii="Times New Roman" w:hAnsi="Times New Roman" w:cs="Times New Roman"/>
          <w:sz w:val="24"/>
          <w:szCs w:val="24"/>
        </w:rPr>
        <w:t xml:space="preserve"> Nombrar </w:t>
      </w:r>
      <w:r w:rsidR="00AA191A">
        <w:rPr>
          <w:rFonts w:ascii="Times New Roman" w:hAnsi="Times New Roman" w:cs="Times New Roman"/>
          <w:sz w:val="24"/>
          <w:szCs w:val="24"/>
        </w:rPr>
        <w:t>a las siguientes personas</w:t>
      </w:r>
      <w:r w:rsidR="00AA191A" w:rsidRPr="00AA191A">
        <w:rPr>
          <w:rFonts w:ascii="Times New Roman" w:hAnsi="Times New Roman" w:cs="Times New Roman"/>
          <w:sz w:val="24"/>
          <w:szCs w:val="24"/>
        </w:rPr>
        <w:t xml:space="preserve">: Licenciada </w:t>
      </w:r>
      <w:r w:rsidR="00625FE2">
        <w:rPr>
          <w:rFonts w:ascii="Times New Roman" w:hAnsi="Times New Roman" w:cs="Times New Roman"/>
          <w:sz w:val="24"/>
          <w:szCs w:val="24"/>
        </w:rPr>
        <w:t>/////////////</w:t>
      </w:r>
      <w:r w:rsidR="00AA191A" w:rsidRPr="00AA191A">
        <w:rPr>
          <w:rFonts w:ascii="Times New Roman" w:hAnsi="Times New Roman" w:cs="Times New Roman"/>
          <w:sz w:val="24"/>
          <w:szCs w:val="24"/>
        </w:rPr>
        <w:t xml:space="preserve">, Gerente Comercial Interina, en calidad de Solicitante del Bien y Experta en la Materia; Licenciado </w:t>
      </w:r>
      <w:r w:rsidR="00625FE2">
        <w:rPr>
          <w:rFonts w:ascii="Times New Roman" w:hAnsi="Times New Roman" w:cs="Times New Roman"/>
          <w:sz w:val="24"/>
          <w:szCs w:val="24"/>
        </w:rPr>
        <w:t>/////////////////</w:t>
      </w:r>
      <w:r w:rsidR="00AA191A" w:rsidRPr="00AA191A">
        <w:rPr>
          <w:rFonts w:ascii="Times New Roman" w:hAnsi="Times New Roman" w:cs="Times New Roman"/>
          <w:sz w:val="24"/>
          <w:szCs w:val="24"/>
        </w:rPr>
        <w:t xml:space="preserve">, Jefe UFI en calidad de Analista Financiero; y Licenciada </w:t>
      </w:r>
      <w:r w:rsidR="00625FE2">
        <w:rPr>
          <w:rFonts w:ascii="Times New Roman" w:hAnsi="Times New Roman" w:cs="Times New Roman"/>
          <w:sz w:val="24"/>
          <w:szCs w:val="24"/>
        </w:rPr>
        <w:t>///////////////</w:t>
      </w:r>
      <w:r w:rsidR="00AA191A" w:rsidRPr="00AA191A">
        <w:rPr>
          <w:rFonts w:ascii="Times New Roman" w:hAnsi="Times New Roman" w:cs="Times New Roman"/>
          <w:sz w:val="24"/>
          <w:szCs w:val="24"/>
        </w:rPr>
        <w:t>, Jefe de la Unidad de Adquisiciones y Contrataciones Institucional</w:t>
      </w:r>
      <w:r w:rsidR="00AA191A">
        <w:rPr>
          <w:rFonts w:ascii="Times New Roman" w:hAnsi="Times New Roman" w:cs="Times New Roman"/>
          <w:sz w:val="24"/>
          <w:szCs w:val="24"/>
        </w:rPr>
        <w:t xml:space="preserve"> </w:t>
      </w:r>
      <w:r w:rsidR="00AA191A" w:rsidRPr="00AA191A">
        <w:rPr>
          <w:rFonts w:ascii="Times New Roman" w:hAnsi="Times New Roman" w:cs="Times New Roman"/>
          <w:sz w:val="24"/>
          <w:szCs w:val="24"/>
        </w:rPr>
        <w:t>(UACI)</w:t>
      </w:r>
      <w:r w:rsidR="00AA191A">
        <w:rPr>
          <w:rFonts w:ascii="Times New Roman" w:hAnsi="Times New Roman" w:cs="Times New Roman"/>
          <w:sz w:val="24"/>
          <w:szCs w:val="24"/>
        </w:rPr>
        <w:t xml:space="preserve"> como miembros de</w:t>
      </w:r>
      <w:r w:rsidRPr="00917E3F">
        <w:rPr>
          <w:rFonts w:ascii="Times New Roman" w:hAnsi="Times New Roman" w:cs="Times New Roman"/>
          <w:sz w:val="24"/>
          <w:szCs w:val="24"/>
        </w:rPr>
        <w:t xml:space="preserve"> la Comisión de Evaluación de Ofertas para el proceso de la Licitación Pública No. 09/2019 denominada “ADQUISICIÓN DE MÁQUINAS DE SORTEO CON TECNOLOGÍA DE GRAVEDAD PARA SELECCIÓN DE NÚMEROS, CON BALOTAS O PELOTAS CON SISTEMA DE RECONOCIMIENTO”,</w:t>
      </w:r>
      <w:r w:rsidR="00AA191A">
        <w:rPr>
          <w:rFonts w:ascii="Times New Roman" w:hAnsi="Times New Roman" w:cs="Times New Roman"/>
          <w:sz w:val="24"/>
          <w:szCs w:val="24"/>
        </w:rPr>
        <w:t xml:space="preserve"> </w:t>
      </w:r>
      <w:r w:rsidRPr="00917E3F">
        <w:rPr>
          <w:rFonts w:ascii="Times New Roman" w:hAnsi="Times New Roman" w:cs="Times New Roman"/>
          <w:sz w:val="24"/>
          <w:szCs w:val="24"/>
        </w:rPr>
        <w:t xml:space="preserve">quienes deberán cumplir fielmente con las funciones asignadas de acuerdo a la LACAP y demás normas técnicas y legales aplicables. </w:t>
      </w:r>
      <w:r w:rsidRPr="00917E3F">
        <w:rPr>
          <w:rFonts w:ascii="Times New Roman" w:hAnsi="Times New Roman" w:cs="Times New Roman"/>
          <w:b/>
          <w:sz w:val="24"/>
          <w:szCs w:val="24"/>
        </w:rPr>
        <w:t>COMUNIQUESE.-</w:t>
      </w:r>
    </w:p>
    <w:p w:rsidR="008B3407" w:rsidRPr="00917E3F" w:rsidRDefault="008B3407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8B3407" w:rsidRPr="00917E3F" w:rsidRDefault="008B3407" w:rsidP="00AA2A93">
      <w:pPr>
        <w:pStyle w:val="Prrafodelista"/>
        <w:numPr>
          <w:ilvl w:val="0"/>
          <w:numId w:val="26"/>
        </w:numPr>
        <w:suppressAutoHyphens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Asuntos Unidad Financiera</w:t>
      </w:r>
    </w:p>
    <w:p w:rsidR="008B3407" w:rsidRPr="00917E3F" w:rsidRDefault="008B3407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8B3407" w:rsidRPr="00917E3F" w:rsidRDefault="008B3407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ab/>
        <w:t xml:space="preserve">Memorando UFI/145/2019, sobre saldos bancarios y justificación de colocación de depósitos.  </w:t>
      </w: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</w:t>
      </w: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NTA DIRECTIVA ACUERDA: a) </w:t>
      </w:r>
      <w:r w:rsidRPr="00917E3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Darse por enterada de dicho informe. </w:t>
      </w: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COMUNIQUESE.</w:t>
      </w:r>
    </w:p>
    <w:p w:rsidR="001222DB" w:rsidRPr="00917E3F" w:rsidRDefault="001222DB" w:rsidP="00AA2A9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917E3F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917E3F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625FE2" w:rsidRDefault="00625FE2" w:rsidP="00625FE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625FE2" w:rsidRDefault="00625FE2" w:rsidP="00625FE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25FE2" w:rsidRDefault="00625FE2" w:rsidP="00625F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625FE2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DB" w:rsidRDefault="008B22DB">
      <w:pPr>
        <w:spacing w:line="240" w:lineRule="auto"/>
      </w:pPr>
      <w:r>
        <w:separator/>
      </w:r>
    </w:p>
  </w:endnote>
  <w:endnote w:type="continuationSeparator" w:id="0">
    <w:p w:rsidR="008B22DB" w:rsidRDefault="008B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F04" w:rsidRDefault="00816F0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306</w:t>
    </w:r>
    <w:r w:rsidR="00917E3F">
      <w:rPr>
        <w:rFonts w:cs="Arial"/>
        <w:b/>
        <w:bCs/>
        <w:color w:val="1F497D"/>
        <w:sz w:val="16"/>
        <w:szCs w:val="16"/>
        <w:lang w:val="es-SV"/>
      </w:rPr>
      <w:t>9</w:t>
    </w:r>
  </w:p>
  <w:p w:rsidR="00816F04" w:rsidRDefault="00917E3F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25/04</w:t>
    </w:r>
    <w:r w:rsidR="00816F04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816F04" w:rsidRDefault="00816F04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816F04" w:rsidRDefault="00816F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816F04" w:rsidRDefault="00816F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DB" w:rsidRDefault="008B22DB">
      <w:pPr>
        <w:spacing w:line="240" w:lineRule="auto"/>
      </w:pPr>
      <w:r>
        <w:separator/>
      </w:r>
    </w:p>
  </w:footnote>
  <w:footnote w:type="continuationSeparator" w:id="0">
    <w:p w:rsidR="008B22DB" w:rsidRDefault="008B2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816F04" w:rsidRPr="008F7027" w:rsidRDefault="00816F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36B65187" wp14:editId="0B627692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25FE2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25FE2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816F04" w:rsidRDefault="00816F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816F04" w:rsidRDefault="00816F04" w:rsidP="003035C8">
    <w:pPr>
      <w:pStyle w:val="Encabezado"/>
    </w:pPr>
  </w:p>
  <w:p w:rsidR="00816F04" w:rsidRDefault="00816F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6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9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0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8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9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0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9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17"/>
  </w:num>
  <w:num w:numId="10">
    <w:abstractNumId w:val="21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  <w:num w:numId="15">
    <w:abstractNumId w:val="24"/>
  </w:num>
  <w:num w:numId="16">
    <w:abstractNumId w:val="3"/>
  </w:num>
  <w:num w:numId="17">
    <w:abstractNumId w:val="13"/>
  </w:num>
  <w:num w:numId="18">
    <w:abstractNumId w:val="22"/>
  </w:num>
  <w:num w:numId="19">
    <w:abstractNumId w:val="16"/>
  </w:num>
  <w:num w:numId="20">
    <w:abstractNumId w:val="19"/>
  </w:num>
  <w:num w:numId="21">
    <w:abstractNumId w:val="15"/>
  </w:num>
  <w:num w:numId="22">
    <w:abstractNumId w:val="23"/>
  </w:num>
  <w:num w:numId="23">
    <w:abstractNumId w:val="2"/>
  </w:num>
  <w:num w:numId="24">
    <w:abstractNumId w:val="6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1259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40E6B"/>
    <w:rsid w:val="00141A81"/>
    <w:rsid w:val="00142633"/>
    <w:rsid w:val="00142909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44B6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565F9"/>
    <w:rsid w:val="00260AD5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27C9"/>
    <w:rsid w:val="003255E3"/>
    <w:rsid w:val="00325A5F"/>
    <w:rsid w:val="0032613C"/>
    <w:rsid w:val="003261C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3939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1C83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542B"/>
    <w:rsid w:val="004769C3"/>
    <w:rsid w:val="0048339B"/>
    <w:rsid w:val="00485861"/>
    <w:rsid w:val="00492E1C"/>
    <w:rsid w:val="00492F4B"/>
    <w:rsid w:val="00495707"/>
    <w:rsid w:val="00495AC9"/>
    <w:rsid w:val="00496B66"/>
    <w:rsid w:val="004A0315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208BA"/>
    <w:rsid w:val="00625FE2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22DB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0120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798C"/>
    <w:rsid w:val="00C83708"/>
    <w:rsid w:val="00C841F2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F0F34"/>
    <w:rsid w:val="00CF174F"/>
    <w:rsid w:val="00CF5503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D58"/>
    <w:rsid w:val="00DC7DB7"/>
    <w:rsid w:val="00DC7F55"/>
    <w:rsid w:val="00DD29E7"/>
    <w:rsid w:val="00DD550A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B07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6308A4F-06F1-4206-9EB1-7782127F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83CE-3F85-474F-9D63-4121C9C9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cmejia</dc:creator>
  <cp:lastModifiedBy>Jessica Elizabeth Peña Muñoz</cp:lastModifiedBy>
  <cp:revision>2</cp:revision>
  <cp:lastPrinted>2019-04-30T21:21:00Z</cp:lastPrinted>
  <dcterms:created xsi:type="dcterms:W3CDTF">2019-10-04T19:22:00Z</dcterms:created>
  <dcterms:modified xsi:type="dcterms:W3CDTF">2019-10-04T19:22:00Z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