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8AC" w:rsidRPr="002658AC" w:rsidRDefault="002658AC" w:rsidP="002658AC">
      <w:pPr>
        <w:spacing w:after="0" w:line="240" w:lineRule="auto"/>
        <w:jc w:val="right"/>
        <w:rPr>
          <w:rFonts w:ascii="Museo Sans 300" w:eastAsia="Times New Roman" w:hAnsi="Museo Sans 300" w:cs="Times New Roman"/>
          <w:b/>
          <w:sz w:val="21"/>
          <w:szCs w:val="21"/>
          <w:lang w:eastAsia="es-MX"/>
        </w:rPr>
      </w:pPr>
      <w:r w:rsidRPr="002658AC">
        <w:rPr>
          <w:rFonts w:ascii="Museo Sans 300" w:eastAsia="Times New Roman" w:hAnsi="Museo Sans 300" w:cs="Times New Roman"/>
          <w:b/>
          <w:sz w:val="21"/>
          <w:szCs w:val="21"/>
          <w:lang w:eastAsia="es-MX"/>
        </w:rPr>
        <w:t>Resolución 163-2022</w:t>
      </w:r>
    </w:p>
    <w:p w:rsidR="002658AC" w:rsidRPr="002658AC" w:rsidRDefault="002658AC" w:rsidP="002658AC">
      <w:pPr>
        <w:spacing w:after="0" w:line="240" w:lineRule="auto"/>
        <w:contextualSpacing/>
        <w:jc w:val="right"/>
        <w:rPr>
          <w:rFonts w:ascii="Museo Sans 300" w:eastAsia="Times New Roman" w:hAnsi="Museo Sans 300" w:cs="Times New Roman"/>
          <w:b/>
          <w:sz w:val="21"/>
          <w:szCs w:val="21"/>
          <w:lang w:eastAsia="es-MX"/>
        </w:rPr>
      </w:pPr>
      <w:r w:rsidRPr="002658AC">
        <w:rPr>
          <w:rFonts w:ascii="Museo Sans 300" w:eastAsia="Times New Roman" w:hAnsi="Museo Sans 300" w:cs="Times New Roman"/>
          <w:b/>
          <w:sz w:val="21"/>
          <w:szCs w:val="21"/>
          <w:lang w:eastAsia="es-MX"/>
        </w:rPr>
        <w:t>ISTA-2022-0135</w:t>
      </w:r>
    </w:p>
    <w:p w:rsidR="002658AC" w:rsidRPr="002658AC" w:rsidRDefault="002658AC" w:rsidP="002658AC">
      <w:pPr>
        <w:spacing w:after="0" w:line="240" w:lineRule="auto"/>
        <w:contextualSpacing/>
        <w:jc w:val="both"/>
        <w:rPr>
          <w:rFonts w:ascii="Museo Sans 300" w:eastAsia="Times New Roman" w:hAnsi="Museo Sans 300" w:cs="Times New Roman"/>
          <w:sz w:val="21"/>
          <w:szCs w:val="21"/>
          <w:lang w:eastAsia="es-MX"/>
        </w:rPr>
      </w:pPr>
    </w:p>
    <w:p w:rsidR="002658AC" w:rsidRPr="002658AC" w:rsidRDefault="002658AC" w:rsidP="002658AC">
      <w:pPr>
        <w:spacing w:after="0" w:line="276" w:lineRule="auto"/>
        <w:contextualSpacing/>
        <w:jc w:val="both"/>
        <w:rPr>
          <w:rFonts w:ascii="Museo Sans 300" w:eastAsia="Times New Roman" w:hAnsi="Museo Sans 300" w:cs="Times New Roman"/>
          <w:sz w:val="21"/>
          <w:szCs w:val="21"/>
          <w:lang w:val="es-MX" w:eastAsia="es-MX"/>
        </w:rPr>
      </w:pPr>
      <w:r w:rsidRPr="002658AC">
        <w:rPr>
          <w:rFonts w:ascii="Museo Sans 300" w:eastAsia="Times New Roman" w:hAnsi="Museo Sans 300" w:cs="Times New Roman"/>
          <w:sz w:val="21"/>
          <w:szCs w:val="21"/>
          <w:lang w:val="es-MX" w:eastAsia="es-MX"/>
        </w:rPr>
        <w:t>En la ciudad y departamento de San Salvador, a las once horas del día veinticuatro de octubre del año dos mil veintidós.</w:t>
      </w:r>
    </w:p>
    <w:p w:rsidR="002658AC" w:rsidRPr="002658AC" w:rsidRDefault="002658AC" w:rsidP="002658AC">
      <w:pPr>
        <w:spacing w:after="0" w:line="276" w:lineRule="auto"/>
        <w:contextualSpacing/>
        <w:jc w:val="both"/>
        <w:rPr>
          <w:rFonts w:ascii="Museo Sans 300" w:eastAsia="Times New Roman" w:hAnsi="Museo Sans 300" w:cs="Times New Roman"/>
          <w:sz w:val="21"/>
          <w:szCs w:val="21"/>
          <w:lang w:val="es-MX" w:eastAsia="es-MX"/>
        </w:rPr>
      </w:pPr>
    </w:p>
    <w:p w:rsidR="002658AC" w:rsidRPr="002658AC" w:rsidRDefault="002658AC" w:rsidP="002658AC">
      <w:pPr>
        <w:spacing w:after="0" w:line="276" w:lineRule="auto"/>
        <w:contextualSpacing/>
        <w:jc w:val="both"/>
        <w:rPr>
          <w:rFonts w:ascii="Museo Sans 300" w:eastAsia="Times New Roman" w:hAnsi="Museo Sans 300" w:cs="Times New Roman"/>
          <w:sz w:val="21"/>
          <w:szCs w:val="21"/>
          <w:lang w:val="es-MX" w:eastAsia="es-MX"/>
        </w:rPr>
      </w:pPr>
      <w:r w:rsidRPr="002658AC">
        <w:rPr>
          <w:rFonts w:ascii="Museo Sans 300" w:eastAsia="Times New Roman" w:hAnsi="Museo Sans 300" w:cs="Times New Roman"/>
          <w:sz w:val="21"/>
          <w:szCs w:val="21"/>
          <w:lang w:val="es-MX" w:eastAsia="es-MX"/>
        </w:rPr>
        <w:t>Vista</w:t>
      </w:r>
      <w:r w:rsidRPr="002658AC">
        <w:rPr>
          <w:rFonts w:ascii="Museo Sans 300" w:eastAsia="Times New Roman" w:hAnsi="Museo Sans 300" w:cs="Times New Roman"/>
          <w:sz w:val="21"/>
          <w:szCs w:val="21"/>
          <w:lang w:eastAsia="es-MX"/>
        </w:rPr>
        <w:t xml:space="preserve"> la solicitud de información presentada a las once horas con treinta y nueve minutos del día siete de octubre del año veintidós</w:t>
      </w:r>
      <w:r w:rsidRPr="002658AC">
        <w:rPr>
          <w:rFonts w:ascii="Museo Sans 300" w:eastAsia="Times New Roman" w:hAnsi="Museo Sans 300" w:cs="Times New Roman"/>
          <w:sz w:val="21"/>
          <w:szCs w:val="21"/>
          <w:lang w:val="es-MX" w:eastAsia="es-MX"/>
        </w:rPr>
        <w:t xml:space="preserve">, por la señora </w:t>
      </w:r>
      <w:r w:rsidRPr="002658AC">
        <w:rPr>
          <w:rFonts w:ascii="Museo Sans 300" w:eastAsia="Times New Roman" w:hAnsi="Museo Sans 300" w:cs="Times New Roman"/>
          <w:b/>
          <w:sz w:val="21"/>
          <w:szCs w:val="21"/>
          <w:lang w:eastAsia="es-MX"/>
        </w:rPr>
        <w:t>----</w:t>
      </w:r>
      <w:r w:rsidRPr="002658AC">
        <w:rPr>
          <w:rFonts w:ascii="Museo Sans 300" w:eastAsia="Times New Roman" w:hAnsi="Museo Sans 300" w:cs="Times New Roman"/>
          <w:b/>
          <w:sz w:val="21"/>
          <w:szCs w:val="21"/>
          <w:lang w:val="es-MX" w:eastAsia="es-MX"/>
        </w:rPr>
        <w:t xml:space="preserve">, </w:t>
      </w:r>
      <w:r w:rsidRPr="002658AC">
        <w:rPr>
          <w:rFonts w:ascii="Museo Sans 300" w:eastAsia="Times New Roman" w:hAnsi="Museo Sans 300" w:cs="Times New Roman"/>
          <w:sz w:val="21"/>
          <w:szCs w:val="21"/>
          <w:lang w:eastAsia="es-MX"/>
        </w:rPr>
        <w:t>registrada por esta Unidad bajo el</w:t>
      </w:r>
      <w:r w:rsidRPr="002658AC">
        <w:rPr>
          <w:rFonts w:ascii="Museo Sans 300" w:eastAsia="Times New Roman" w:hAnsi="Museo Sans 300" w:cs="Times New Roman"/>
          <w:b/>
          <w:sz w:val="21"/>
          <w:szCs w:val="21"/>
          <w:lang w:eastAsia="es-MX"/>
        </w:rPr>
        <w:t xml:space="preserve"> No ISTA-2022-0135</w:t>
      </w:r>
      <w:r w:rsidRPr="002658AC">
        <w:rPr>
          <w:rFonts w:ascii="Museo Sans 300" w:hAnsi="Museo Sans 300"/>
          <w:sz w:val="21"/>
          <w:szCs w:val="21"/>
        </w:rPr>
        <w:t xml:space="preserve"> mediante la cual solicita: “</w:t>
      </w:r>
      <w:r w:rsidRPr="002658AC">
        <w:rPr>
          <w:rFonts w:ascii="Museo Sans 300" w:eastAsia="Times New Roman" w:hAnsi="Museo Sans 300" w:cs="Times New Roman"/>
          <w:sz w:val="21"/>
          <w:szCs w:val="21"/>
          <w:lang w:val="es-MX" w:eastAsia="es-MX"/>
        </w:rPr>
        <w:t xml:space="preserve">”SOLICITO HISTORIAL LABORAL Y CERTIFICACION DE CESE DE FUNCIONES A NOMBRE DE ----. QUIEN LABORO PARA ISTA EN EL 2001. DICHO TRAMITE LO SOLICITO EN CALIDAD DE APODERADA.””; </w:t>
      </w:r>
      <w:r w:rsidRPr="002658AC">
        <w:rPr>
          <w:rFonts w:ascii="Museo Sans 300" w:eastAsia="Times New Roman" w:hAnsi="Museo Sans 300" w:cs="Times New Roman"/>
          <w:b/>
          <w:sz w:val="21"/>
          <w:szCs w:val="21"/>
          <w:lang w:val="es-MX" w:eastAsia="es-MX"/>
        </w:rPr>
        <w:t>y CONSIDERANDO:</w:t>
      </w:r>
    </w:p>
    <w:p w:rsidR="002658AC" w:rsidRPr="002658AC" w:rsidRDefault="002658AC" w:rsidP="002658AC">
      <w:pPr>
        <w:spacing w:after="0" w:line="240" w:lineRule="auto"/>
        <w:rPr>
          <w:rFonts w:ascii="Museo Sans 300" w:eastAsia="Times New Roman" w:hAnsi="Museo Sans 300" w:cs="Arial"/>
          <w:color w:val="000000"/>
          <w:sz w:val="21"/>
          <w:szCs w:val="21"/>
          <w:shd w:val="clear" w:color="auto" w:fill="FFFFFF"/>
          <w:lang w:eastAsia="es-MX"/>
        </w:rPr>
      </w:pPr>
    </w:p>
    <w:p w:rsidR="002658AC" w:rsidRPr="002658AC" w:rsidRDefault="002658AC" w:rsidP="002658AC">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2658AC">
        <w:rPr>
          <w:rFonts w:ascii="Museo Sans 300" w:eastAsia="Times New Roman" w:hAnsi="Museo Sans 300" w:cs="Times New Roman"/>
          <w:sz w:val="21"/>
          <w:szCs w:val="21"/>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2658AC" w:rsidRPr="002658AC" w:rsidRDefault="002658AC" w:rsidP="002658AC">
      <w:pPr>
        <w:spacing w:after="0" w:line="276" w:lineRule="auto"/>
        <w:ind w:left="720"/>
        <w:contextualSpacing/>
        <w:jc w:val="both"/>
        <w:rPr>
          <w:rFonts w:ascii="Museo Sans 300" w:eastAsia="Times New Roman" w:hAnsi="Museo Sans 300" w:cs="Times New Roman"/>
          <w:sz w:val="21"/>
          <w:szCs w:val="21"/>
          <w:lang w:val="es-MX" w:eastAsia="es-MX"/>
        </w:rPr>
      </w:pPr>
    </w:p>
    <w:p w:rsidR="002658AC" w:rsidRPr="002658AC" w:rsidRDefault="002658AC" w:rsidP="002658AC">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2658AC">
        <w:rPr>
          <w:rFonts w:ascii="Museo Sans 300" w:eastAsia="Times New Roman" w:hAnsi="Museo Sans 300" w:cs="Times New Roman"/>
          <w:sz w:val="21"/>
          <w:szCs w:val="21"/>
          <w:lang w:val="es-MX" w:eastAsia="es-MX"/>
        </w:rPr>
        <w:t>Por medio de la referencia GRH-00-0605-2022, la Gerencia de Recursos Humanos informa: “se solicitó el expediente de personal pasivo a la Unidad de Gestión Documental y Archivos (UGDA), el cual fue localizado con código 6284; en el cual se pudo constatar que la solicitante es afiliada a la AFP Crecer con NUP: ----. En base a lo anterior y según el Instructivo N° SP 01/2002 de la solicitud de revisión del historial laboral en el sistema de pensiones público. Capítulo III del Reporte de Historial Laboral. En la que se menciona que los afiliados al Sistema de Ahorro para Pensiones (SAP) deberán pedir a la AFP donde se encuentran afiliados el historial laboral, por lo tanto no es posible emitir historial laboral, ni acuerdo de cese de funciones”.</w:t>
      </w:r>
    </w:p>
    <w:p w:rsidR="002658AC" w:rsidRPr="002658AC" w:rsidRDefault="002658AC" w:rsidP="002658AC">
      <w:pPr>
        <w:ind w:left="720"/>
        <w:contextualSpacing/>
        <w:rPr>
          <w:rFonts w:ascii="Museo Sans 300" w:eastAsia="Times New Roman" w:hAnsi="Museo Sans 300" w:cs="Times New Roman"/>
          <w:sz w:val="21"/>
          <w:szCs w:val="21"/>
          <w:lang w:val="es-MX" w:eastAsia="es-MX"/>
        </w:rPr>
      </w:pPr>
    </w:p>
    <w:p w:rsidR="002658AC" w:rsidRPr="002658AC" w:rsidRDefault="002658AC" w:rsidP="002658AC">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2658AC">
        <w:rPr>
          <w:rFonts w:ascii="Museo Sans 300" w:hAnsi="Museo Sans 300"/>
          <w:sz w:val="21"/>
          <w:szCs w:val="21"/>
        </w:rPr>
        <w:t xml:space="preserve">Conforme al artículo 2 de la Ley de Acceso a la Información Pública (LAIP), toda persona tiene derecho a solicitar y recibir información </w:t>
      </w:r>
      <w:r w:rsidRPr="002658AC">
        <w:rPr>
          <w:rFonts w:ascii="Museo Sans 300" w:hAnsi="Museo Sans 300"/>
          <w:sz w:val="21"/>
          <w:szCs w:val="21"/>
          <w:u w:val="single"/>
        </w:rPr>
        <w:t>generada, administrada o en poder</w:t>
      </w:r>
      <w:r w:rsidRPr="002658AC">
        <w:rPr>
          <w:rFonts w:ascii="Museo Sans 300" w:hAnsi="Museo Sans 300"/>
          <w:sz w:val="21"/>
          <w:szCs w:val="21"/>
        </w:rPr>
        <w:t xml:space="preserve"> de las instituciones públicas y demás entes obligados de manera oportuna y veraz, sin sustentar interés o motivas alguna; y en el artículo sesenta y dos de la misma Ley se dispuso que los entes obligados </w:t>
      </w:r>
      <w:r w:rsidRPr="002658AC">
        <w:rPr>
          <w:rFonts w:ascii="Museo Sans 300" w:hAnsi="Museo Sans 300"/>
          <w:sz w:val="21"/>
          <w:szCs w:val="21"/>
          <w:u w:val="single"/>
        </w:rPr>
        <w:t>deberán entregar únicamente información que se encuentre en su poder</w:t>
      </w:r>
    </w:p>
    <w:p w:rsidR="002658AC" w:rsidRPr="002658AC" w:rsidRDefault="002658AC" w:rsidP="002658AC">
      <w:pPr>
        <w:ind w:left="720"/>
        <w:contextualSpacing/>
        <w:rPr>
          <w:rFonts w:ascii="Museo Sans 300" w:eastAsia="Times New Roman" w:hAnsi="Museo Sans 300" w:cs="Times New Roman"/>
          <w:sz w:val="21"/>
          <w:szCs w:val="21"/>
          <w:lang w:val="es-MX" w:eastAsia="es-MX"/>
        </w:rPr>
      </w:pPr>
    </w:p>
    <w:p w:rsidR="002658AC" w:rsidRPr="002658AC" w:rsidRDefault="002658AC" w:rsidP="002658AC">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2658AC">
        <w:rPr>
          <w:rFonts w:ascii="Museo Sans 300" w:hAnsi="Museo Sans 300"/>
          <w:sz w:val="21"/>
          <w:szCs w:val="21"/>
        </w:rPr>
        <w:t xml:space="preserve">En consonancia con lo anterior, el artículo 50 letra c LAIP establece que: “Los Oficiales de Información tendrán las funciones siguientes: c. Auxiliar a los particulares en la elaboración de las solicitudes y, en su caso, orientarlos sobre las dependencias o entidades que pudieran tener la información que solicitan” (resaltados agregados). Y en el artículo 68 inc. 2º LAIP se señala que “cuando una solicitud de información sea </w:t>
      </w:r>
      <w:r w:rsidRPr="002658AC">
        <w:rPr>
          <w:rFonts w:ascii="Museo Sans 300" w:hAnsi="Museo Sans 300"/>
          <w:sz w:val="21"/>
          <w:szCs w:val="21"/>
        </w:rPr>
        <w:lastRenderedPageBreak/>
        <w:t>dirigida a un ente obligado distinto del competente, éste deberá informar al interesado la entidad a la que debe dirigirse”.</w:t>
      </w:r>
    </w:p>
    <w:p w:rsidR="002658AC" w:rsidRPr="002658AC" w:rsidRDefault="002658AC" w:rsidP="002658AC">
      <w:pPr>
        <w:spacing w:after="0" w:line="276" w:lineRule="auto"/>
        <w:jc w:val="both"/>
        <w:rPr>
          <w:rFonts w:ascii="Museo Sans 300" w:eastAsia="Times New Roman" w:hAnsi="Museo Sans 300" w:cs="Times New Roman"/>
          <w:sz w:val="21"/>
          <w:szCs w:val="21"/>
          <w:lang w:val="es-MX" w:eastAsia="es-MX"/>
        </w:rPr>
      </w:pPr>
    </w:p>
    <w:p w:rsidR="002658AC" w:rsidRPr="002658AC" w:rsidRDefault="002658AC" w:rsidP="002658AC">
      <w:pPr>
        <w:spacing w:after="0" w:line="276" w:lineRule="auto"/>
        <w:jc w:val="both"/>
        <w:rPr>
          <w:rFonts w:ascii="Museo Sans 300" w:eastAsia="Times New Roman" w:hAnsi="Museo Sans 300" w:cs="Times New Roman"/>
          <w:sz w:val="21"/>
          <w:szCs w:val="21"/>
          <w:lang w:val="es-MX" w:eastAsia="es-MX"/>
        </w:rPr>
      </w:pPr>
    </w:p>
    <w:p w:rsidR="002658AC" w:rsidRPr="002658AC" w:rsidRDefault="002658AC" w:rsidP="002658AC">
      <w:pPr>
        <w:spacing w:after="0" w:line="276" w:lineRule="auto"/>
        <w:contextualSpacing/>
        <w:jc w:val="both"/>
        <w:rPr>
          <w:rFonts w:ascii="Museo Sans 300" w:eastAsia="Times New Roman" w:hAnsi="Museo Sans 300" w:cs="Times New Roman"/>
          <w:sz w:val="21"/>
          <w:szCs w:val="21"/>
          <w:lang w:val="es-MX" w:eastAsia="es-MX"/>
        </w:rPr>
      </w:pPr>
      <w:r w:rsidRPr="002658AC">
        <w:rPr>
          <w:rFonts w:ascii="Museo Sans 300" w:eastAsia="Times New Roman" w:hAnsi="Museo Sans 300" w:cs="Times New Roman"/>
          <w:b/>
          <w:sz w:val="21"/>
          <w:szCs w:val="21"/>
          <w:lang w:val="es-MX" w:eastAsia="es-MX"/>
        </w:rPr>
        <w:t xml:space="preserve">POR TANTO: </w:t>
      </w:r>
      <w:r w:rsidRPr="002658AC">
        <w:rPr>
          <w:rFonts w:ascii="Museo Sans 300" w:eastAsia="Times New Roman" w:hAnsi="Museo Sans 300" w:cs="Times New Roman"/>
          <w:sz w:val="21"/>
          <w:szCs w:val="21"/>
          <w:lang w:val="es-MX" w:eastAsia="es-MX"/>
        </w:rPr>
        <w:t>Con base a los Artículos 2, 50 literal c y 68 inciso segundo de la Ley de Acceso a la Información Pública,</w:t>
      </w:r>
      <w:r w:rsidRPr="002658AC">
        <w:rPr>
          <w:rFonts w:ascii="Museo Sans 300" w:eastAsia="Times New Roman" w:hAnsi="Museo Sans 300" w:cs="Times New Roman"/>
          <w:b/>
          <w:sz w:val="21"/>
          <w:szCs w:val="21"/>
          <w:lang w:val="es-MX" w:eastAsia="es-MX"/>
        </w:rPr>
        <w:t xml:space="preserve"> SE RESUELVE:</w:t>
      </w:r>
      <w:r w:rsidRPr="002658AC">
        <w:rPr>
          <w:rFonts w:ascii="Museo Sans 300" w:eastAsia="Times New Roman" w:hAnsi="Museo Sans 300" w:cs="Times New Roman"/>
          <w:sz w:val="21"/>
          <w:szCs w:val="21"/>
          <w:lang w:val="es-MX" w:eastAsia="es-MX"/>
        </w:rPr>
        <w:t xml:space="preserve"> </w:t>
      </w:r>
      <w:r w:rsidRPr="002658AC">
        <w:rPr>
          <w:rFonts w:ascii="Museo Sans 300" w:eastAsia="Times New Roman" w:hAnsi="Museo Sans 300" w:cs="Times New Roman"/>
          <w:b/>
          <w:sz w:val="21"/>
          <w:szCs w:val="21"/>
          <w:lang w:val="es-MX" w:eastAsia="es-MX"/>
        </w:rPr>
        <w:t xml:space="preserve">A) </w:t>
      </w:r>
      <w:r w:rsidRPr="002658AC">
        <w:rPr>
          <w:rFonts w:ascii="Museo Sans 300" w:hAnsi="Museo Sans 300"/>
          <w:b/>
          <w:sz w:val="21"/>
          <w:szCs w:val="21"/>
        </w:rPr>
        <w:t>A)</w:t>
      </w:r>
      <w:r w:rsidRPr="002658AC">
        <w:rPr>
          <w:rFonts w:ascii="Museo Sans 300" w:hAnsi="Museo Sans 300"/>
          <w:sz w:val="21"/>
          <w:szCs w:val="21"/>
        </w:rPr>
        <w:t xml:space="preserve"> Declárese la incompetencia de esta Unidad de Acceso a la Información Pública para atender y dar respuesta a la petición relacionada en el preámbulo, por tratarse de información generada la AFP CRECER conforme lo estipulado en el romano II de la presente resolución</w:t>
      </w:r>
      <w:r w:rsidRPr="002658AC">
        <w:rPr>
          <w:rFonts w:ascii="Museo Sans 300" w:eastAsia="Times New Roman" w:hAnsi="Museo Sans 300" w:cs="Times New Roman"/>
          <w:sz w:val="21"/>
          <w:szCs w:val="21"/>
          <w:lang w:val="es-MX" w:eastAsia="es-MX"/>
        </w:rPr>
        <w:t xml:space="preserve">; </w:t>
      </w:r>
      <w:r w:rsidRPr="002658AC">
        <w:rPr>
          <w:rFonts w:ascii="Museo Sans 300" w:eastAsia="Times New Roman" w:hAnsi="Museo Sans 300" w:cs="Times New Roman"/>
          <w:b/>
          <w:sz w:val="21"/>
          <w:szCs w:val="21"/>
          <w:lang w:val="es-MX" w:eastAsia="es-MX"/>
        </w:rPr>
        <w:t xml:space="preserve">B) </w:t>
      </w:r>
      <w:r w:rsidRPr="002658AC">
        <w:rPr>
          <w:rFonts w:ascii="Museo Sans 300" w:eastAsia="Times New Roman" w:hAnsi="Museo Sans 300" w:cs="Times New Roman"/>
          <w:sz w:val="21"/>
          <w:szCs w:val="21"/>
          <w:lang w:val="es-MX" w:eastAsia="es-MX"/>
        </w:rPr>
        <w:t xml:space="preserve">Notificar lo resuelto a la señora </w:t>
      </w:r>
      <w:r w:rsidRPr="002658AC">
        <w:rPr>
          <w:rFonts w:ascii="Museo Sans 300" w:eastAsia="Times New Roman" w:hAnsi="Museo Sans 300" w:cs="Times New Roman"/>
          <w:b/>
          <w:sz w:val="21"/>
          <w:szCs w:val="21"/>
          <w:lang w:eastAsia="es-MX"/>
        </w:rPr>
        <w:t>----,</w:t>
      </w:r>
      <w:r w:rsidRPr="002658AC">
        <w:rPr>
          <w:rFonts w:ascii="Museo Sans 300" w:eastAsia="Times New Roman" w:hAnsi="Museo Sans 300" w:cs="Times New Roman"/>
          <w:sz w:val="21"/>
          <w:szCs w:val="21"/>
          <w:lang w:val="es-MX" w:eastAsia="es-MX"/>
        </w:rPr>
        <w:t xml:space="preserve"> haciéndole saber que le queda expedito el Recurso de Apelación en la forma y plazo que establece la Ley de Acceso a la Información Pública. </w:t>
      </w:r>
    </w:p>
    <w:p w:rsidR="002658AC" w:rsidRPr="002658AC" w:rsidRDefault="002658AC" w:rsidP="002658AC">
      <w:pPr>
        <w:spacing w:after="0" w:line="276" w:lineRule="auto"/>
        <w:contextualSpacing/>
        <w:jc w:val="both"/>
        <w:rPr>
          <w:rFonts w:ascii="Museo Sans 300" w:eastAsia="Times New Roman" w:hAnsi="Museo Sans 300" w:cs="Times New Roman"/>
          <w:sz w:val="21"/>
          <w:szCs w:val="21"/>
          <w:lang w:val="es-MX" w:eastAsia="es-MX"/>
        </w:rPr>
      </w:pPr>
    </w:p>
    <w:p w:rsidR="002658AC" w:rsidRPr="002658AC" w:rsidRDefault="002658AC" w:rsidP="002658AC">
      <w:pPr>
        <w:spacing w:after="0" w:line="276" w:lineRule="auto"/>
        <w:jc w:val="both"/>
        <w:rPr>
          <w:rFonts w:ascii="Museo Sans 300" w:eastAsia="Times New Roman" w:hAnsi="Museo Sans 300" w:cs="Times New Roman"/>
          <w:sz w:val="21"/>
          <w:szCs w:val="21"/>
          <w:lang w:val="es-MX" w:eastAsia="es-MX"/>
        </w:rPr>
      </w:pPr>
    </w:p>
    <w:p w:rsidR="002658AC" w:rsidRPr="002658AC" w:rsidRDefault="002658AC" w:rsidP="002658AC">
      <w:pPr>
        <w:spacing w:after="0" w:line="276" w:lineRule="auto"/>
        <w:jc w:val="both"/>
        <w:rPr>
          <w:rFonts w:ascii="Museo Sans 300" w:eastAsia="Times New Roman" w:hAnsi="Museo Sans 300" w:cs="Times New Roman"/>
          <w:sz w:val="21"/>
          <w:szCs w:val="21"/>
          <w:lang w:val="es-MX" w:eastAsia="es-MX"/>
        </w:rPr>
      </w:pPr>
      <w:r w:rsidRPr="002658AC">
        <w:rPr>
          <w:rFonts w:ascii="Museo Sans 300" w:eastAsia="Times New Roman" w:hAnsi="Museo Sans 300" w:cs="Times New Roman"/>
          <w:sz w:val="21"/>
          <w:szCs w:val="21"/>
          <w:lang w:val="es-MX" w:eastAsia="es-MX"/>
        </w:rPr>
        <w:t>Notifíquese.</w:t>
      </w:r>
    </w:p>
    <w:p w:rsidR="002658AC" w:rsidRPr="002658AC" w:rsidRDefault="002658AC" w:rsidP="002658AC">
      <w:pPr>
        <w:spacing w:after="0" w:line="276" w:lineRule="auto"/>
        <w:jc w:val="both"/>
        <w:rPr>
          <w:rFonts w:ascii="Museo Sans 300" w:eastAsia="Times New Roman" w:hAnsi="Museo Sans 300" w:cs="Times New Roman"/>
          <w:sz w:val="21"/>
          <w:szCs w:val="21"/>
          <w:lang w:val="es-MX" w:eastAsia="es-MX"/>
        </w:rPr>
      </w:pPr>
    </w:p>
    <w:p w:rsidR="002658AC" w:rsidRPr="002658AC" w:rsidRDefault="002658AC" w:rsidP="002658AC">
      <w:pPr>
        <w:spacing w:after="0" w:line="276" w:lineRule="auto"/>
        <w:jc w:val="both"/>
        <w:rPr>
          <w:rFonts w:ascii="Museo Sans 300" w:eastAsia="Times New Roman" w:hAnsi="Museo Sans 300" w:cs="Times New Roman"/>
          <w:sz w:val="21"/>
          <w:szCs w:val="21"/>
          <w:lang w:val="es-MX" w:eastAsia="es-MX"/>
        </w:rPr>
      </w:pPr>
    </w:p>
    <w:p w:rsidR="002658AC" w:rsidRPr="002658AC" w:rsidRDefault="002658AC" w:rsidP="002658AC">
      <w:pPr>
        <w:spacing w:after="0" w:line="276" w:lineRule="auto"/>
        <w:jc w:val="both"/>
        <w:rPr>
          <w:rFonts w:ascii="Museo Sans 300" w:eastAsia="Times New Roman" w:hAnsi="Museo Sans 300" w:cs="Times New Roman"/>
          <w:b/>
          <w:sz w:val="21"/>
          <w:szCs w:val="21"/>
          <w:lang w:eastAsia="es-MX"/>
        </w:rPr>
      </w:pPr>
    </w:p>
    <w:p w:rsidR="002658AC" w:rsidRPr="002658AC" w:rsidRDefault="002658AC" w:rsidP="002658AC">
      <w:pPr>
        <w:spacing w:after="0" w:line="276" w:lineRule="auto"/>
        <w:jc w:val="center"/>
        <w:rPr>
          <w:rFonts w:ascii="Museo Sans 300" w:eastAsia="Times New Roman" w:hAnsi="Museo Sans 300" w:cs="Times New Roman"/>
          <w:b/>
          <w:sz w:val="21"/>
          <w:szCs w:val="21"/>
          <w:lang w:eastAsia="es-MX"/>
        </w:rPr>
      </w:pPr>
    </w:p>
    <w:p w:rsidR="002658AC" w:rsidRPr="002658AC" w:rsidRDefault="002658AC" w:rsidP="002658AC">
      <w:pPr>
        <w:spacing w:after="0" w:line="276" w:lineRule="auto"/>
        <w:jc w:val="center"/>
        <w:rPr>
          <w:rFonts w:ascii="Museo Sans 300" w:eastAsia="Times New Roman" w:hAnsi="Museo Sans 300" w:cs="Times New Roman"/>
          <w:b/>
          <w:sz w:val="21"/>
          <w:szCs w:val="21"/>
          <w:lang w:eastAsia="es-MX"/>
        </w:rPr>
      </w:pPr>
    </w:p>
    <w:p w:rsidR="002658AC" w:rsidRPr="002658AC" w:rsidRDefault="002658AC" w:rsidP="002658AC">
      <w:pPr>
        <w:spacing w:after="0" w:line="276" w:lineRule="auto"/>
        <w:jc w:val="center"/>
        <w:rPr>
          <w:rFonts w:ascii="Museo Sans 300" w:eastAsia="Times New Roman" w:hAnsi="Museo Sans 300" w:cs="Times New Roman"/>
          <w:b/>
          <w:sz w:val="21"/>
          <w:szCs w:val="21"/>
          <w:lang w:eastAsia="es-MX"/>
        </w:rPr>
      </w:pPr>
      <w:r w:rsidRPr="002658AC">
        <w:rPr>
          <w:rFonts w:ascii="Museo Sans 300" w:eastAsia="Times New Roman" w:hAnsi="Museo Sans 300" w:cs="Times New Roman"/>
          <w:b/>
          <w:sz w:val="21"/>
          <w:szCs w:val="21"/>
          <w:lang w:eastAsia="es-MX"/>
        </w:rPr>
        <w:t>JOCELYN ELIZABETH OLANO CANJURA</w:t>
      </w:r>
    </w:p>
    <w:p w:rsidR="002658AC" w:rsidRPr="002658AC" w:rsidRDefault="002658AC" w:rsidP="002658AC">
      <w:pPr>
        <w:spacing w:after="0" w:line="276" w:lineRule="auto"/>
        <w:jc w:val="center"/>
        <w:rPr>
          <w:rFonts w:ascii="Museo Sans 300" w:eastAsia="Times New Roman" w:hAnsi="Museo Sans 300" w:cs="Times New Roman"/>
          <w:b/>
          <w:sz w:val="21"/>
          <w:szCs w:val="21"/>
          <w:lang w:eastAsia="es-MX"/>
        </w:rPr>
      </w:pPr>
      <w:r w:rsidRPr="002658AC">
        <w:rPr>
          <w:rFonts w:ascii="Museo Sans 300" w:eastAsia="Times New Roman" w:hAnsi="Museo Sans 300" w:cs="Times New Roman"/>
          <w:b/>
          <w:sz w:val="21"/>
          <w:szCs w:val="21"/>
          <w:lang w:eastAsia="es-MX"/>
        </w:rPr>
        <w:t xml:space="preserve">OFICIAL DE INFORMACIÓN </w:t>
      </w:r>
    </w:p>
    <w:p w:rsidR="002658AC" w:rsidRPr="002658AC" w:rsidRDefault="002658AC" w:rsidP="002658AC">
      <w:pPr>
        <w:spacing w:after="0" w:line="276" w:lineRule="auto"/>
        <w:jc w:val="center"/>
        <w:rPr>
          <w:rFonts w:ascii="Museo Sans 300" w:eastAsia="Times New Roman" w:hAnsi="Museo Sans 300" w:cs="Times New Roman"/>
          <w:b/>
          <w:sz w:val="21"/>
          <w:szCs w:val="21"/>
          <w:lang w:eastAsia="es-MX"/>
        </w:rPr>
      </w:pPr>
    </w:p>
    <w:p w:rsidR="002658AC" w:rsidRPr="002658AC" w:rsidRDefault="002658AC" w:rsidP="002658AC">
      <w:pPr>
        <w:spacing w:after="0" w:line="276" w:lineRule="auto"/>
        <w:jc w:val="center"/>
        <w:rPr>
          <w:rFonts w:ascii="Museo Sans 300" w:eastAsia="Times New Roman" w:hAnsi="Museo Sans 300" w:cs="Times New Roman"/>
          <w:b/>
          <w:lang w:eastAsia="es-MX"/>
        </w:rPr>
      </w:pPr>
    </w:p>
    <w:p w:rsidR="002658AC" w:rsidRPr="002658AC" w:rsidRDefault="002658AC" w:rsidP="002658AC">
      <w:pPr>
        <w:spacing w:after="0" w:line="276" w:lineRule="auto"/>
        <w:jc w:val="center"/>
        <w:rPr>
          <w:rFonts w:ascii="Museo Sans 300" w:eastAsia="Times New Roman" w:hAnsi="Museo Sans 300" w:cs="Times New Roman"/>
          <w:b/>
          <w:lang w:eastAsia="es-MX"/>
        </w:rPr>
      </w:pPr>
    </w:p>
    <w:p w:rsidR="002658AC" w:rsidRPr="002658AC" w:rsidRDefault="002658AC" w:rsidP="002658AC">
      <w:pPr>
        <w:spacing w:after="0" w:line="240" w:lineRule="auto"/>
        <w:jc w:val="right"/>
        <w:rPr>
          <w:rFonts w:ascii="Museo Sans 300" w:eastAsia="Times New Roman" w:hAnsi="Museo Sans 300" w:cs="Times New Roman"/>
          <w:b/>
          <w:lang w:eastAsia="es-MX"/>
        </w:rPr>
      </w:pPr>
    </w:p>
    <w:p w:rsidR="002658AC" w:rsidRPr="002658AC" w:rsidRDefault="002658AC" w:rsidP="002658AC">
      <w:pPr>
        <w:widowControl w:val="0"/>
        <w:spacing w:before="213" w:after="0" w:line="360" w:lineRule="auto"/>
        <w:ind w:right="117"/>
        <w:jc w:val="both"/>
        <w:rPr>
          <w:rFonts w:ascii="Museo Sans 300" w:eastAsia="Calibri" w:hAnsi="Museo Sans 300" w:cs="Calibri"/>
        </w:rPr>
      </w:pPr>
    </w:p>
    <w:p w:rsidR="002658AC" w:rsidRPr="002658AC" w:rsidRDefault="002658AC" w:rsidP="002658AC">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2658AC">
    <w:pPr>
      <w:pStyle w:val="Piedepgina"/>
    </w:pPr>
    <w:r>
      <w:rPr>
        <w:noProof/>
        <w:lang w:eastAsia="es-SV"/>
      </w:rPr>
      <w:drawing>
        <wp:anchor distT="0" distB="0" distL="114300" distR="114300" simplePos="0" relativeHeight="251667456" behindDoc="0" locked="0" layoutInCell="1" allowOverlap="1" wp14:anchorId="1A568CAA" wp14:editId="055F26C2">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658AC">
    <w:pPr>
      <w:pStyle w:val="Piedepgina"/>
    </w:pPr>
    <w:r>
      <w:rPr>
        <w:noProof/>
        <w:lang w:eastAsia="es-SV"/>
      </w:rPr>
      <w:drawing>
        <wp:anchor distT="0" distB="0" distL="114300" distR="114300" simplePos="0" relativeHeight="251659264" behindDoc="0" locked="0" layoutInCell="1" allowOverlap="1" wp14:anchorId="2E5EA184" wp14:editId="7F6711E7">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658AC">
    <w:pPr>
      <w:pStyle w:val="Encabezado"/>
    </w:pPr>
    <w:r>
      <w:rPr>
        <w:noProof/>
        <w:lang w:eastAsia="es-SV"/>
      </w:rPr>
      <w:drawing>
        <wp:anchor distT="0" distB="0" distL="114300" distR="114300" simplePos="0" relativeHeight="251665408" behindDoc="0" locked="0" layoutInCell="1" allowOverlap="1" wp14:anchorId="09879BA7" wp14:editId="326B02A0">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E508D5D" wp14:editId="034C0F71">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2658AC"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508D5D"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2658AC"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658AC"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7F90FAF" wp14:editId="48DB77CE">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2658AC" w:rsidP="00F32ABE">
                          <w:r>
                            <w:rPr>
                              <w:rFonts w:ascii="Calibri Light" w:hAnsi="Calibri Light" w:cs="Calibri Light"/>
                              <w:sz w:val="19"/>
                              <w:szCs w:val="19"/>
                              <w:lang w:val="es"/>
                            </w:rPr>
                            <w:t>Versión pública de conformidad al Art. 30</w:t>
                          </w:r>
                          <w:r>
                            <w:rPr>
                              <w:rFonts w:ascii="Calibri Light" w:hAnsi="Calibri Light" w:cs="Calibri Light"/>
                              <w:sz w:val="19"/>
                              <w:szCs w:val="19"/>
                              <w:lang w:val="es"/>
                            </w:rPr>
                            <w:t xml:space="preserve">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90FAF"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2658AC" w:rsidP="00F32ABE">
                    <w:r>
                      <w:rPr>
                        <w:rFonts w:ascii="Calibri Light" w:hAnsi="Calibri Light" w:cs="Calibri Light"/>
                        <w:sz w:val="19"/>
                        <w:szCs w:val="19"/>
                        <w:lang w:val="es"/>
                      </w:rPr>
                      <w:t>Versión pública de conformidad al Art. 30</w:t>
                    </w:r>
                    <w:r>
                      <w:rPr>
                        <w:rFonts w:ascii="Calibri Light" w:hAnsi="Calibri Light" w:cs="Calibri Light"/>
                        <w:sz w:val="19"/>
                        <w:szCs w:val="19"/>
                        <w:lang w:val="es"/>
                      </w:rPr>
                      <w:t xml:space="preserve">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68FF267" wp14:editId="7B5327B7">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40279091" wp14:editId="48E1D28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658AC">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8AC"/>
    <w:rsid w:val="000F3C3B"/>
    <w:rsid w:val="002658AC"/>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6015288-39D5-4AC4-8D0B-4403A961F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658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658AC"/>
  </w:style>
  <w:style w:type="paragraph" w:styleId="Piedepgina">
    <w:name w:val="footer"/>
    <w:basedOn w:val="Normal"/>
    <w:link w:val="PiedepginaCar"/>
    <w:uiPriority w:val="99"/>
    <w:semiHidden/>
    <w:unhideWhenUsed/>
    <w:rsid w:val="002658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65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512</Words>
  <Characters>2817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2022-10-25T18:47:00Z</dcterms:created>
  <dcterms:modified xsi:type="dcterms:W3CDTF">2022-10-25T18:48:00Z</dcterms:modified>
</cp:coreProperties>
</file>