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861" w:rsidRPr="00A24861" w:rsidRDefault="00A24861" w:rsidP="00A24861">
      <w:pPr>
        <w:spacing w:after="0" w:line="240" w:lineRule="auto"/>
        <w:contextualSpacing/>
        <w:jc w:val="right"/>
        <w:rPr>
          <w:rFonts w:ascii="Museo Sans 300" w:eastAsia="Times New Roman" w:hAnsi="Museo Sans 300" w:cs="Times New Roman"/>
          <w:b/>
          <w:sz w:val="21"/>
          <w:szCs w:val="21"/>
          <w:lang w:val="es-MX" w:eastAsia="es-MX"/>
        </w:rPr>
      </w:pPr>
      <w:r w:rsidRPr="00A24861">
        <w:rPr>
          <w:rFonts w:ascii="Museo Sans 300" w:eastAsia="Times New Roman" w:hAnsi="Museo Sans 300" w:cs="Times New Roman"/>
          <w:b/>
          <w:sz w:val="21"/>
          <w:szCs w:val="21"/>
          <w:lang w:val="es-MX" w:eastAsia="es-MX"/>
        </w:rPr>
        <w:t>Resolución 63-2021</w:t>
      </w:r>
    </w:p>
    <w:p w:rsidR="00A24861" w:rsidRPr="00A24861" w:rsidRDefault="00A24861" w:rsidP="00A24861">
      <w:pPr>
        <w:spacing w:after="0" w:line="240" w:lineRule="auto"/>
        <w:contextualSpacing/>
        <w:jc w:val="right"/>
        <w:rPr>
          <w:rFonts w:ascii="Book Antiqua" w:eastAsia="Times New Roman" w:hAnsi="Book Antiqua" w:cs="Times New Roman"/>
          <w:b/>
          <w:sz w:val="21"/>
          <w:szCs w:val="21"/>
          <w:lang w:val="es-MX" w:eastAsia="es-MX"/>
        </w:rPr>
      </w:pPr>
      <w:r w:rsidRPr="00A24861">
        <w:rPr>
          <w:rFonts w:ascii="Museo Sans 300" w:eastAsia="Times New Roman" w:hAnsi="Museo Sans 300" w:cs="Times New Roman"/>
          <w:b/>
          <w:sz w:val="21"/>
          <w:szCs w:val="21"/>
          <w:lang w:val="es-MX" w:eastAsia="es-MX"/>
        </w:rPr>
        <w:t>ISTA-2021-0041</w:t>
      </w:r>
      <w:r w:rsidRPr="00A24861">
        <w:rPr>
          <w:rFonts w:ascii="Book Antiqua" w:eastAsia="Times New Roman" w:hAnsi="Book Antiqua" w:cs="Times New Roman"/>
          <w:b/>
          <w:sz w:val="21"/>
          <w:szCs w:val="21"/>
          <w:lang w:val="es-MX" w:eastAsia="es-MX"/>
        </w:rPr>
        <w:t xml:space="preserve">                                                    </w:t>
      </w:r>
    </w:p>
    <w:p w:rsidR="00A24861" w:rsidRPr="00A24861" w:rsidRDefault="00A24861" w:rsidP="00A24861">
      <w:pPr>
        <w:spacing w:after="0" w:line="240" w:lineRule="auto"/>
        <w:contextualSpacing/>
        <w:rPr>
          <w:rFonts w:ascii="Book Antiqua" w:eastAsia="Times New Roman" w:hAnsi="Book Antiqua" w:cs="Times New Roman"/>
          <w:b/>
          <w:sz w:val="21"/>
          <w:szCs w:val="21"/>
          <w:lang w:val="es-MX" w:eastAsia="es-MX"/>
        </w:rPr>
      </w:pPr>
    </w:p>
    <w:p w:rsidR="00A24861" w:rsidRPr="00A24861" w:rsidRDefault="00A24861" w:rsidP="00A24861">
      <w:pPr>
        <w:spacing w:after="0" w:line="360" w:lineRule="auto"/>
        <w:contextualSpacing/>
        <w:jc w:val="both"/>
        <w:rPr>
          <w:rFonts w:ascii="Museo Sans 300" w:eastAsia="Times New Roman" w:hAnsi="Museo Sans 300" w:cs="Times New Roman"/>
          <w:sz w:val="21"/>
          <w:szCs w:val="21"/>
          <w:lang w:val="es-MX" w:eastAsia="es-MX"/>
        </w:rPr>
      </w:pPr>
      <w:r w:rsidRPr="00A24861">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ocho horas con catorce minutos del día diecinueve de abril del año dos mil veintiuno. </w:t>
      </w:r>
    </w:p>
    <w:p w:rsidR="00A24861" w:rsidRPr="00A24861" w:rsidRDefault="00A24861" w:rsidP="00A24861">
      <w:pPr>
        <w:spacing w:after="0" w:line="360" w:lineRule="auto"/>
        <w:contextualSpacing/>
        <w:jc w:val="both"/>
        <w:rPr>
          <w:rFonts w:ascii="Museo Sans 300" w:eastAsia="Times New Roman" w:hAnsi="Museo Sans 300" w:cs="Times New Roman"/>
          <w:sz w:val="21"/>
          <w:szCs w:val="21"/>
          <w:lang w:val="es-MX" w:eastAsia="es-MX"/>
        </w:rPr>
      </w:pPr>
    </w:p>
    <w:p w:rsidR="00A24861" w:rsidRPr="00A24861" w:rsidRDefault="00A24861" w:rsidP="00A24861">
      <w:pPr>
        <w:spacing w:after="0" w:line="360" w:lineRule="auto"/>
        <w:contextualSpacing/>
        <w:jc w:val="both"/>
        <w:rPr>
          <w:rFonts w:ascii="Museo Sans 300" w:eastAsia="Times New Roman" w:hAnsi="Museo Sans 300" w:cs="Times New Roman"/>
          <w:sz w:val="21"/>
          <w:szCs w:val="21"/>
          <w:lang w:val="es-MX" w:eastAsia="es-MX"/>
        </w:rPr>
      </w:pPr>
      <w:r w:rsidRPr="00A24861">
        <w:rPr>
          <w:rFonts w:ascii="Museo Sans 300" w:eastAsia="Times New Roman" w:hAnsi="Museo Sans 300" w:cs="Times New Roman"/>
          <w:sz w:val="21"/>
          <w:szCs w:val="21"/>
          <w:lang w:val="es-MX" w:eastAsia="es-MX"/>
        </w:rPr>
        <w:t xml:space="preserve">A sus antecedentes la solicitud de información registrada en esta Unidad al No ISTA-2021-0051, realizada mediante el correo electrónico </w:t>
      </w:r>
      <w:hyperlink r:id="rId5" w:history="1">
        <w:r w:rsidRPr="00A24861">
          <w:rPr>
            <w:rFonts w:ascii="Museo Sans 300" w:eastAsia="Times New Roman" w:hAnsi="Museo Sans 300" w:cs="Times New Roman"/>
            <w:color w:val="0563C1" w:themeColor="hyperlink"/>
            <w:sz w:val="21"/>
            <w:szCs w:val="21"/>
            <w:lang w:val="es-MX" w:eastAsia="es-MX"/>
          </w:rPr>
          <w:t>----</w:t>
        </w:r>
      </w:hyperlink>
      <w:r w:rsidRPr="00A24861">
        <w:rPr>
          <w:rFonts w:ascii="Museo Sans 300" w:eastAsia="Times New Roman" w:hAnsi="Museo Sans 300" w:cs="Times New Roman"/>
          <w:sz w:val="21"/>
          <w:szCs w:val="21"/>
          <w:lang w:val="es-MX" w:eastAsia="es-MX"/>
        </w:rPr>
        <w:t xml:space="preserve">; por la ciudadana </w:t>
      </w:r>
      <w:r w:rsidRPr="00A24861">
        <w:rPr>
          <w:rFonts w:ascii="Museo Sans 300" w:eastAsia="Times New Roman" w:hAnsi="Museo Sans 300" w:cs="Times New Roman"/>
          <w:b/>
          <w:sz w:val="21"/>
          <w:szCs w:val="21"/>
          <w:lang w:val="es-MX" w:eastAsia="es-MX"/>
        </w:rPr>
        <w:t>----</w:t>
      </w:r>
      <w:r w:rsidRPr="00A24861">
        <w:rPr>
          <w:rFonts w:ascii="Museo Sans 300" w:eastAsia="Times New Roman" w:hAnsi="Museo Sans 300" w:cs="Times New Roman"/>
          <w:sz w:val="21"/>
          <w:szCs w:val="21"/>
          <w:lang w:val="es-MX" w:eastAsia="es-MX"/>
        </w:rPr>
        <w:t>, en la que expresa</w:t>
      </w:r>
      <w:proofErr w:type="gramStart"/>
      <w:r w:rsidRPr="00A24861">
        <w:rPr>
          <w:rFonts w:ascii="Museo Sans 300" w:eastAsia="Times New Roman" w:hAnsi="Museo Sans 300" w:cs="Times New Roman"/>
          <w:sz w:val="21"/>
          <w:szCs w:val="21"/>
          <w:lang w:val="es-MX" w:eastAsia="es-MX"/>
        </w:rPr>
        <w:t>:</w:t>
      </w:r>
      <w:r w:rsidRPr="00A24861">
        <w:rPr>
          <w:rFonts w:ascii="Museo Sans 300" w:eastAsia="Times New Roman" w:hAnsi="Museo Sans 300" w:cs="Times New Roman"/>
          <w:sz w:val="21"/>
          <w:szCs w:val="21"/>
          <w:lang w:eastAsia="es-MX"/>
        </w:rPr>
        <w:t xml:space="preserve"> ”</w:t>
      </w:r>
      <w:proofErr w:type="gramEnd"/>
      <w:r w:rsidRPr="00A24861">
        <w:rPr>
          <w:rFonts w:ascii="Museo Sans 300" w:eastAsia="Times New Roman" w:hAnsi="Museo Sans 300" w:cs="Times New Roman"/>
          <w:sz w:val="21"/>
          <w:szCs w:val="21"/>
          <w:lang w:eastAsia="es-MX"/>
        </w:rPr>
        <w:t>…HISTORIAL LABORAL PARA TRÁMITE DE JUBILACIÓN...”</w:t>
      </w:r>
      <w:r w:rsidRPr="00A24861">
        <w:rPr>
          <w:rFonts w:ascii="Museo Sans 300" w:eastAsia="Times New Roman" w:hAnsi="Museo Sans 300" w:cs="Times New Roman"/>
          <w:sz w:val="21"/>
          <w:szCs w:val="21"/>
          <w:lang w:val="es-MX" w:eastAsia="es-MX"/>
        </w:rPr>
        <w:t xml:space="preserve">, y luego de analizar el correo electrónico de la peticionaria, </w:t>
      </w:r>
      <w:r w:rsidRPr="00A24861">
        <w:rPr>
          <w:rFonts w:ascii="Museo Sans 300" w:eastAsia="Times New Roman" w:hAnsi="Museo Sans 300" w:cs="Times New Roman"/>
          <w:b/>
          <w:sz w:val="21"/>
          <w:szCs w:val="21"/>
          <w:lang w:val="es-MX" w:eastAsia="es-MX"/>
        </w:rPr>
        <w:t>considerando:</w:t>
      </w:r>
    </w:p>
    <w:p w:rsidR="00A24861" w:rsidRPr="00A24861" w:rsidRDefault="00A24861" w:rsidP="00A24861">
      <w:pPr>
        <w:spacing w:after="0" w:line="360" w:lineRule="auto"/>
        <w:contextualSpacing/>
        <w:jc w:val="both"/>
        <w:rPr>
          <w:rFonts w:ascii="Museo Sans 300" w:eastAsia="Times New Roman" w:hAnsi="Museo Sans 300" w:cs="Times New Roman"/>
          <w:sz w:val="21"/>
          <w:szCs w:val="21"/>
          <w:lang w:val="es-MX" w:eastAsia="es-MX"/>
        </w:rPr>
      </w:pPr>
    </w:p>
    <w:p w:rsidR="00A24861" w:rsidRPr="00A24861" w:rsidRDefault="00A24861" w:rsidP="00A24861">
      <w:pPr>
        <w:spacing w:after="0" w:line="240" w:lineRule="auto"/>
        <w:contextualSpacing/>
        <w:rPr>
          <w:rFonts w:ascii="Museo Sans 300" w:eastAsia="Times New Roman" w:hAnsi="Museo Sans 300" w:cs="Times New Roman"/>
          <w:sz w:val="21"/>
          <w:szCs w:val="21"/>
          <w:lang w:val="es-MX" w:eastAsia="es-MX"/>
        </w:rPr>
      </w:pPr>
    </w:p>
    <w:p w:rsidR="00A24861" w:rsidRPr="00A24861" w:rsidRDefault="00A24861" w:rsidP="00A24861">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A24861">
        <w:rPr>
          <w:rFonts w:ascii="Museo Sans 300" w:eastAsia="Times New Roman" w:hAnsi="Museo Sans 300" w:cs="Times New Roman"/>
          <w:sz w:val="21"/>
          <w:szCs w:val="21"/>
          <w:lang w:eastAsia="es-MX"/>
        </w:rPr>
        <w:t xml:space="preserve">De conformidad con 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en ese sentido, se procedió al análisis liminar de su petición, observando que conforme al artículo 66 literal “b” de la Ley de Acceso a la Información Pública-LAIP-, la solicitud debe contener la descripción clara y precisa de la información pública que solicita, caso contrario según el mismo artículo en el inciso 5°, el Oficial de Información podrá requerir al solicitante que indique otros elementos o corrija los datos; de igual manera en el artículo 54 literal “c” del Reglamento respectivo, se estableció que para admitir la solicitud debe identificarse claramente la información que se requiere, tal como: </w:t>
      </w:r>
      <w:r w:rsidRPr="00A24861">
        <w:rPr>
          <w:rFonts w:ascii="Museo Sans 300" w:eastAsia="Times New Roman" w:hAnsi="Museo Sans 300" w:cs="Times New Roman"/>
          <w:sz w:val="21"/>
          <w:szCs w:val="21"/>
          <w:u w:val="single"/>
          <w:lang w:eastAsia="es-MX"/>
        </w:rPr>
        <w:t>Su materia, fecha de emisión o período de vigencia, entre otros;</w:t>
      </w:r>
      <w:r w:rsidRPr="00A24861">
        <w:rPr>
          <w:rFonts w:ascii="Museo Sans 300" w:eastAsia="Times New Roman" w:hAnsi="Museo Sans 300" w:cs="Times New Roman"/>
          <w:sz w:val="21"/>
          <w:szCs w:val="21"/>
          <w:lang w:eastAsia="es-MX"/>
        </w:rPr>
        <w:t xml:space="preserve"> en tal sentido, es necesario que especifique las fechas o períodos aproximados en que prestó servicios tanto para FINATA como para Banco de Tierras, respectivamente; lo cual será de utilidad para facilitar la localización de la información.</w:t>
      </w:r>
    </w:p>
    <w:p w:rsidR="00A24861" w:rsidRPr="00A24861" w:rsidRDefault="00A24861" w:rsidP="00A24861">
      <w:pPr>
        <w:spacing w:after="0" w:line="360" w:lineRule="auto"/>
        <w:ind w:left="1080"/>
        <w:contextualSpacing/>
        <w:jc w:val="both"/>
        <w:rPr>
          <w:rFonts w:ascii="Museo Sans 300" w:eastAsia="Times New Roman" w:hAnsi="Museo Sans 300" w:cs="Times New Roman"/>
          <w:sz w:val="21"/>
          <w:szCs w:val="21"/>
          <w:lang w:eastAsia="es-MX"/>
        </w:rPr>
      </w:pPr>
    </w:p>
    <w:p w:rsidR="00A24861" w:rsidRPr="00A24861" w:rsidRDefault="00A24861" w:rsidP="00A24861">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A24861">
        <w:rPr>
          <w:rFonts w:ascii="Museo Sans 300" w:eastAsia="Times New Roman" w:hAnsi="Museo Sans 300" w:cs="Times New Roman"/>
          <w:sz w:val="21"/>
          <w:szCs w:val="21"/>
          <w:lang w:eastAsia="es-MX"/>
        </w:rPr>
        <w:lastRenderedPageBreak/>
        <w:t xml:space="preserve">Po otra parte, de acuerdo a su solicitud, se ha establecido como forma de recibir la información, la “consulta directa”, la cual de conformidad al artículo 63 de la LAIP, consiste en el permiso que se concede para que dentro de las instalaciones de esta Institución en un horario determinado, pueda presentarse a verificar datos o registros originales, de acuerdo como se encuentren disponibles, y que bajo ninguna circunstancia se prestará o permitirá salida de esos registros o datos originales de los archivos en que se hallen almacenados. En ese sentido, y teniendo en cuenta lo manifestado en su petición, específicamente que el historial laboral se requiere para trámite de jubilación; trámite para el cual generalmente el interesado solicita a este Instituto un documento que acredite el tiempo de servicio prestado, el cual revista de autenticidad con la certificación que se expide, bajo la forma de “fotocopia certificada”; ya que así se lo requiere el INPEP o AFP, documento que bajo la modalidad de “consulta directa” no puede ser proporcionado, solamente verificado en estas instalaciones por el titular de los datos; por cuya razón y en aras de garantizar el flujo de la información a efecto de que sea de su utilidad para la solicitante, conforme al mencionado artículo 63 y 66 de la LAIP, y a las facultades conferidas a este Oficial de Información en el artículo 50 letras c. y g., y 68 de la LAIP, se hacen las aclaraciones anteriores a fin de que la peticionaria manifieste si continuará con la forma de entrega de la información bajo la “consulta directa” o cambiará a “fotocopia certificada”.  </w:t>
      </w:r>
    </w:p>
    <w:p w:rsidR="00A24861" w:rsidRPr="00A24861" w:rsidRDefault="00A24861" w:rsidP="00A24861">
      <w:pPr>
        <w:spacing w:after="0" w:line="360" w:lineRule="auto"/>
        <w:ind w:left="1080"/>
        <w:contextualSpacing/>
        <w:jc w:val="both"/>
        <w:rPr>
          <w:rFonts w:ascii="Museo Sans 300" w:eastAsia="Times New Roman" w:hAnsi="Museo Sans 300" w:cs="Times New Roman"/>
          <w:sz w:val="21"/>
          <w:szCs w:val="21"/>
          <w:lang w:eastAsia="es-MX"/>
        </w:rPr>
      </w:pPr>
    </w:p>
    <w:p w:rsidR="00A24861" w:rsidRPr="00A24861" w:rsidRDefault="00A24861" w:rsidP="00A24861">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A24861">
        <w:rPr>
          <w:rFonts w:ascii="Museo Sans 300" w:eastAsia="Times New Roman" w:hAnsi="Museo Sans 300" w:cs="Times New Roman"/>
          <w:sz w:val="21"/>
          <w:szCs w:val="21"/>
          <w:lang w:eastAsia="es-MX"/>
        </w:rPr>
        <w:t xml:space="preserve">Que el artículo 66 inciso quinto de la LAIP, establece que el Oficial de Información podrá realizar observaciones a la solicitud de información en los siguientes 3 días hábiles posteriores a la recepción de la misma, para lo cual el plazo inicial de respuesta, queda interrumpido, teniendo el solicitante cinco días hábiles contados a partir de la respectiva notificación para subsanar lo señalado.         </w:t>
      </w:r>
    </w:p>
    <w:p w:rsidR="00A24861" w:rsidRPr="00A24861" w:rsidRDefault="00A24861" w:rsidP="00A24861">
      <w:pPr>
        <w:spacing w:after="0" w:line="240" w:lineRule="auto"/>
        <w:ind w:left="720"/>
        <w:contextualSpacing/>
        <w:rPr>
          <w:rFonts w:ascii="Museo Sans 300" w:eastAsia="Times New Roman" w:hAnsi="Museo Sans 300" w:cs="Times New Roman"/>
          <w:sz w:val="21"/>
          <w:szCs w:val="21"/>
          <w:lang w:eastAsia="es-MX"/>
        </w:rPr>
      </w:pPr>
    </w:p>
    <w:p w:rsidR="00A24861" w:rsidRPr="00A24861" w:rsidRDefault="00A24861" w:rsidP="00A24861">
      <w:pPr>
        <w:spacing w:after="0" w:line="360" w:lineRule="auto"/>
        <w:contextualSpacing/>
        <w:jc w:val="both"/>
        <w:rPr>
          <w:rFonts w:ascii="Museo Sans 300" w:eastAsia="Times New Roman" w:hAnsi="Museo Sans 300" w:cs="Times New Roman"/>
          <w:sz w:val="21"/>
          <w:szCs w:val="21"/>
          <w:lang w:eastAsia="es-MX"/>
        </w:rPr>
      </w:pPr>
      <w:r w:rsidRPr="00A24861">
        <w:rPr>
          <w:rFonts w:ascii="Museo Sans 300" w:eastAsia="Times New Roman" w:hAnsi="Museo Sans 300" w:cs="Times New Roman"/>
          <w:b/>
          <w:sz w:val="21"/>
          <w:szCs w:val="21"/>
          <w:lang w:eastAsia="es-MX"/>
        </w:rPr>
        <w:t>POR TANTO:</w:t>
      </w:r>
      <w:r w:rsidRPr="00A24861">
        <w:rPr>
          <w:rFonts w:ascii="Museo Sans 300" w:eastAsia="Times New Roman" w:hAnsi="Museo Sans 300" w:cs="Times New Roman"/>
          <w:sz w:val="21"/>
          <w:szCs w:val="21"/>
          <w:lang w:eastAsia="es-MX"/>
        </w:rPr>
        <w:t xml:space="preserve"> Con base en las disposiciones legales citadas y los argumentos expuestos, SE RESUELVE: </w:t>
      </w:r>
    </w:p>
    <w:p w:rsidR="00A24861" w:rsidRPr="00A24861" w:rsidRDefault="00A24861" w:rsidP="00A24861">
      <w:pPr>
        <w:spacing w:after="0" w:line="360" w:lineRule="auto"/>
        <w:contextualSpacing/>
        <w:jc w:val="both"/>
        <w:rPr>
          <w:rFonts w:ascii="Museo Sans 300" w:eastAsia="Times New Roman" w:hAnsi="Museo Sans 300" w:cs="Times New Roman"/>
          <w:sz w:val="21"/>
          <w:szCs w:val="21"/>
          <w:lang w:eastAsia="es-MX"/>
        </w:rPr>
      </w:pPr>
    </w:p>
    <w:p w:rsidR="00A24861" w:rsidRPr="00A24861" w:rsidRDefault="00A24861" w:rsidP="00A24861">
      <w:pPr>
        <w:numPr>
          <w:ilvl w:val="0"/>
          <w:numId w:val="2"/>
        </w:numPr>
        <w:spacing w:after="0" w:line="360" w:lineRule="auto"/>
        <w:contextualSpacing/>
        <w:jc w:val="both"/>
        <w:rPr>
          <w:rFonts w:ascii="Museo Sans 300" w:eastAsia="Times New Roman" w:hAnsi="Museo Sans 300" w:cs="Times New Roman"/>
          <w:sz w:val="21"/>
          <w:szCs w:val="21"/>
          <w:lang w:eastAsia="es-MX"/>
        </w:rPr>
      </w:pPr>
      <w:r w:rsidRPr="00A24861">
        <w:rPr>
          <w:rFonts w:ascii="Museo Sans 300" w:eastAsia="Times New Roman" w:hAnsi="Museo Sans 300" w:cs="Times New Roman"/>
          <w:sz w:val="21"/>
          <w:szCs w:val="21"/>
          <w:lang w:eastAsia="es-MX"/>
        </w:rPr>
        <w:lastRenderedPageBreak/>
        <w:t xml:space="preserve">Prevéngase a la ciudadana </w:t>
      </w:r>
      <w:r w:rsidRPr="00A24861">
        <w:rPr>
          <w:rFonts w:ascii="Museo Sans 300" w:eastAsia="Times New Roman" w:hAnsi="Museo Sans 300" w:cs="Times New Roman"/>
          <w:b/>
          <w:sz w:val="21"/>
          <w:szCs w:val="21"/>
          <w:lang w:eastAsia="es-MX"/>
        </w:rPr>
        <w:t>----</w:t>
      </w:r>
      <w:r w:rsidRPr="00A24861">
        <w:rPr>
          <w:rFonts w:ascii="Museo Sans 300" w:eastAsia="Times New Roman" w:hAnsi="Museo Sans 300" w:cs="Times New Roman"/>
          <w:sz w:val="21"/>
          <w:szCs w:val="21"/>
          <w:lang w:eastAsia="es-MX"/>
        </w:rPr>
        <w:t>, que deberá establecer el tiempo que prestó servicios para la Financiera Nacional de Tierras Agrícolas (FINATA), y el período que prestó servicios para el Banco de Tierras; determinando aunque sea fechas aproximadas, que servirá para la búsqueda y localización de la información, de acuerdo a lo expresado en el romano I) de la presente resolución, so pena de inadmitir a trámite la solicitud descrita en el preámbulo.</w:t>
      </w:r>
    </w:p>
    <w:p w:rsidR="00A24861" w:rsidRPr="00A24861" w:rsidRDefault="00A24861" w:rsidP="00A24861">
      <w:pPr>
        <w:numPr>
          <w:ilvl w:val="0"/>
          <w:numId w:val="2"/>
        </w:numPr>
        <w:spacing w:after="0" w:line="360" w:lineRule="auto"/>
        <w:contextualSpacing/>
        <w:jc w:val="both"/>
        <w:rPr>
          <w:rFonts w:ascii="Museo Sans 300" w:eastAsia="Times New Roman" w:hAnsi="Museo Sans 300" w:cs="Times New Roman"/>
          <w:sz w:val="21"/>
          <w:szCs w:val="21"/>
          <w:lang w:eastAsia="es-MX"/>
        </w:rPr>
      </w:pPr>
      <w:r w:rsidRPr="00A24861">
        <w:rPr>
          <w:rFonts w:ascii="Museo Sans 300" w:eastAsia="Times New Roman" w:hAnsi="Museo Sans 300" w:cs="Times New Roman"/>
          <w:sz w:val="21"/>
          <w:szCs w:val="21"/>
          <w:lang w:eastAsia="es-MX"/>
        </w:rPr>
        <w:t>Conforme a las aclaraciones hechas en el romano II), se exprese por la peticionaria si desea continuar con la forma de entrega de la información bajo la “consulta directa” o cambiará a “fotocopia certificada”.</w:t>
      </w:r>
    </w:p>
    <w:p w:rsidR="00A24861" w:rsidRPr="00A24861" w:rsidRDefault="00A24861" w:rsidP="00A24861">
      <w:pPr>
        <w:numPr>
          <w:ilvl w:val="0"/>
          <w:numId w:val="2"/>
        </w:numPr>
        <w:spacing w:after="0" w:line="360" w:lineRule="auto"/>
        <w:contextualSpacing/>
        <w:jc w:val="both"/>
        <w:rPr>
          <w:rFonts w:ascii="Museo Sans 300" w:eastAsia="Times New Roman" w:hAnsi="Museo Sans 300" w:cs="Times New Roman"/>
          <w:sz w:val="21"/>
          <w:szCs w:val="21"/>
          <w:lang w:eastAsia="es-MX"/>
        </w:rPr>
      </w:pPr>
      <w:r w:rsidRPr="00A24861">
        <w:rPr>
          <w:rFonts w:ascii="Museo Sans 300" w:eastAsia="Times New Roman" w:hAnsi="Museo Sans 300" w:cs="Times New Roman"/>
          <w:sz w:val="21"/>
          <w:szCs w:val="21"/>
          <w:lang w:eastAsia="es-MX"/>
        </w:rPr>
        <w:t>Interrúmpase el plazo de respuesta, hasta que la peticionaria subsane en legal término, so pena de finalizar el presente caso.</w:t>
      </w:r>
    </w:p>
    <w:p w:rsidR="00A24861" w:rsidRPr="00A24861" w:rsidRDefault="00A24861" w:rsidP="00A24861">
      <w:pPr>
        <w:numPr>
          <w:ilvl w:val="0"/>
          <w:numId w:val="2"/>
        </w:numPr>
        <w:spacing w:after="0" w:line="360" w:lineRule="auto"/>
        <w:contextualSpacing/>
        <w:jc w:val="both"/>
        <w:rPr>
          <w:rFonts w:ascii="Museo Sans 300" w:eastAsia="Times New Roman" w:hAnsi="Museo Sans 300" w:cs="Times New Roman"/>
          <w:sz w:val="21"/>
          <w:szCs w:val="21"/>
          <w:lang w:eastAsia="es-MX"/>
        </w:rPr>
      </w:pPr>
      <w:r w:rsidRPr="00A24861">
        <w:rPr>
          <w:rFonts w:ascii="Museo Sans 300" w:eastAsia="Times New Roman" w:hAnsi="Museo Sans 300" w:cs="Times New Roman"/>
          <w:sz w:val="21"/>
          <w:szCs w:val="21"/>
          <w:lang w:eastAsia="es-MX"/>
        </w:rPr>
        <w:t xml:space="preserve">Concédase el plazo de </w:t>
      </w:r>
      <w:r w:rsidRPr="00A24861">
        <w:rPr>
          <w:rFonts w:ascii="Museo Sans 300" w:eastAsia="Times New Roman" w:hAnsi="Museo Sans 300" w:cs="Times New Roman"/>
          <w:b/>
          <w:sz w:val="21"/>
          <w:szCs w:val="21"/>
          <w:lang w:eastAsia="es-MX"/>
        </w:rPr>
        <w:t>CINCO DÍAS HÁBILES</w:t>
      </w:r>
      <w:r w:rsidRPr="00A24861">
        <w:rPr>
          <w:rFonts w:ascii="Museo Sans 300" w:eastAsia="Times New Roman" w:hAnsi="Museo Sans 300" w:cs="Times New Roman"/>
          <w:sz w:val="21"/>
          <w:szCs w:val="21"/>
          <w:lang w:eastAsia="es-MX"/>
        </w:rPr>
        <w:t xml:space="preserve">, contados a partir de la notificación de este proveído, para que la solicitante subsane lo señalado. </w:t>
      </w:r>
    </w:p>
    <w:p w:rsidR="00A24861" w:rsidRPr="00A24861" w:rsidRDefault="00A24861" w:rsidP="00A24861">
      <w:pPr>
        <w:spacing w:after="0" w:line="360" w:lineRule="auto"/>
        <w:jc w:val="both"/>
        <w:rPr>
          <w:rFonts w:ascii="Museo Sans 300" w:eastAsia="Times New Roman" w:hAnsi="Museo Sans 300" w:cs="Times New Roman"/>
          <w:sz w:val="21"/>
          <w:szCs w:val="21"/>
          <w:lang w:eastAsia="es-MX"/>
        </w:rPr>
      </w:pPr>
      <w:r w:rsidRPr="00A24861">
        <w:rPr>
          <w:rFonts w:ascii="Museo Sans 300" w:eastAsia="Times New Roman" w:hAnsi="Museo Sans 300" w:cs="Times New Roman"/>
          <w:sz w:val="21"/>
          <w:szCs w:val="21"/>
          <w:lang w:eastAsia="es-MX"/>
        </w:rPr>
        <w:t xml:space="preserve">Notifíquese.   </w:t>
      </w:r>
    </w:p>
    <w:p w:rsidR="00A24861" w:rsidRPr="00A24861" w:rsidRDefault="00A24861" w:rsidP="00A24861">
      <w:pPr>
        <w:spacing w:after="0" w:line="360" w:lineRule="auto"/>
        <w:jc w:val="both"/>
        <w:rPr>
          <w:rFonts w:ascii="Museo Sans 300" w:eastAsia="Times New Roman" w:hAnsi="Museo Sans 300" w:cs="Times New Roman"/>
          <w:sz w:val="21"/>
          <w:szCs w:val="21"/>
          <w:lang w:eastAsia="es-MX"/>
        </w:rPr>
      </w:pPr>
    </w:p>
    <w:p w:rsidR="00A24861" w:rsidRPr="00A24861" w:rsidRDefault="00A24861" w:rsidP="00A24861">
      <w:pPr>
        <w:spacing w:after="0" w:line="360" w:lineRule="auto"/>
        <w:jc w:val="both"/>
        <w:rPr>
          <w:rFonts w:ascii="Museo Sans 300" w:eastAsia="Times New Roman" w:hAnsi="Museo Sans 300" w:cs="Times New Roman"/>
          <w:sz w:val="21"/>
          <w:szCs w:val="21"/>
          <w:lang w:eastAsia="es-MX"/>
        </w:rPr>
      </w:pPr>
    </w:p>
    <w:p w:rsidR="00A24861" w:rsidRPr="00A24861" w:rsidRDefault="00A24861" w:rsidP="00A24861">
      <w:pPr>
        <w:spacing w:after="0" w:line="360" w:lineRule="auto"/>
        <w:jc w:val="both"/>
        <w:rPr>
          <w:rFonts w:ascii="Museo Sans 300" w:eastAsia="Times New Roman" w:hAnsi="Museo Sans 300" w:cs="Times New Roman"/>
          <w:sz w:val="21"/>
          <w:szCs w:val="21"/>
          <w:lang w:eastAsia="es-MX"/>
        </w:rPr>
      </w:pPr>
    </w:p>
    <w:p w:rsidR="00A24861" w:rsidRPr="00A24861" w:rsidRDefault="00A24861" w:rsidP="00A24861">
      <w:pPr>
        <w:spacing w:after="0" w:line="360" w:lineRule="auto"/>
        <w:jc w:val="both"/>
        <w:rPr>
          <w:rFonts w:ascii="Museo Sans 300" w:eastAsia="Times New Roman" w:hAnsi="Museo Sans 300" w:cs="Times New Roman"/>
          <w:sz w:val="21"/>
          <w:szCs w:val="21"/>
          <w:lang w:eastAsia="es-MX"/>
        </w:rPr>
      </w:pPr>
    </w:p>
    <w:p w:rsidR="00A24861" w:rsidRPr="00A24861" w:rsidRDefault="00A24861" w:rsidP="00A24861">
      <w:pPr>
        <w:spacing w:after="0" w:line="240" w:lineRule="auto"/>
        <w:contextualSpacing/>
        <w:jc w:val="center"/>
        <w:rPr>
          <w:rFonts w:ascii="Bembo Std" w:eastAsia="Times New Roman" w:hAnsi="Bembo Std" w:cs="Times New Roman"/>
          <w:b/>
          <w:sz w:val="21"/>
          <w:szCs w:val="21"/>
          <w:lang w:val="es-MX" w:eastAsia="es-MX"/>
        </w:rPr>
      </w:pPr>
      <w:r w:rsidRPr="00A24861">
        <w:rPr>
          <w:rFonts w:ascii="Bembo Std" w:eastAsia="Times New Roman" w:hAnsi="Bembo Std" w:cs="Times New Roman"/>
          <w:b/>
          <w:sz w:val="21"/>
          <w:szCs w:val="21"/>
          <w:lang w:val="es-MX" w:eastAsia="es-MX"/>
        </w:rPr>
        <w:t>LIC. SONIA ELIZABETH GARCIA GRANDE</w:t>
      </w:r>
    </w:p>
    <w:p w:rsidR="00A24861" w:rsidRPr="00A24861" w:rsidRDefault="00A24861" w:rsidP="00A24861">
      <w:pPr>
        <w:spacing w:after="0" w:line="240" w:lineRule="auto"/>
        <w:rPr>
          <w:rFonts w:ascii="Times New Roman" w:eastAsia="Times New Roman" w:hAnsi="Times New Roman" w:cs="Times New Roman"/>
          <w:sz w:val="24"/>
          <w:szCs w:val="24"/>
          <w:lang w:val="es-MX" w:eastAsia="es-MX"/>
        </w:rPr>
      </w:pPr>
      <w:r w:rsidRPr="00A24861">
        <w:rPr>
          <w:rFonts w:ascii="Bembo Std" w:eastAsia="Times New Roman" w:hAnsi="Bembo Std" w:cs="Times New Roman"/>
          <w:b/>
          <w:sz w:val="21"/>
          <w:szCs w:val="21"/>
          <w:lang w:val="es-MX" w:eastAsia="es-MX"/>
        </w:rPr>
        <w:t xml:space="preserve">                                              OFICIAL DE INFORMACIÓN</w:t>
      </w:r>
    </w:p>
    <w:p w:rsidR="000F3C3B" w:rsidRDefault="000F3C3B">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A24861">
    <w:pPr>
      <w:pStyle w:val="Piedepgina"/>
    </w:pPr>
    <w:r>
      <w:rPr>
        <w:noProof/>
        <w:lang w:eastAsia="es-SV"/>
      </w:rPr>
      <w:drawing>
        <wp:anchor distT="0" distB="0" distL="114300" distR="114300" simplePos="0" relativeHeight="251667456" behindDoc="0" locked="0" layoutInCell="1" allowOverlap="1" wp14:anchorId="64EBEEB7" wp14:editId="4A31DCB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24861">
    <w:pPr>
      <w:pStyle w:val="Piedepgina"/>
    </w:pPr>
    <w:r>
      <w:rPr>
        <w:noProof/>
        <w:lang w:eastAsia="es-SV"/>
      </w:rPr>
      <w:drawing>
        <wp:anchor distT="0" distB="0" distL="114300" distR="114300" simplePos="0" relativeHeight="251659264" behindDoc="0" locked="0" layoutInCell="1" allowOverlap="1" wp14:anchorId="75EC2F97" wp14:editId="00EAA40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24861">
    <w:pPr>
      <w:pStyle w:val="Encabezado"/>
    </w:pPr>
    <w:r>
      <w:rPr>
        <w:noProof/>
        <w:lang w:eastAsia="es-SV"/>
      </w:rPr>
      <w:drawing>
        <wp:anchor distT="0" distB="0" distL="114300" distR="114300" simplePos="0" relativeHeight="251665408" behindDoc="0" locked="0" layoutInCell="1" allowOverlap="1" wp14:anchorId="617E8123" wp14:editId="4D2CF97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16A9388" wp14:editId="00AAB1AF">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2486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A938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2486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24861"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F6F41EB" wp14:editId="5A40A8D1">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A24861"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F41EB"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A24861"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D993419" wp14:editId="7970A74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1CD5256" wp14:editId="6CDC927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2486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837CC"/>
    <w:multiLevelType w:val="hybridMultilevel"/>
    <w:tmpl w:val="014ADA5C"/>
    <w:lvl w:ilvl="0" w:tplc="70AC10E2">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861"/>
    <w:rsid w:val="000F3C3B"/>
    <w:rsid w:val="00A24861"/>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F6B75F6-F75F-4003-AE8C-23DB8975C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248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24861"/>
  </w:style>
  <w:style w:type="paragraph" w:styleId="Piedepgina">
    <w:name w:val="footer"/>
    <w:basedOn w:val="Normal"/>
    <w:link w:val="PiedepginaCar"/>
    <w:uiPriority w:val="99"/>
    <w:semiHidden/>
    <w:unhideWhenUsed/>
    <w:rsid w:val="00A248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24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mercy_alas@yahoo.es"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809</Words>
  <Characters>4451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2022-03-10T16:04:00Z</dcterms:created>
  <dcterms:modified xsi:type="dcterms:W3CDTF">2022-03-10T16:04:00Z</dcterms:modified>
</cp:coreProperties>
</file>