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D02" w:rsidRPr="005F6D02" w:rsidRDefault="005F6D02" w:rsidP="005F6D02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F6D02" w:rsidRPr="005F6D02" w:rsidRDefault="005F6D02" w:rsidP="005F6D02">
      <w:pPr>
        <w:spacing w:after="0" w:line="240" w:lineRule="auto"/>
        <w:ind w:left="2124" w:firstLine="708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5F6D0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183-2021</w:t>
      </w:r>
    </w:p>
    <w:p w:rsidR="005F6D02" w:rsidRPr="005F6D02" w:rsidRDefault="005F6D02" w:rsidP="005F6D02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5F6D02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ISTA-2021-0146</w:t>
      </w:r>
    </w:p>
    <w:p w:rsidR="005F6D02" w:rsidRPr="005F6D02" w:rsidRDefault="005F6D02" w:rsidP="005F6D02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5F6D02" w:rsidRPr="005F6D02" w:rsidRDefault="005F6D02" w:rsidP="005F6D0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5F6D0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la Unidad de Acceso a la Información Pública del Instituto Salvadoreño de Transformación Agraria, ciudad y departamento de San Salvador, a las once horas del día diez de noviembre del año dos mil veintiuno.</w:t>
      </w:r>
    </w:p>
    <w:p w:rsidR="005F6D02" w:rsidRPr="005F6D02" w:rsidRDefault="005F6D02" w:rsidP="005F6D0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5F6D02" w:rsidRPr="005F6D02" w:rsidRDefault="005F6D02" w:rsidP="005F6D02">
      <w:pPr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5F6D0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recibida a las siete horas con treinta minutos del día veinticinco de octubre del año dos mil veintiuno, interpuesta por el ciudadano </w:t>
      </w:r>
      <w:r w:rsidRPr="005F6D02">
        <w:rPr>
          <w:rFonts w:ascii="Museo Sans 300" w:hAnsi="Museo Sans 300"/>
          <w:b/>
        </w:rPr>
        <w:t>----</w:t>
      </w:r>
      <w:r w:rsidRPr="005F6D0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registrada por esta Unidad bajo el No ISTA-2021-0146, en la que requiere: “””…ESTA INSTITUCION ISTA, ADQUIRIO CON LA LEY BASICA DE LA REFORMA AGRARIA O MAS BIEN INTERVINO VARIOS INMUEBLES, ENTRE ELLOS EL CARMEN Y LAS VICTORIAS EN CALUCO SONSONATE, (ver gráfico adjunto) ESTOS INMUEBLES PERTENECIENTES A LA ----, POR LO ANTERIOR SOLICITO LA INFORMACION GENERAL SI FUERON PAGADAS, CON BONOS, DINERO CASH ETC, A SUS LEGITIMOS PROPIETARIOS, INDEPENDIENTEMENTE DE SI FUERON PAGADAS O NO, SOLICITO CUAL ES EL PROCEDIMIENTO PARA ACCEDER AL PAGO Y AL DERECHO DE RESERVA QUE TENIAN DENTRO DE ESAS PROPIEDADES LA REFERIDA ----…”””””; </w:t>
      </w:r>
      <w:r w:rsidRPr="005F6D0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5F6D02" w:rsidRPr="005F6D02" w:rsidRDefault="005F6D02" w:rsidP="005F6D02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5F6D02" w:rsidRPr="005F6D02" w:rsidRDefault="005F6D02" w:rsidP="005F6D0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5F6D0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5F6D02" w:rsidRPr="005F6D02" w:rsidRDefault="005F6D02" w:rsidP="005F6D02">
      <w:pPr>
        <w:spacing w:after="0" w:line="276" w:lineRule="auto"/>
        <w:ind w:left="108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5F6D02" w:rsidRPr="005F6D02" w:rsidRDefault="005F6D02" w:rsidP="005F6D0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5F6D02">
        <w:rPr>
          <w:rFonts w:ascii="Museo Sans 300" w:hAnsi="Museo Sans 300"/>
          <w:sz w:val="20"/>
          <w:szCs w:val="20"/>
        </w:rPr>
        <w:t xml:space="preserve">Que por medio de la REF-UFI-03-0078-2021, la Unidad Financiera a la presente unidad proporciona respuesta a la solicitud del ciudadano </w:t>
      </w:r>
      <w:r w:rsidRPr="005F6D02">
        <w:rPr>
          <w:rFonts w:ascii="Museo Sans 300" w:hAnsi="Museo Sans 300"/>
          <w:b/>
          <w:sz w:val="20"/>
          <w:szCs w:val="20"/>
        </w:rPr>
        <w:t>----,</w:t>
      </w:r>
      <w:r w:rsidRPr="005F6D02">
        <w:rPr>
          <w:rFonts w:ascii="Museo Sans 300" w:hAnsi="Museo Sans 300"/>
          <w:sz w:val="20"/>
          <w:szCs w:val="20"/>
        </w:rPr>
        <w:t xml:space="preserve"> manifestando lo siguiente:  “</w:t>
      </w:r>
      <w:r w:rsidRPr="005F6D0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Al respecto le comunico que la propiedad el Carmen y Las Victorias fue adquirida de conformidad a la Ley Básica de la Reforma Agraria por el Instituto Salvadoreño de Transformación Agraria (ISTA) según consta en Punto II-11 del Acta Ordinaria 9 de fecha 5 de mayo de 1981, en el cual se establece que se expropiará la propiedad por un monto de ¢2,285,075.00. La distribución del monto de indemnización es el siguiente:</w:t>
      </w:r>
    </w:p>
    <w:tbl>
      <w:tblPr>
        <w:tblW w:w="4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1780"/>
      </w:tblGrid>
      <w:tr w:rsidR="005F6D02" w:rsidRPr="005F6D02" w:rsidTr="00B26C2E">
        <w:trPr>
          <w:trHeight w:val="315"/>
          <w:jc w:val="center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jc w:val="center"/>
              <w:rPr>
                <w:rFonts w:ascii="Museo Sans 300" w:eastAsia="Times New Roman" w:hAnsi="Museo Sans 300" w:cs="Arial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Museo Sans 300" w:eastAsia="Times New Roman" w:hAnsi="Museo Sans 300" w:cs="Arial"/>
                <w:b/>
                <w:bCs/>
                <w:color w:val="000000"/>
                <w:sz w:val="20"/>
                <w:szCs w:val="20"/>
                <w:lang w:eastAsia="es-SV"/>
              </w:rPr>
              <w:t>Tipo de Pago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jc w:val="center"/>
              <w:rPr>
                <w:rFonts w:ascii="Museo Sans 300" w:eastAsia="Times New Roman" w:hAnsi="Museo Sans 300" w:cs="Arial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Museo Sans 300" w:eastAsia="Times New Roman" w:hAnsi="Museo Sans 300" w:cs="Arial"/>
                <w:b/>
                <w:bCs/>
                <w:color w:val="000000"/>
                <w:sz w:val="20"/>
                <w:szCs w:val="20"/>
                <w:lang w:eastAsia="es-SV"/>
              </w:rPr>
              <w:t>Monto</w:t>
            </w:r>
          </w:p>
        </w:tc>
      </w:tr>
      <w:tr w:rsidR="005F6D02" w:rsidRPr="005F6D02" w:rsidTr="00B26C2E">
        <w:trPr>
          <w:trHeight w:val="315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  <w:t>Efectivo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jc w:val="right"/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s-SV"/>
              </w:rPr>
              <w:t>₡</w:t>
            </w:r>
            <w:r w:rsidRPr="005F6D02"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  <w:t>71,275.00</w:t>
            </w:r>
          </w:p>
        </w:tc>
      </w:tr>
      <w:tr w:rsidR="005F6D02" w:rsidRPr="005F6D02" w:rsidTr="00B26C2E">
        <w:trPr>
          <w:trHeight w:val="315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  <w:t>Bonos Serie "A" Preferentes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jc w:val="right"/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s-SV"/>
              </w:rPr>
              <w:t>₡</w:t>
            </w:r>
            <w:r w:rsidRPr="005F6D02"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  <w:t>213,800.00</w:t>
            </w:r>
          </w:p>
        </w:tc>
      </w:tr>
      <w:tr w:rsidR="005F6D02" w:rsidRPr="005F6D02" w:rsidTr="00B26C2E">
        <w:trPr>
          <w:trHeight w:val="315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  <w:t>Bonos Serie "A"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jc w:val="right"/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s-SV"/>
              </w:rPr>
              <w:t>₡</w:t>
            </w:r>
            <w:r w:rsidRPr="005F6D02"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  <w:t>1,080,000.00</w:t>
            </w:r>
          </w:p>
        </w:tc>
      </w:tr>
      <w:tr w:rsidR="005F6D02" w:rsidRPr="005F6D02" w:rsidTr="00B26C2E">
        <w:trPr>
          <w:trHeight w:val="315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  <w:t>Bonos Serie "C"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jc w:val="right"/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s-SV"/>
              </w:rPr>
              <w:t>₡</w:t>
            </w:r>
            <w:r w:rsidRPr="005F6D02">
              <w:rPr>
                <w:rFonts w:ascii="Museo Sans 300" w:eastAsia="Times New Roman" w:hAnsi="Museo Sans 300" w:cs="Arial"/>
                <w:color w:val="000000"/>
                <w:sz w:val="20"/>
                <w:szCs w:val="20"/>
                <w:lang w:eastAsia="es-SV"/>
              </w:rPr>
              <w:t>920,000.00</w:t>
            </w:r>
          </w:p>
        </w:tc>
      </w:tr>
      <w:tr w:rsidR="005F6D02" w:rsidRPr="005F6D02" w:rsidTr="00B26C2E">
        <w:trPr>
          <w:trHeight w:val="315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jc w:val="center"/>
              <w:rPr>
                <w:rFonts w:ascii="Museo Sans 300" w:eastAsia="Times New Roman" w:hAnsi="Museo Sans 300" w:cs="Arial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Museo Sans 300" w:eastAsia="Times New Roman" w:hAnsi="Museo Sans 300" w:cs="Arial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:rsidR="005F6D02" w:rsidRPr="005F6D02" w:rsidRDefault="005F6D02" w:rsidP="005F6D02">
            <w:pPr>
              <w:spacing w:after="0" w:line="240" w:lineRule="auto"/>
              <w:jc w:val="right"/>
              <w:rPr>
                <w:rFonts w:ascii="Museo Sans 300" w:eastAsia="Times New Roman" w:hAnsi="Museo Sans 300" w:cs="Arial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5F6D02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es-SV"/>
              </w:rPr>
              <w:t>₡</w:t>
            </w:r>
            <w:r w:rsidRPr="005F6D02">
              <w:rPr>
                <w:rFonts w:ascii="Museo Sans 300" w:eastAsia="Times New Roman" w:hAnsi="Museo Sans 300" w:cs="Arial"/>
                <w:b/>
                <w:bCs/>
                <w:color w:val="000000"/>
                <w:sz w:val="20"/>
                <w:szCs w:val="20"/>
                <w:lang w:eastAsia="es-SV"/>
              </w:rPr>
              <w:t>2,285,075.00</w:t>
            </w:r>
          </w:p>
        </w:tc>
      </w:tr>
    </w:tbl>
    <w:p w:rsidR="005F6D02" w:rsidRPr="005F6D02" w:rsidRDefault="005F6D02" w:rsidP="005F6D02">
      <w:pPr>
        <w:spacing w:after="20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5F6D0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</w:p>
    <w:p w:rsidR="005F6D02" w:rsidRPr="005F6D02" w:rsidRDefault="005F6D02" w:rsidP="005F6D02">
      <w:pPr>
        <w:spacing w:after="20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5F6D02" w:rsidRPr="005F6D02" w:rsidRDefault="005F6D02" w:rsidP="005F6D02">
      <w:pPr>
        <w:spacing w:after="20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5F6D02" w:rsidRPr="005F6D02" w:rsidRDefault="005F6D02" w:rsidP="005F6D02">
      <w:pPr>
        <w:spacing w:after="20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5F6D02" w:rsidRPr="005F6D02" w:rsidRDefault="005F6D02" w:rsidP="005F6D02">
      <w:pPr>
        <w:spacing w:after="20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5F6D0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La indemnización antes reflejada fue pagada según consta en Recibo N° 21905 de fecha 06 de mayo de 1981 así como lo establecido en Acta de Pago de fecha 10 de junio de 1981.</w:t>
      </w:r>
    </w:p>
    <w:p w:rsidR="005F6D02" w:rsidRPr="005F6D02" w:rsidRDefault="005F6D02" w:rsidP="005F6D02">
      <w:pPr>
        <w:spacing w:after="200" w:line="360" w:lineRule="auto"/>
        <w:jc w:val="both"/>
        <w:rPr>
          <w:rFonts w:ascii="Museo Sans 300" w:hAnsi="Museo Sans 300"/>
          <w:i/>
          <w:sz w:val="20"/>
          <w:szCs w:val="20"/>
        </w:rPr>
      </w:pPr>
      <w:r w:rsidRPr="005F6D02">
        <w:rPr>
          <w:rFonts w:ascii="Museo Sans 300" w:hAnsi="Museo Sans 300"/>
          <w:sz w:val="20"/>
          <w:szCs w:val="20"/>
        </w:rPr>
        <w:t xml:space="preserve">Respecto al Derecho de Reserva según la Ley Básica de la Reforma Agraria en su Art. 4 establece: </w:t>
      </w:r>
      <w:r w:rsidRPr="005F6D02">
        <w:rPr>
          <w:rFonts w:ascii="Museo Sans 300" w:hAnsi="Museo Sans 300"/>
          <w:i/>
          <w:sz w:val="20"/>
          <w:szCs w:val="20"/>
        </w:rPr>
        <w:t>“Las tierras afectadas por esta ley son aquellas cuya propiedad o posesión corresponda en el territorio nacional a una o más personas naturales, sucesiones o sociedades y que excedan de CIEN HECTÁREAS, en inmuebles con suelos clases I, II, III y IV, y de CIENTO CINCUENTA HECTÁREAS en suelos clases V, VI y VII. Estas extensiones constituyen el derecho de reserva a favor de los propietarios o poseedores de tierras”.</w:t>
      </w:r>
    </w:p>
    <w:p w:rsidR="005F6D02" w:rsidRPr="005F6D02" w:rsidRDefault="005F6D02" w:rsidP="005F6D02">
      <w:pPr>
        <w:spacing w:after="200" w:line="360" w:lineRule="auto"/>
        <w:jc w:val="both"/>
        <w:rPr>
          <w:rFonts w:ascii="Museo Sans 300" w:hAnsi="Museo Sans 300"/>
          <w:b/>
          <w:i/>
          <w:sz w:val="20"/>
          <w:szCs w:val="20"/>
        </w:rPr>
      </w:pPr>
      <w:r w:rsidRPr="005F6D02">
        <w:rPr>
          <w:rFonts w:ascii="Museo Sans 300" w:hAnsi="Museo Sans 300"/>
          <w:sz w:val="20"/>
          <w:szCs w:val="20"/>
        </w:rPr>
        <w:t xml:space="preserve">En el caso del Derecho de Reserva es importante mencionar que con base a escrito de fecha 07 de abril de 1981 la señora Carmen Lazo de Rodríguez, actuando en concepto de representante legal de la ----, manifiesta: </w:t>
      </w:r>
      <w:r w:rsidRPr="005F6D02">
        <w:rPr>
          <w:rFonts w:ascii="Museo Sans 300" w:hAnsi="Museo Sans 300"/>
          <w:b/>
          <w:sz w:val="20"/>
          <w:szCs w:val="20"/>
        </w:rPr>
        <w:t>“</w:t>
      </w:r>
      <w:r w:rsidRPr="005F6D02">
        <w:rPr>
          <w:rFonts w:ascii="Museo Sans 300" w:hAnsi="Museo Sans 300"/>
          <w:b/>
          <w:i/>
          <w:sz w:val="20"/>
          <w:szCs w:val="20"/>
        </w:rPr>
        <w:t>Por este medio renuncio al derecho de reserva que por ley me corresponde en los bienes intervenidos por esa institución”.</w:t>
      </w:r>
    </w:p>
    <w:p w:rsidR="005F6D02" w:rsidRPr="005F6D02" w:rsidRDefault="005F6D02" w:rsidP="005F6D02">
      <w:pPr>
        <w:spacing w:line="276" w:lineRule="auto"/>
        <w:jc w:val="both"/>
        <w:rPr>
          <w:rFonts w:ascii="Museo Sans 300" w:hAnsi="Museo Sans 300"/>
          <w:sz w:val="20"/>
          <w:szCs w:val="20"/>
          <w:lang w:val="es-MX"/>
        </w:rPr>
      </w:pPr>
      <w:r w:rsidRPr="005F6D02">
        <w:rPr>
          <w:rFonts w:ascii="Museo Sans 300" w:hAnsi="Museo Sans 300"/>
          <w:sz w:val="20"/>
          <w:szCs w:val="20"/>
        </w:rPr>
        <w:t>Al renunciar al Derecho de Reserva, todo el inmueble que tenía inscrito la ---- fue expropiado por ISTA y quedó registrado a favor de esta Institución según consta en el Titulo de Dominio de la Hacienda El Carmen inscrito al N° 30, Libro 657 y Titulo de Dominio de la Hacienda Las Victorias inscrito al N° 75, Libro 673, ambos pertenecientes al Registro de la Propiedad Raíz e Hipotecas de la Tercera Sección de Oriente departamento de Sonsonate”</w:t>
      </w:r>
    </w:p>
    <w:p w:rsidR="005F6D02" w:rsidRPr="005F6D02" w:rsidRDefault="005F6D02" w:rsidP="005F6D02">
      <w:pPr>
        <w:spacing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5F6D02">
        <w:rPr>
          <w:rFonts w:ascii="Museo Sans 300" w:hAnsi="Museo Sans 300"/>
          <w:b/>
          <w:sz w:val="20"/>
          <w:szCs w:val="20"/>
        </w:rPr>
        <w:t xml:space="preserve">POR TANTO: </w:t>
      </w:r>
      <w:r w:rsidRPr="005F6D02">
        <w:rPr>
          <w:rFonts w:ascii="Museo Sans 300" w:hAnsi="Museo Sans 300"/>
          <w:sz w:val="20"/>
          <w:szCs w:val="20"/>
        </w:rPr>
        <w:t>Con base a los Artículos 31, 33 y 36 de la Ley de Acceso a la Información Pública, y Art. 40 de su Reglamento,</w:t>
      </w:r>
      <w:r w:rsidRPr="005F6D02">
        <w:rPr>
          <w:rFonts w:ascii="Museo Sans 300" w:hAnsi="Museo Sans 300"/>
          <w:b/>
          <w:sz w:val="20"/>
          <w:szCs w:val="20"/>
        </w:rPr>
        <w:t xml:space="preserve"> SE RESUELVE:</w:t>
      </w:r>
      <w:r w:rsidRPr="005F6D02">
        <w:rPr>
          <w:rFonts w:ascii="Museo Sans 300" w:hAnsi="Museo Sans 300"/>
          <w:sz w:val="20"/>
          <w:szCs w:val="20"/>
        </w:rPr>
        <w:t xml:space="preserve"> </w:t>
      </w:r>
      <w:r w:rsidRPr="005F6D02">
        <w:rPr>
          <w:rFonts w:ascii="Museo Sans 300" w:hAnsi="Museo Sans 300"/>
          <w:b/>
          <w:sz w:val="20"/>
          <w:szCs w:val="20"/>
        </w:rPr>
        <w:t xml:space="preserve">A) </w:t>
      </w:r>
      <w:r w:rsidRPr="005F6D02">
        <w:rPr>
          <w:rFonts w:ascii="Museo Sans 300" w:hAnsi="Museo Sans 300"/>
          <w:sz w:val="20"/>
          <w:szCs w:val="20"/>
        </w:rPr>
        <w:t xml:space="preserve">Conceder el acceso a la información por medio de lo manifestado  por la Unidad Financiera en el romano II de la presente resolución, la cual será entregada en la Unidad de Acceso a la Información Pública. </w:t>
      </w:r>
      <w:r w:rsidRPr="005F6D02">
        <w:rPr>
          <w:rFonts w:ascii="Museo Sans 300" w:hAnsi="Museo Sans 300"/>
          <w:b/>
          <w:sz w:val="20"/>
          <w:szCs w:val="20"/>
        </w:rPr>
        <w:t xml:space="preserve">B) </w:t>
      </w:r>
      <w:r w:rsidRPr="005F6D02">
        <w:rPr>
          <w:rFonts w:ascii="Museo Sans 300" w:hAnsi="Museo Sans 300"/>
          <w:sz w:val="20"/>
          <w:szCs w:val="20"/>
        </w:rPr>
        <w:t xml:space="preserve">Notificar lo resuelto al señor </w:t>
      </w:r>
      <w:r w:rsidRPr="005F6D02">
        <w:rPr>
          <w:rFonts w:ascii="Museo Sans 300" w:hAnsi="Museo Sans 300"/>
          <w:b/>
          <w:sz w:val="20"/>
          <w:szCs w:val="20"/>
        </w:rPr>
        <w:t>----</w:t>
      </w:r>
      <w:r w:rsidRPr="005F6D02">
        <w:rPr>
          <w:rFonts w:ascii="Museo Sans 300" w:hAnsi="Museo Sans 300"/>
          <w:sz w:val="20"/>
          <w:szCs w:val="20"/>
        </w:rPr>
        <w:t>. Notifíquese.</w:t>
      </w:r>
    </w:p>
    <w:p w:rsidR="005F6D02" w:rsidRPr="005F6D02" w:rsidRDefault="005F6D02" w:rsidP="005F6D0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5F6D02" w:rsidRPr="005F6D02" w:rsidRDefault="005F6D02" w:rsidP="005F6D0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5F6D02" w:rsidRPr="005F6D02" w:rsidRDefault="005F6D02" w:rsidP="005F6D0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5F6D02" w:rsidRPr="005F6D02" w:rsidRDefault="005F6D02" w:rsidP="005F6D0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5F6D0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5F6D02" w:rsidRPr="005F6D02" w:rsidRDefault="005F6D02" w:rsidP="005F6D0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5F6D0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</w:t>
      </w:r>
    </w:p>
    <w:p w:rsidR="005F6D02" w:rsidRPr="005F6D02" w:rsidRDefault="005F6D02" w:rsidP="005F6D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F6D0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077627" wp14:editId="794C9E3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F6D0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D353F96" wp14:editId="1ED531C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3E3D31E" wp14:editId="062723B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F6D0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3D3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F6D0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F6D0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6918955" wp14:editId="384E4CA8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F6D0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9189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5F6D0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EDFAD83" wp14:editId="5610445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919CD70" wp14:editId="7DEB1EB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F6D0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D02"/>
    <w:rsid w:val="000F3C3B"/>
    <w:rsid w:val="005F6D02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3748DFE-3084-413F-8EF1-66B7811E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F6D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6D02"/>
  </w:style>
  <w:style w:type="paragraph" w:styleId="Piedepgina">
    <w:name w:val="footer"/>
    <w:basedOn w:val="Normal"/>
    <w:link w:val="PiedepginaCar"/>
    <w:uiPriority w:val="99"/>
    <w:semiHidden/>
    <w:unhideWhenUsed/>
    <w:rsid w:val="005F6D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6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2022-02-11T21:20:00Z</dcterms:created>
  <dcterms:modified xsi:type="dcterms:W3CDTF">2022-02-11T21:20:00Z</dcterms:modified>
</cp:coreProperties>
</file>