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CA" w:rsidRPr="00662EC0" w:rsidRDefault="00F32DCA" w:rsidP="00F32DCA">
      <w:pPr>
        <w:jc w:val="right"/>
        <w:rPr>
          <w:rFonts w:ascii="Museo Sans 100" w:hAnsi="Museo Sans 100"/>
          <w:sz w:val="21"/>
          <w:szCs w:val="21"/>
          <w:lang w:val="es-SV"/>
        </w:rPr>
      </w:pPr>
    </w:p>
    <w:p w:rsidR="00F32DCA" w:rsidRPr="00662EC0" w:rsidRDefault="00F32DCA" w:rsidP="00F32DCA">
      <w:pPr>
        <w:jc w:val="right"/>
        <w:rPr>
          <w:rFonts w:ascii="Museo Sans 100" w:hAnsi="Museo Sans 100"/>
          <w:sz w:val="21"/>
          <w:szCs w:val="21"/>
          <w:lang w:val="es-SV"/>
        </w:rPr>
      </w:pPr>
    </w:p>
    <w:p w:rsidR="00F32DCA" w:rsidRPr="00662EC0" w:rsidRDefault="00F32DCA" w:rsidP="00F32DCA">
      <w:pPr>
        <w:jc w:val="right"/>
        <w:rPr>
          <w:rFonts w:ascii="Museo Sans 100" w:hAnsi="Museo Sans 100"/>
          <w:sz w:val="21"/>
          <w:szCs w:val="21"/>
          <w:lang w:val="es-SV"/>
        </w:rPr>
      </w:pPr>
    </w:p>
    <w:p w:rsidR="00F32DCA" w:rsidRPr="00662EC0" w:rsidRDefault="00F32DCA" w:rsidP="00F32DCA">
      <w:pPr>
        <w:jc w:val="right"/>
        <w:rPr>
          <w:rFonts w:ascii="Museo Sans 100" w:hAnsi="Museo Sans 100"/>
          <w:sz w:val="21"/>
          <w:szCs w:val="21"/>
          <w:lang w:val="es-SV"/>
        </w:rPr>
      </w:pPr>
    </w:p>
    <w:p w:rsidR="00F32DCA" w:rsidRPr="00662EC0" w:rsidRDefault="00F32DCA" w:rsidP="00F32DCA">
      <w:pPr>
        <w:contextualSpacing/>
        <w:jc w:val="right"/>
        <w:rPr>
          <w:rFonts w:ascii="Museo Sans 100" w:hAnsi="Museo Sans 100"/>
          <w:b/>
          <w:sz w:val="16"/>
          <w:szCs w:val="16"/>
        </w:rPr>
      </w:pPr>
      <w:r w:rsidRPr="00662EC0">
        <w:rPr>
          <w:rFonts w:ascii="Museo Sans 100" w:hAnsi="Museo Sans 100"/>
          <w:b/>
          <w:sz w:val="16"/>
          <w:szCs w:val="16"/>
        </w:rPr>
        <w:t>RESOLUCIÓN 31-2019</w:t>
      </w:r>
    </w:p>
    <w:p w:rsidR="00F32DCA" w:rsidRPr="00662EC0" w:rsidRDefault="00F32DCA" w:rsidP="00F32DCA">
      <w:pPr>
        <w:contextualSpacing/>
        <w:jc w:val="right"/>
        <w:rPr>
          <w:rFonts w:ascii="Museo Sans 100" w:hAnsi="Museo Sans 100"/>
          <w:b/>
          <w:color w:val="A6A6A6" w:themeColor="background1" w:themeShade="A6"/>
          <w:sz w:val="16"/>
          <w:szCs w:val="16"/>
        </w:rPr>
      </w:pPr>
      <w:r w:rsidRPr="00662EC0">
        <w:rPr>
          <w:rFonts w:ascii="Museo Sans 100" w:hAnsi="Museo Sans 100"/>
          <w:b/>
          <w:color w:val="A6A6A6" w:themeColor="background1" w:themeShade="A6"/>
          <w:sz w:val="16"/>
          <w:szCs w:val="16"/>
        </w:rPr>
        <w:t>SOLICITUD: ISTA-2019-0032</w:t>
      </w:r>
    </w:p>
    <w:p w:rsidR="00F32DCA" w:rsidRPr="00662EC0" w:rsidRDefault="00F32DCA" w:rsidP="00F32DCA">
      <w:pPr>
        <w:spacing w:line="360" w:lineRule="auto"/>
        <w:contextualSpacing/>
        <w:jc w:val="both"/>
        <w:rPr>
          <w:rFonts w:ascii="Museo Sans 100" w:hAnsi="Museo Sans 100"/>
          <w:sz w:val="21"/>
          <w:szCs w:val="21"/>
        </w:rPr>
      </w:pPr>
    </w:p>
    <w:p w:rsidR="00F32DCA" w:rsidRPr="00662EC0" w:rsidRDefault="00F32DCA" w:rsidP="00F32DCA">
      <w:pPr>
        <w:spacing w:line="360" w:lineRule="auto"/>
        <w:contextualSpacing/>
        <w:jc w:val="both"/>
        <w:rPr>
          <w:rFonts w:ascii="Museo Sans 100" w:hAnsi="Museo Sans 1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>En la ciudad y departamento de San Salvador, a las catorce horas con treinta minutos del día doce de septiembre del año dos mil diecinueve.</w:t>
      </w:r>
    </w:p>
    <w:p w:rsidR="00F32DCA" w:rsidRPr="00662EC0" w:rsidRDefault="00F32DCA" w:rsidP="00F32DCA">
      <w:pPr>
        <w:spacing w:line="360" w:lineRule="auto"/>
        <w:contextualSpacing/>
        <w:jc w:val="both"/>
        <w:rPr>
          <w:rFonts w:ascii="Museo Sans 100" w:hAnsi="Museo Sans 100"/>
          <w:sz w:val="21"/>
          <w:szCs w:val="21"/>
        </w:rPr>
      </w:pP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b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Con vista de la solicitud de información presentada electrónicamente a las dieciséis horas con trece minutos del veintinueve de agosto del año dos mil diecinueve, por el </w:t>
      </w:r>
      <w:r w:rsidR="00662EC0" w:rsidRPr="00662EC0">
        <w:rPr>
          <w:rFonts w:ascii="Museo Sans 100" w:hAnsi="Museo Sans 100"/>
          <w:sz w:val="21"/>
          <w:szCs w:val="21"/>
        </w:rPr>
        <w:t>Licenciado</w:t>
      </w:r>
      <w:r w:rsidRPr="00662EC0">
        <w:rPr>
          <w:rFonts w:ascii="Museo Sans 100" w:hAnsi="Museo Sans 100"/>
          <w:sz w:val="21"/>
          <w:szCs w:val="21"/>
        </w:rPr>
        <w:t xml:space="preserve"> </w:t>
      </w:r>
      <w:r w:rsidR="00020627">
        <w:rPr>
          <w:rFonts w:ascii="Museo Sans 100" w:hAnsi="Museo Sans 100"/>
          <w:sz w:val="21"/>
          <w:szCs w:val="21"/>
        </w:rPr>
        <w:t>---</w:t>
      </w:r>
      <w:r w:rsidRPr="00662EC0">
        <w:rPr>
          <w:rFonts w:ascii="Museo Sans 100" w:hAnsi="Museo Sans 100"/>
          <w:sz w:val="21"/>
          <w:szCs w:val="21"/>
        </w:rPr>
        <w:t xml:space="preserve">, registrada por esta Unidad bajo el No ISTA-2019-0032, en la que requiere: </w:t>
      </w:r>
      <w:r w:rsidRPr="00662EC0">
        <w:rPr>
          <w:rFonts w:ascii="Museo Sans 100" w:hAnsi="Museo Sans 100"/>
          <w:i/>
          <w:sz w:val="21"/>
          <w:szCs w:val="21"/>
        </w:rPr>
        <w:t xml:space="preserve">“Fotocopia certificada de: 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1- Plano de </w:t>
      </w:r>
      <w:r w:rsidR="00E15696" w:rsidRPr="00662EC0">
        <w:rPr>
          <w:rFonts w:ascii="Museo Sans 100" w:hAnsi="Museo Sans 100"/>
          <w:bCs/>
          <w:i/>
          <w:sz w:val="21"/>
          <w:szCs w:val="21"/>
          <w:lang w:val="es-SV"/>
        </w:rPr>
        <w:t>intervención</w:t>
      </w:r>
      <w:bookmarkStart w:id="0" w:name="_GoBack"/>
      <w:bookmarkEnd w:id="0"/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 de la Hacienda El Pichiche o Azacualpa, compuesto por diecinueve porciones, ubicados en el Cantón Azacualpa, Jurisdicción de Zacatecoluca, Departamento de La Paz; 2- Comprobante de pago de indemnización a favor de la señora </w:t>
      </w:r>
      <w:r w:rsidR="000F5976">
        <w:rPr>
          <w:rFonts w:ascii="Museo Sans 100" w:hAnsi="Museo Sans 100"/>
          <w:bCs/>
          <w:i/>
          <w:sz w:val="21"/>
          <w:szCs w:val="21"/>
          <w:lang w:val="es-SV"/>
        </w:rPr>
        <w:t>---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, como copropietaria de la Hacienda El Pichiche o Azacualpa, e intervenida por ISTA; 3- Comprobante de pago de indemnización a favor de la señora </w:t>
      </w:r>
      <w:r w:rsidR="00A623EA">
        <w:rPr>
          <w:rFonts w:ascii="Museo Sans 100" w:hAnsi="Museo Sans 100"/>
          <w:bCs/>
          <w:i/>
          <w:sz w:val="21"/>
          <w:szCs w:val="21"/>
          <w:lang w:val="es-SV"/>
        </w:rPr>
        <w:t>---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, como copropietaria de la Hacienda El Pichiche o Azacualpa, e intervenida por ISTA; 4- Comprobante de pago de indemnización a favor de la señora </w:t>
      </w:r>
      <w:r w:rsidR="00B24168">
        <w:rPr>
          <w:rFonts w:ascii="Museo Sans 100" w:hAnsi="Museo Sans 100"/>
          <w:bCs/>
          <w:i/>
          <w:sz w:val="21"/>
          <w:szCs w:val="21"/>
          <w:lang w:val="es-SV"/>
        </w:rPr>
        <w:t>---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, como copropietaria de la Hacienda El Pichiche o Azacualpa, e intervenida por ISTA; 5- Comprobante de pago de indemnización a favor de la señora </w:t>
      </w:r>
      <w:r w:rsidR="00071B3F">
        <w:rPr>
          <w:rFonts w:ascii="Museo Sans 100" w:hAnsi="Museo Sans 100"/>
          <w:bCs/>
          <w:i/>
          <w:sz w:val="21"/>
          <w:szCs w:val="21"/>
          <w:lang w:val="es-SV"/>
        </w:rPr>
        <w:t>---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>, como copropietaria de la Hacienda El Pichiche o Azacualpa, e intervenida por ISTA; 6- Comprobante de pago de indemnización a favor de la señor</w:t>
      </w:r>
      <w:r w:rsidR="00011090">
        <w:rPr>
          <w:rFonts w:ascii="Museo Sans 100" w:hAnsi="Museo Sans 100"/>
          <w:bCs/>
          <w:i/>
          <w:sz w:val="21"/>
          <w:szCs w:val="21"/>
          <w:lang w:val="es-SV"/>
        </w:rPr>
        <w:t>---</w:t>
      </w:r>
      <w:r w:rsidRPr="00662EC0">
        <w:rPr>
          <w:rFonts w:ascii="Museo Sans 100" w:hAnsi="Museo Sans 100"/>
          <w:bCs/>
          <w:i/>
          <w:sz w:val="21"/>
          <w:szCs w:val="21"/>
          <w:lang w:val="es-SV"/>
        </w:rPr>
        <w:t>, como copropietaria de la Hacienda El Pichiche o Azacualpa, e intervenida por ISTA</w:t>
      </w:r>
      <w:r w:rsidRPr="00662EC0">
        <w:rPr>
          <w:rFonts w:ascii="Museo Sans 100" w:hAnsi="Museo Sans 100"/>
          <w:i/>
          <w:sz w:val="21"/>
          <w:szCs w:val="21"/>
        </w:rPr>
        <w:t>”</w:t>
      </w:r>
      <w:r w:rsidRPr="00662EC0">
        <w:rPr>
          <w:rFonts w:ascii="Museo Sans 100" w:hAnsi="Museo Sans 100"/>
          <w:sz w:val="21"/>
          <w:szCs w:val="21"/>
        </w:rPr>
        <w:t>;</w:t>
      </w:r>
      <w:r w:rsidRPr="00662EC0">
        <w:rPr>
          <w:rFonts w:ascii="Museo Sans 100" w:hAnsi="Museo Sans 100"/>
          <w:i/>
          <w:sz w:val="21"/>
          <w:szCs w:val="21"/>
        </w:rPr>
        <w:t xml:space="preserve"> </w:t>
      </w:r>
      <w:r w:rsidRPr="00662EC0">
        <w:rPr>
          <w:rFonts w:ascii="Museo Sans 100" w:hAnsi="Museo Sans 100"/>
          <w:b/>
          <w:sz w:val="21"/>
          <w:szCs w:val="21"/>
        </w:rPr>
        <w:t>y CONSIDERANDO:</w:t>
      </w: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b/>
          <w:sz w:val="21"/>
          <w:szCs w:val="21"/>
        </w:rPr>
      </w:pP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Por medio de la referencia SGL-03-1154-19 del Departamento de Análisis Jurídico remitieron la Certificación del plano de intervención de la Hacienda El Pichiche o Azacualpa, compuesto por diecinueve porciones, cuyo costo es de TREINTA DÓLARES DE LOS ESTADOS UNIDOS </w:t>
      </w:r>
      <w:r w:rsidRPr="00662EC0">
        <w:rPr>
          <w:rFonts w:ascii="Museo Sans 100" w:hAnsi="Museo Sans 100"/>
          <w:sz w:val="21"/>
          <w:szCs w:val="21"/>
        </w:rPr>
        <w:lastRenderedPageBreak/>
        <w:t>DE AMÉRICA, de acuerdo al arancel vigente aprobado por la Junta Directiva de este Instituto en Acta de Sesión Ordinaria No 22-2004 del 10 de junio del año 2004, con lo cual se da por concedido el acceso a la información</w:t>
      </w:r>
      <w:r w:rsidR="005E5ED1" w:rsidRPr="00662EC0">
        <w:rPr>
          <w:rFonts w:ascii="Museo Sans 100" w:hAnsi="Museo Sans 100"/>
          <w:sz w:val="21"/>
          <w:szCs w:val="21"/>
        </w:rPr>
        <w:t xml:space="preserve"> del primer requerimiento.</w:t>
      </w: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>III) En cuanto a los reque</w:t>
      </w:r>
      <w:r w:rsidR="005E5ED1" w:rsidRPr="00662EC0">
        <w:rPr>
          <w:rFonts w:ascii="Museo Sans 100" w:hAnsi="Museo Sans 100"/>
          <w:sz w:val="21"/>
          <w:szCs w:val="21"/>
        </w:rPr>
        <w:t xml:space="preserve">rimientos numerados del 2 al 6 se le informa que de conformidad al Art. 33 de la Ley de Acceso a la Información Pública, los entes obligados </w:t>
      </w:r>
      <w:r w:rsidR="005E5ED1" w:rsidRPr="00662EC0">
        <w:rPr>
          <w:rFonts w:ascii="Museo Sans 100" w:hAnsi="Museo Sans 100"/>
          <w:b/>
          <w:sz w:val="21"/>
          <w:szCs w:val="21"/>
        </w:rPr>
        <w:t>no podrán difundir</w:t>
      </w:r>
      <w:r w:rsidR="005E5ED1" w:rsidRPr="00662EC0">
        <w:rPr>
          <w:rFonts w:ascii="Museo Sans 100" w:hAnsi="Museo Sans 100"/>
          <w:sz w:val="21"/>
          <w:szCs w:val="21"/>
        </w:rPr>
        <w:t xml:space="preserve">, distribuir o comercializar los datos personales contenidos en los sistemas de información, salvo que haya mediado el consentimiento expreso y libre por escrito o medio equivalente de los individuos a que haga referencia la información, y en el Art. 6 de la Ley en comento define que son DATOS PERSONALES la información privada concerniente a una persona, identificada o identificable, relativa a su nacionalidad, domicilio, </w:t>
      </w:r>
      <w:r w:rsidR="005E5ED1" w:rsidRPr="00662EC0">
        <w:rPr>
          <w:rFonts w:ascii="Museo Sans 100" w:hAnsi="Museo Sans 100"/>
          <w:b/>
          <w:sz w:val="21"/>
          <w:szCs w:val="21"/>
        </w:rPr>
        <w:t>patrimonio</w:t>
      </w:r>
      <w:r w:rsidR="005E5ED1" w:rsidRPr="00662EC0">
        <w:rPr>
          <w:rFonts w:ascii="Museo Sans 100" w:hAnsi="Museo Sans 100"/>
          <w:sz w:val="21"/>
          <w:szCs w:val="21"/>
        </w:rPr>
        <w:t xml:space="preserve">, dirección electrónica, número telefónico y </w:t>
      </w:r>
      <w:r w:rsidR="005E5ED1" w:rsidRPr="00662EC0">
        <w:rPr>
          <w:rFonts w:ascii="Museo Sans 100" w:hAnsi="Museo Sans 100"/>
          <w:b/>
          <w:sz w:val="21"/>
          <w:szCs w:val="21"/>
        </w:rPr>
        <w:t>otra análoga</w:t>
      </w:r>
      <w:r w:rsidR="005E5ED1" w:rsidRPr="00662EC0">
        <w:rPr>
          <w:rFonts w:ascii="Museo Sans 100" w:hAnsi="Museo Sans 100"/>
          <w:sz w:val="21"/>
          <w:szCs w:val="21"/>
        </w:rPr>
        <w:t>, por lo que no es procedente conceder su acceso a menos que presente la autorización a que se refiere el Art. 25 LAIP relacionado con el Art. 40 de su Reglamento.</w:t>
      </w:r>
    </w:p>
    <w:p w:rsidR="00F32DCA" w:rsidRPr="00662EC0" w:rsidRDefault="00F32DCA" w:rsidP="00F32DCA">
      <w:pPr>
        <w:spacing w:line="360" w:lineRule="auto"/>
        <w:jc w:val="both"/>
        <w:rPr>
          <w:rFonts w:ascii="Museo Sans 100" w:hAnsi="Museo Sans 100"/>
          <w:b/>
          <w:sz w:val="21"/>
          <w:szCs w:val="21"/>
        </w:rPr>
      </w:pPr>
    </w:p>
    <w:p w:rsidR="00F32DCA" w:rsidRDefault="00F32DCA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  <w:r w:rsidRPr="00662EC0">
        <w:rPr>
          <w:rFonts w:ascii="Museo Sans 100" w:hAnsi="Museo Sans 100"/>
          <w:b/>
          <w:sz w:val="21"/>
          <w:szCs w:val="21"/>
        </w:rPr>
        <w:t xml:space="preserve">POR TANTO: </w:t>
      </w:r>
      <w:r w:rsidRPr="00662EC0">
        <w:rPr>
          <w:rFonts w:ascii="Museo Sans 100" w:hAnsi="Museo Sans 100"/>
          <w:sz w:val="21"/>
          <w:szCs w:val="21"/>
        </w:rPr>
        <w:t>Con base al Artículo 72 de la Ley de Acceso a la Información Pública, y Art. 56 de su Reglamento,</w:t>
      </w:r>
      <w:r w:rsidRPr="00662EC0">
        <w:rPr>
          <w:rFonts w:ascii="Museo Sans 100" w:hAnsi="Museo Sans 100"/>
          <w:b/>
          <w:sz w:val="21"/>
          <w:szCs w:val="21"/>
        </w:rPr>
        <w:t xml:space="preserve"> SE RESUELVE:</w:t>
      </w:r>
      <w:r w:rsidRPr="00662EC0">
        <w:rPr>
          <w:rFonts w:ascii="Museo Sans 100" w:hAnsi="Museo Sans 100"/>
          <w:sz w:val="21"/>
          <w:szCs w:val="21"/>
        </w:rPr>
        <w:t xml:space="preserve"> </w:t>
      </w:r>
      <w:r w:rsidRPr="00662EC0">
        <w:rPr>
          <w:rFonts w:ascii="Museo Sans 100" w:hAnsi="Museo Sans 100"/>
          <w:b/>
          <w:sz w:val="21"/>
          <w:szCs w:val="21"/>
        </w:rPr>
        <w:t>A</w:t>
      </w:r>
      <w:r w:rsidR="005E5ED1" w:rsidRPr="00662EC0">
        <w:rPr>
          <w:rFonts w:ascii="Museo Sans 100" w:hAnsi="Museo Sans 100"/>
          <w:b/>
          <w:sz w:val="21"/>
          <w:szCs w:val="21"/>
        </w:rPr>
        <w:t xml:space="preserve">) </w:t>
      </w:r>
      <w:r w:rsidR="005E5ED1" w:rsidRPr="00662EC0">
        <w:rPr>
          <w:rFonts w:ascii="Museo Sans 100" w:hAnsi="Museo Sans 100"/>
          <w:sz w:val="21"/>
          <w:szCs w:val="21"/>
        </w:rPr>
        <w:t>Conceder el acceso a la información respecto al</w:t>
      </w:r>
      <w:r w:rsidR="005E5ED1" w:rsidRPr="00662EC0">
        <w:rPr>
          <w:rFonts w:ascii="Museo Sans 100" w:hAnsi="Museo Sans 100"/>
          <w:bCs/>
          <w:i/>
          <w:sz w:val="21"/>
          <w:szCs w:val="21"/>
          <w:lang w:val="es-SV"/>
        </w:rPr>
        <w:t xml:space="preserve"> </w:t>
      </w:r>
      <w:r w:rsidR="005E5ED1" w:rsidRPr="00662EC0">
        <w:rPr>
          <w:rFonts w:ascii="Museo Sans 100" w:hAnsi="Museo Sans 100"/>
          <w:bCs/>
          <w:sz w:val="21"/>
          <w:szCs w:val="21"/>
          <w:lang w:val="es-SV"/>
        </w:rPr>
        <w:t>Plano de intervención de la Hacienda El Pichiche o Azacualpa, compuesto por diecinueve porciones, ubicados en el Cantón Azacualpa, Jurisdicción de Zacatecoluca, Departamento de La Paz</w:t>
      </w:r>
      <w:r w:rsidR="003F418D" w:rsidRPr="00662EC0">
        <w:rPr>
          <w:rFonts w:ascii="Museo Sans 100" w:hAnsi="Museo Sans 100"/>
          <w:bCs/>
          <w:sz w:val="21"/>
          <w:szCs w:val="21"/>
          <w:lang w:val="es-SV"/>
        </w:rPr>
        <w:t xml:space="preserve">, cuyo costo </w:t>
      </w:r>
      <w:r w:rsidR="00662EC0" w:rsidRPr="00662EC0">
        <w:rPr>
          <w:rFonts w:ascii="Museo Sans 100" w:hAnsi="Museo Sans 100"/>
          <w:bCs/>
          <w:sz w:val="21"/>
          <w:szCs w:val="21"/>
        </w:rPr>
        <w:t>es de TREINTA DÓLARES DE LOS ESTADOS UNIDOS DE AMÉRICA, de acuerdo al arancel vigente aprobado por la Junta Directiva de este Instituto en Acta de Sesión Ordinaria No 22-2004 del 10 de junio del año 2004, el cual deberá ser retirado en la Unidad de Acceso a la Información Pública del ISTA</w:t>
      </w:r>
      <w:r w:rsidRPr="00662EC0">
        <w:rPr>
          <w:rFonts w:ascii="Museo Sans 100" w:hAnsi="Museo Sans 100"/>
          <w:sz w:val="21"/>
          <w:szCs w:val="21"/>
        </w:rPr>
        <w:t xml:space="preserve">; </w:t>
      </w:r>
      <w:r w:rsidRPr="00662EC0">
        <w:rPr>
          <w:rFonts w:ascii="Museo Sans 100" w:hAnsi="Museo Sans 100"/>
          <w:b/>
          <w:sz w:val="21"/>
          <w:szCs w:val="21"/>
        </w:rPr>
        <w:t>B)</w:t>
      </w:r>
      <w:r w:rsidR="005E5ED1" w:rsidRPr="00662EC0">
        <w:rPr>
          <w:rFonts w:ascii="Museo Sans 100" w:hAnsi="Museo Sans 100"/>
          <w:b/>
          <w:sz w:val="21"/>
          <w:szCs w:val="21"/>
        </w:rPr>
        <w:t xml:space="preserve"> </w:t>
      </w:r>
      <w:r w:rsidR="005E5ED1" w:rsidRPr="00662EC0">
        <w:rPr>
          <w:rFonts w:ascii="Museo Sans 100" w:hAnsi="Museo Sans 100"/>
          <w:sz w:val="21"/>
          <w:szCs w:val="21"/>
        </w:rPr>
        <w:t>Negar el acceso a la</w:t>
      </w:r>
      <w:r w:rsidR="003F418D" w:rsidRPr="00662EC0">
        <w:rPr>
          <w:rFonts w:ascii="Museo Sans 100" w:hAnsi="Museo Sans 100"/>
          <w:sz w:val="21"/>
          <w:szCs w:val="21"/>
        </w:rPr>
        <w:t xml:space="preserve"> información solicitada en los requerimientos numerados del 2 al 6 por ser INFORMACIÓN CONFIDENCIAL, específicamente DATOS PERSONALES que requieren el consentimiento del titular de la misma.</w:t>
      </w:r>
      <w:r w:rsidRPr="00662EC0">
        <w:rPr>
          <w:rFonts w:ascii="Museo Sans 100" w:hAnsi="Museo Sans 100"/>
          <w:b/>
          <w:sz w:val="21"/>
          <w:szCs w:val="21"/>
        </w:rPr>
        <w:t xml:space="preserve"> </w:t>
      </w:r>
      <w:r w:rsidRPr="00662EC0">
        <w:rPr>
          <w:rFonts w:ascii="Museo Sans 100" w:hAnsi="Museo Sans 100"/>
          <w:sz w:val="21"/>
          <w:szCs w:val="21"/>
        </w:rPr>
        <w:t xml:space="preserve">Notificar lo resuelto al </w:t>
      </w:r>
      <w:r w:rsidR="00662EC0" w:rsidRPr="00662EC0">
        <w:rPr>
          <w:rFonts w:ascii="Museo Sans 100" w:hAnsi="Museo Sans 100"/>
          <w:sz w:val="21"/>
          <w:szCs w:val="21"/>
        </w:rPr>
        <w:t xml:space="preserve"> </w:t>
      </w:r>
      <w:r w:rsidR="00886ABE">
        <w:rPr>
          <w:rFonts w:ascii="Museo Sans 100" w:hAnsi="Museo Sans 100"/>
          <w:sz w:val="21"/>
          <w:szCs w:val="21"/>
        </w:rPr>
        <w:t>---</w:t>
      </w:r>
      <w:r w:rsidRPr="00662EC0">
        <w:rPr>
          <w:rFonts w:ascii="Museo Sans 100" w:hAnsi="Museo Sans 100"/>
          <w:sz w:val="21"/>
          <w:szCs w:val="21"/>
        </w:rPr>
        <w:t>, haciéndole saber que le queda expedito el Recurso de Apelación en la forma y plazo que establece la Ley de Acceso a la Información Pública. Notifíquese.</w:t>
      </w:r>
    </w:p>
    <w:p w:rsidR="00662EC0" w:rsidRDefault="00662EC0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</w:p>
    <w:p w:rsidR="00662EC0" w:rsidRDefault="00662EC0" w:rsidP="00F32DCA">
      <w:pPr>
        <w:spacing w:line="360" w:lineRule="auto"/>
        <w:jc w:val="both"/>
        <w:rPr>
          <w:rFonts w:ascii="Museo Sans 100" w:hAnsi="Museo Sans 100"/>
          <w:sz w:val="21"/>
          <w:szCs w:val="21"/>
        </w:rPr>
      </w:pPr>
    </w:p>
    <w:p w:rsidR="00662EC0" w:rsidRPr="00662EC0" w:rsidRDefault="00662EC0" w:rsidP="00F32DCA">
      <w:pPr>
        <w:spacing w:line="360" w:lineRule="auto"/>
        <w:jc w:val="both"/>
        <w:rPr>
          <w:rFonts w:ascii="Museo Sans 100" w:hAnsi="Museo Sans 100"/>
          <w:b/>
          <w:sz w:val="21"/>
          <w:szCs w:val="21"/>
        </w:rPr>
      </w:pPr>
    </w:p>
    <w:p w:rsidR="00F32DCA" w:rsidRPr="00662EC0" w:rsidRDefault="00F32DCA" w:rsidP="00F32DCA">
      <w:pPr>
        <w:contextualSpacing/>
        <w:jc w:val="center"/>
        <w:rPr>
          <w:rFonts w:ascii="Bembo Std" w:hAnsi="Bembo Std"/>
          <w:b/>
          <w:sz w:val="21"/>
          <w:szCs w:val="21"/>
        </w:rPr>
      </w:pPr>
      <w:r w:rsidRPr="00662EC0">
        <w:rPr>
          <w:rFonts w:ascii="Bembo Std" w:hAnsi="Bembo Std"/>
          <w:b/>
          <w:sz w:val="21"/>
          <w:szCs w:val="21"/>
        </w:rPr>
        <w:t>XENIA YOSABETH ZÚNIGA DE FLAMENCO</w:t>
      </w:r>
    </w:p>
    <w:p w:rsidR="00F32DCA" w:rsidRPr="00662EC0" w:rsidRDefault="00F32DCA" w:rsidP="00F32DCA">
      <w:pPr>
        <w:jc w:val="center"/>
        <w:rPr>
          <w:rFonts w:ascii="Bembo Std" w:hAnsi="Bembo Std"/>
          <w:sz w:val="21"/>
          <w:szCs w:val="21"/>
          <w:lang w:val="es-SV"/>
        </w:rPr>
      </w:pPr>
      <w:r w:rsidRPr="00662EC0">
        <w:rPr>
          <w:rFonts w:ascii="Bembo Std" w:hAnsi="Bembo Std"/>
          <w:b/>
          <w:sz w:val="21"/>
          <w:szCs w:val="21"/>
        </w:rPr>
        <w:t>OFICIAL DE INFORMACIÓN</w:t>
      </w:r>
    </w:p>
    <w:p w:rsidR="00BA6F94" w:rsidRPr="00662EC0" w:rsidRDefault="003E1D18">
      <w:pPr>
        <w:rPr>
          <w:rFonts w:ascii="Museo Sans 100" w:hAnsi="Museo Sans 100"/>
          <w:sz w:val="21"/>
          <w:szCs w:val="21"/>
        </w:rPr>
      </w:pPr>
    </w:p>
    <w:sectPr w:rsidR="00BA6F94" w:rsidRPr="00662EC0" w:rsidSect="00F32DCA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C2" w:rsidRDefault="00C523C2" w:rsidP="00F32DCA">
      <w:r>
        <w:separator/>
      </w:r>
    </w:p>
  </w:endnote>
  <w:endnote w:type="continuationSeparator" w:id="0">
    <w:p w:rsidR="00C523C2" w:rsidRDefault="00C523C2" w:rsidP="00F3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C523C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1DDF3B7" wp14:editId="6ADBA91E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C2" w:rsidRDefault="00C523C2" w:rsidP="00F32DCA">
      <w:r>
        <w:separator/>
      </w:r>
    </w:p>
  </w:footnote>
  <w:footnote w:type="continuationSeparator" w:id="0">
    <w:p w:rsidR="00C523C2" w:rsidRDefault="00C523C2" w:rsidP="00F3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693F6F" w:rsidP="00B21EE2">
    <w:pPr>
      <w:pStyle w:val="Encabezad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3B64E51" wp14:editId="03E72CE8">
              <wp:simplePos x="0" y="0"/>
              <wp:positionH relativeFrom="margin">
                <wp:posOffset>3268639</wp:posOffset>
              </wp:positionH>
              <wp:positionV relativeFrom="paragraph">
                <wp:posOffset>-282244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3F6F" w:rsidRDefault="00693F6F" w:rsidP="00693F6F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64E5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7.35pt;margin-top:-22.2pt;width:204.7pt;height:55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">
              <v:textbox>
                <w:txbxContent>
                  <w:p w:rsidR="00693F6F" w:rsidRDefault="00693F6F" w:rsidP="00693F6F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523C2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AA27890" wp14:editId="65F7E375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CA"/>
    <w:rsid w:val="00011090"/>
    <w:rsid w:val="00020627"/>
    <w:rsid w:val="0004291E"/>
    <w:rsid w:val="00071B3F"/>
    <w:rsid w:val="000F5976"/>
    <w:rsid w:val="001D28CB"/>
    <w:rsid w:val="003A0DDB"/>
    <w:rsid w:val="003F418D"/>
    <w:rsid w:val="005E5ED1"/>
    <w:rsid w:val="00662EC0"/>
    <w:rsid w:val="00693F6F"/>
    <w:rsid w:val="0080366B"/>
    <w:rsid w:val="00886ABE"/>
    <w:rsid w:val="00936B39"/>
    <w:rsid w:val="00A24C1D"/>
    <w:rsid w:val="00A623EA"/>
    <w:rsid w:val="00B24168"/>
    <w:rsid w:val="00BE1A7E"/>
    <w:rsid w:val="00C523C2"/>
    <w:rsid w:val="00DC4AA8"/>
    <w:rsid w:val="00E15696"/>
    <w:rsid w:val="00F32DCA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9332C2-D3FE-49C3-9FAE-27933F4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useo 300" w:eastAsiaTheme="minorHAnsi" w:hAnsi="Museo 300" w:cs="Times New Roman"/>
        <w:sz w:val="22"/>
        <w:szCs w:val="22"/>
        <w:lang w:val="es-SV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CA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S">
    <w:name w:val="NOTAS"/>
    <w:basedOn w:val="Normal"/>
    <w:next w:val="Normal"/>
    <w:link w:val="NOTASCar"/>
    <w:qFormat/>
    <w:rsid w:val="0004291E"/>
    <w:pPr>
      <w:spacing w:line="259" w:lineRule="auto"/>
      <w:contextualSpacing/>
      <w:jc w:val="right"/>
    </w:pPr>
    <w:rPr>
      <w:rFonts w:ascii="Museo Sans 300" w:hAnsi="Museo Sans 300"/>
      <w:sz w:val="22"/>
      <w:szCs w:val="22"/>
    </w:rPr>
  </w:style>
  <w:style w:type="character" w:customStyle="1" w:styleId="NOTASCar">
    <w:name w:val="NOTAS Car"/>
    <w:basedOn w:val="Fuentedeprrafopredeter"/>
    <w:link w:val="NOTAS"/>
    <w:rsid w:val="0004291E"/>
    <w:rPr>
      <w:rFonts w:ascii="Museo Sans 300" w:eastAsia="Times New Roman" w:hAnsi="Museo Sans 300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F32DC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2DCA"/>
    <w:rPr>
      <w:rFonts w:asciiTheme="minorHAnsi" w:hAnsiTheme="minorHAnsi" w:cstheme="minorBidi"/>
    </w:rPr>
  </w:style>
  <w:style w:type="paragraph" w:styleId="Piedepgina">
    <w:name w:val="footer"/>
    <w:basedOn w:val="Normal"/>
    <w:link w:val="PiedepginaCar"/>
    <w:uiPriority w:val="99"/>
    <w:unhideWhenUsed/>
    <w:rsid w:val="00F32DC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2DCA"/>
    <w:rPr>
      <w:rFonts w:ascii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E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EC0"/>
    <w:rPr>
      <w:rFonts w:ascii="Segoe UI" w:eastAsia="Times New Roman" w:hAnsi="Segoe UI" w:cs="Segoe UI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Yanira Herrera</cp:lastModifiedBy>
  <cp:revision>2</cp:revision>
  <cp:lastPrinted>2019-09-12T21:07:00Z</cp:lastPrinted>
  <dcterms:created xsi:type="dcterms:W3CDTF">2019-10-04T20:20:00Z</dcterms:created>
  <dcterms:modified xsi:type="dcterms:W3CDTF">2019-10-04T20:20:00Z</dcterms:modified>
</cp:coreProperties>
</file>