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61B" w:rsidRPr="005E56A6" w:rsidRDefault="001E661B" w:rsidP="001E661B">
      <w:pPr>
        <w:pBdr>
          <w:bottom w:val="single" w:sz="12" w:space="1" w:color="auto"/>
        </w:pBdr>
        <w:spacing w:after="0" w:line="360" w:lineRule="auto"/>
        <w:contextualSpacing/>
        <w:jc w:val="both"/>
        <w:rPr>
          <w:rFonts w:ascii="Book Antiqua" w:hAnsi="Book Antiqua"/>
          <w:b/>
        </w:rPr>
      </w:pPr>
    </w:p>
    <w:p w:rsidR="001E661B" w:rsidRPr="005E56A6" w:rsidRDefault="001E661B" w:rsidP="001E661B">
      <w:pPr>
        <w:spacing w:after="0" w:line="240" w:lineRule="auto"/>
        <w:contextualSpacing/>
        <w:jc w:val="right"/>
        <w:rPr>
          <w:rFonts w:ascii="Book Antiqua" w:hAnsi="Book Antiqua"/>
          <w:b/>
          <w:sz w:val="14"/>
          <w:szCs w:val="14"/>
        </w:rPr>
      </w:pPr>
      <w:r>
        <w:rPr>
          <w:rFonts w:ascii="Book Antiqua" w:hAnsi="Book Antiqua"/>
          <w:b/>
          <w:sz w:val="14"/>
          <w:szCs w:val="14"/>
        </w:rPr>
        <w:t>RESOLUCIÓN 07</w:t>
      </w:r>
      <w:r w:rsidRPr="005E56A6">
        <w:rPr>
          <w:rFonts w:ascii="Book Antiqua" w:hAnsi="Book Antiqua"/>
          <w:b/>
          <w:sz w:val="14"/>
          <w:szCs w:val="14"/>
        </w:rPr>
        <w:t>-</w:t>
      </w:r>
      <w:r>
        <w:rPr>
          <w:rFonts w:ascii="Book Antiqua" w:hAnsi="Book Antiqua"/>
          <w:b/>
          <w:sz w:val="14"/>
          <w:szCs w:val="14"/>
        </w:rPr>
        <w:t>2018</w:t>
      </w:r>
    </w:p>
    <w:p w:rsidR="001E661B" w:rsidRPr="005E56A6" w:rsidRDefault="001E661B" w:rsidP="001E661B">
      <w:pPr>
        <w:spacing w:after="0" w:line="240" w:lineRule="auto"/>
        <w:contextualSpacing/>
        <w:jc w:val="right"/>
        <w:rPr>
          <w:rFonts w:ascii="Book Antiqua" w:hAnsi="Book Antiqua"/>
          <w:b/>
          <w:color w:val="A6A6A6" w:themeColor="background1" w:themeShade="A6"/>
          <w:sz w:val="14"/>
          <w:szCs w:val="14"/>
        </w:rPr>
      </w:pPr>
      <w:r>
        <w:rPr>
          <w:rFonts w:ascii="Book Antiqua" w:hAnsi="Book Antiqua"/>
          <w:b/>
          <w:color w:val="A6A6A6" w:themeColor="background1" w:themeShade="A6"/>
          <w:sz w:val="14"/>
          <w:szCs w:val="14"/>
        </w:rPr>
        <w:t>SOLICITUD: ISTA-2018-0002</w:t>
      </w:r>
    </w:p>
    <w:p w:rsidR="001E661B" w:rsidRDefault="001E661B" w:rsidP="001E661B">
      <w:pPr>
        <w:spacing w:after="0" w:line="360" w:lineRule="auto"/>
        <w:contextualSpacing/>
        <w:jc w:val="both"/>
        <w:rPr>
          <w:rFonts w:ascii="Book Antiqua" w:hAnsi="Book Antiqua"/>
        </w:rPr>
      </w:pPr>
    </w:p>
    <w:p w:rsidR="001E661B" w:rsidRPr="00BD573E" w:rsidRDefault="001E661B" w:rsidP="001E661B">
      <w:pPr>
        <w:spacing w:after="0" w:line="360" w:lineRule="auto"/>
        <w:contextualSpacing/>
        <w:jc w:val="both"/>
        <w:rPr>
          <w:rFonts w:ascii="Book Antiqua" w:hAnsi="Book Antiqua"/>
        </w:rPr>
      </w:pPr>
      <w:r w:rsidRPr="00BD573E">
        <w:rPr>
          <w:rFonts w:ascii="Book Antiqua" w:hAnsi="Book Antiqua"/>
        </w:rPr>
        <w:t>En la ciudad y departamento de San Salvador, a las trece horas con cuarenta minutos del día doce de febrero del año dos mil dieciocho.</w:t>
      </w:r>
    </w:p>
    <w:p w:rsidR="001E661B" w:rsidRPr="00BD573E" w:rsidRDefault="001E661B" w:rsidP="001E661B">
      <w:pPr>
        <w:spacing w:after="0" w:line="360" w:lineRule="auto"/>
        <w:contextualSpacing/>
        <w:jc w:val="both"/>
        <w:rPr>
          <w:rFonts w:ascii="Book Antiqua" w:hAnsi="Book Antiqua"/>
        </w:rPr>
      </w:pPr>
    </w:p>
    <w:p w:rsidR="001E661B" w:rsidRPr="00BD573E" w:rsidRDefault="001E661B" w:rsidP="001E661B">
      <w:pPr>
        <w:spacing w:after="0" w:line="360" w:lineRule="auto"/>
        <w:jc w:val="both"/>
        <w:rPr>
          <w:rFonts w:ascii="Book Antiqua" w:hAnsi="Book Antiqua"/>
          <w:b/>
        </w:rPr>
      </w:pPr>
      <w:r w:rsidRPr="00BD573E">
        <w:rPr>
          <w:rFonts w:ascii="Book Antiqua" w:hAnsi="Book Antiqua"/>
        </w:rPr>
        <w:t xml:space="preserve">Con vista de la solicitud de información presentada electrónicamente a las veintidós horas con cincuenta minutos del quince de enero del año dos mil dieciocho, por </w:t>
      </w:r>
      <w:r>
        <w:rPr>
          <w:rFonts w:ascii="Book Antiqua" w:hAnsi="Book Antiqua"/>
        </w:rPr>
        <w:t>---</w:t>
      </w:r>
      <w:r w:rsidRPr="00BD573E">
        <w:rPr>
          <w:rFonts w:ascii="Book Antiqua" w:hAnsi="Book Antiqua"/>
        </w:rPr>
        <w:t>, registrada por esta Unidad bajo el No ISTA-2018-0002, en la que requiere: “</w:t>
      </w:r>
      <w:r w:rsidRPr="00BD573E">
        <w:rPr>
          <w:rFonts w:ascii="Book Antiqua" w:hAnsi="Book Antiqua"/>
          <w:i/>
        </w:rPr>
        <w:t>1- El cuerpo normativo que dio origen a la Reforma Agraria y en base al cual se llevó a cabo la expropiación de tierras agrícola privadas en el año 1980 y siguientes; 2- Todos los cuerpos normativos relacionados con el cuerpo normativo solicitado en el numeral uno de esta solicitud; 3- El nombre o denominación catastral de las tierras que se expropiaron, en qué etapa de la Reforma Agraria fueron expropiadas, sus dimensiones de superficie y nombre de sus propietarios al momento de la expropiación; 4- Los montos dinerarios que el Estado de El Salvador pagó como justo precio a cada uno de los propietarios de las tierras expropiadas y relacionadas en el numeral tres de esta solicitud; 5- El nombre de las personas naturales y/o jurídicas a quienes fueron entregadas esas tierras expropiadas durante el proceso de Reforma Agraria en mención y las dimensiones de tierra que se les entregaron;  y 6- El nombre de las personas naturales y/o jurídicas que tienen el dominio actual, a la fecha de hoy, de esas tierras que fueron entregadas a nuevos dueños, relacionadas en el numeral cinco de esta solicitud”</w:t>
      </w:r>
      <w:r w:rsidRPr="00BD573E">
        <w:rPr>
          <w:rFonts w:ascii="Book Antiqua" w:hAnsi="Book Antiqua"/>
        </w:rPr>
        <w:t>;</w:t>
      </w:r>
      <w:r w:rsidRPr="00BD573E">
        <w:rPr>
          <w:rFonts w:ascii="Book Antiqua" w:hAnsi="Book Antiqua"/>
          <w:i/>
        </w:rPr>
        <w:t xml:space="preserve"> </w:t>
      </w:r>
      <w:r w:rsidRPr="00BD573E">
        <w:rPr>
          <w:rFonts w:ascii="Book Antiqua" w:hAnsi="Book Antiqua"/>
          <w:b/>
        </w:rPr>
        <w:t xml:space="preserve">y CONSIDERANDO: </w:t>
      </w:r>
    </w:p>
    <w:p w:rsidR="001E661B" w:rsidRPr="00BD573E" w:rsidRDefault="001E661B" w:rsidP="001E661B">
      <w:pPr>
        <w:spacing w:after="0" w:line="360" w:lineRule="auto"/>
        <w:jc w:val="both"/>
        <w:rPr>
          <w:rFonts w:ascii="Book Antiqua" w:hAnsi="Book Antiqua"/>
          <w:b/>
        </w:rPr>
      </w:pPr>
    </w:p>
    <w:p w:rsidR="001E661B" w:rsidRPr="00BD573E" w:rsidRDefault="001E661B" w:rsidP="001E661B">
      <w:pPr>
        <w:spacing w:after="0" w:line="360" w:lineRule="auto"/>
        <w:jc w:val="both"/>
        <w:rPr>
          <w:rFonts w:ascii="Book Antiqua" w:hAnsi="Book Antiqua"/>
        </w:rPr>
      </w:pPr>
      <w:r w:rsidRPr="00BD573E">
        <w:rPr>
          <w:rFonts w:ascii="Book Antiqua" w:hAnsi="Book Antiqua"/>
        </w:rPr>
        <w:t xml:space="preserve">I) Luego de admitir la solicitud de conformidad al procedimiento establecido en la Ley de Acceso a la Información Pública (LAIP), la misma fue transmitida a las unidades administrativas responsables de la información, a fin de que la localizaran, verificaran su clasificación y comunicaran la manera en que se encuentra disponible. </w:t>
      </w:r>
    </w:p>
    <w:p w:rsidR="001E661B" w:rsidRPr="00BD573E" w:rsidRDefault="001E661B" w:rsidP="001E661B">
      <w:pPr>
        <w:spacing w:after="0" w:line="360" w:lineRule="auto"/>
        <w:jc w:val="both"/>
        <w:rPr>
          <w:rFonts w:ascii="Book Antiqua" w:hAnsi="Book Antiqua"/>
        </w:rPr>
      </w:pPr>
    </w:p>
    <w:p w:rsidR="001E661B" w:rsidRPr="00BD573E" w:rsidRDefault="001E661B" w:rsidP="001E661B">
      <w:pPr>
        <w:spacing w:line="360" w:lineRule="auto"/>
        <w:jc w:val="both"/>
        <w:rPr>
          <w:rFonts w:ascii="Book Antiqua" w:hAnsi="Book Antiqua"/>
          <w:bCs/>
        </w:rPr>
      </w:pPr>
      <w:r w:rsidRPr="00BD573E">
        <w:rPr>
          <w:rFonts w:ascii="Book Antiqua" w:hAnsi="Book Antiqua"/>
        </w:rPr>
        <w:t>II) Con fecha nueve del presente mes y año, las unidades responsables de la información comunicaron que</w:t>
      </w:r>
      <w:r w:rsidRPr="00BD573E">
        <w:rPr>
          <w:rFonts w:ascii="Book Antiqua" w:hAnsi="Book Antiqua"/>
          <w:bCs/>
        </w:rPr>
        <w:t xml:space="preserve"> todo el cuerpo normativo que dio origen a la Reforma Agraria se encuentra en forma digital y </w:t>
      </w:r>
      <w:proofErr w:type="gramStart"/>
      <w:r w:rsidRPr="00BD573E">
        <w:rPr>
          <w:rFonts w:ascii="Book Antiqua" w:hAnsi="Book Antiqua"/>
          <w:bCs/>
        </w:rPr>
        <w:t>publicado</w:t>
      </w:r>
      <w:proofErr w:type="gramEnd"/>
      <w:r w:rsidRPr="00BD573E">
        <w:rPr>
          <w:rFonts w:ascii="Book Antiqua" w:hAnsi="Book Antiqua"/>
          <w:bCs/>
        </w:rPr>
        <w:t xml:space="preserve"> en la página web del ISTA y </w:t>
      </w:r>
      <w:hyperlink r:id="rId6" w:history="1">
        <w:r w:rsidRPr="00BD573E">
          <w:rPr>
            <w:rStyle w:val="Hipervnculo"/>
            <w:rFonts w:ascii="Book Antiqua" w:hAnsi="Book Antiqua"/>
            <w:bCs/>
          </w:rPr>
          <w:t>www.transparencia.gob.sv</w:t>
        </w:r>
      </w:hyperlink>
      <w:r w:rsidRPr="00BD573E">
        <w:rPr>
          <w:rFonts w:ascii="Book Antiqua" w:hAnsi="Book Antiqua"/>
          <w:bCs/>
        </w:rPr>
        <w:t>, de las cuales se anexa el listado.</w:t>
      </w:r>
    </w:p>
    <w:p w:rsidR="001E661B" w:rsidRPr="00BD573E" w:rsidRDefault="001E661B" w:rsidP="001E661B">
      <w:pPr>
        <w:spacing w:after="0" w:line="240" w:lineRule="auto"/>
        <w:jc w:val="both"/>
        <w:rPr>
          <w:rFonts w:ascii="Book Antiqua" w:hAnsi="Book Antiqua"/>
          <w:color w:val="FF0000"/>
        </w:rPr>
      </w:pPr>
    </w:p>
    <w:p w:rsidR="001E661B" w:rsidRPr="00BD573E" w:rsidRDefault="001E661B" w:rsidP="001E661B">
      <w:pPr>
        <w:spacing w:line="360" w:lineRule="auto"/>
        <w:jc w:val="both"/>
        <w:rPr>
          <w:rFonts w:ascii="Book Antiqua" w:eastAsia="Times New Roman" w:hAnsi="Book Antiqua" w:cs="Times New Roman"/>
          <w:lang w:val="es-MX" w:eastAsia="es-ES"/>
        </w:rPr>
      </w:pPr>
      <w:r w:rsidRPr="00BD573E">
        <w:rPr>
          <w:rFonts w:ascii="Book Antiqua" w:hAnsi="Book Antiqua"/>
        </w:rPr>
        <w:lastRenderedPageBreak/>
        <w:t>III)</w:t>
      </w:r>
      <w:r w:rsidRPr="00BD573E">
        <w:rPr>
          <w:rFonts w:ascii="Book Antiqua" w:hAnsi="Book Antiqua"/>
          <w:color w:val="FF0000"/>
        </w:rPr>
        <w:t xml:space="preserve">  </w:t>
      </w:r>
      <w:r w:rsidRPr="00BD573E">
        <w:rPr>
          <w:rFonts w:ascii="Book Antiqua" w:hAnsi="Book Antiqua"/>
          <w:lang w:val="es-ES"/>
        </w:rPr>
        <w:t xml:space="preserve">Por otra parte, </w:t>
      </w:r>
      <w:r w:rsidRPr="00BD573E">
        <w:rPr>
          <w:rFonts w:ascii="Book Antiqua" w:hAnsi="Book Antiqua"/>
          <w:lang w:val="es-MX"/>
        </w:rPr>
        <w:t xml:space="preserve">en relación a las preguntas </w:t>
      </w:r>
      <w:r w:rsidRPr="00BD573E">
        <w:rPr>
          <w:rFonts w:ascii="Book Antiqua" w:hAnsi="Book Antiqua"/>
          <w:b/>
          <w:lang w:val="es-MX"/>
        </w:rPr>
        <w:t xml:space="preserve">3: </w:t>
      </w:r>
      <w:r w:rsidRPr="00BD573E">
        <w:rPr>
          <w:rFonts w:ascii="Book Antiqua" w:hAnsi="Book Antiqua"/>
          <w:lang w:val="es-MX"/>
        </w:rPr>
        <w:t xml:space="preserve">El nombre o denominación catastral de las tierras expropiadas en la etapa de la Reforma Agraria, dimensiones de superficie, nombre de expropietarios y </w:t>
      </w:r>
      <w:r w:rsidRPr="00BD573E">
        <w:rPr>
          <w:rFonts w:ascii="Book Antiqua" w:hAnsi="Book Antiqua"/>
          <w:b/>
          <w:lang w:val="es-MX"/>
        </w:rPr>
        <w:t>4</w:t>
      </w:r>
      <w:r w:rsidRPr="00BD573E">
        <w:rPr>
          <w:rFonts w:ascii="Book Antiqua" w:hAnsi="Book Antiqua"/>
          <w:lang w:val="es-MX"/>
        </w:rPr>
        <w:t xml:space="preserve">, Los montos pagados como justo precio, </w:t>
      </w:r>
      <w:r w:rsidRPr="00BD573E">
        <w:rPr>
          <w:rFonts w:ascii="Book Antiqua" w:eastAsia="Times New Roman" w:hAnsi="Book Antiqua" w:cs="Times New Roman"/>
          <w:lang w:val="es-MX" w:eastAsia="es-ES"/>
        </w:rPr>
        <w:t xml:space="preserve">aclaro que la información requerida, está relacionada en cuadro anexo. En cuanto a las preguntas </w:t>
      </w:r>
      <w:r w:rsidRPr="00BD573E">
        <w:rPr>
          <w:rFonts w:ascii="Book Antiqua" w:eastAsia="Times New Roman" w:hAnsi="Book Antiqua" w:cs="Times New Roman"/>
          <w:b/>
          <w:lang w:val="es-MX" w:eastAsia="es-ES"/>
        </w:rPr>
        <w:t xml:space="preserve">5: </w:t>
      </w:r>
      <w:r w:rsidRPr="00BD573E">
        <w:rPr>
          <w:rFonts w:ascii="Book Antiqua" w:eastAsia="Times New Roman" w:hAnsi="Book Antiqua" w:cs="Times New Roman"/>
          <w:lang w:val="es-MX" w:eastAsia="es-ES"/>
        </w:rPr>
        <w:t xml:space="preserve">El nombre de las personas naturales y/o jurídicas a quienes fueron entregadas las tierras y dimensiones y </w:t>
      </w:r>
      <w:r w:rsidRPr="00BD573E">
        <w:rPr>
          <w:rFonts w:ascii="Book Antiqua" w:eastAsia="Times New Roman" w:hAnsi="Book Antiqua" w:cs="Times New Roman"/>
          <w:b/>
          <w:lang w:val="es-MX" w:eastAsia="es-ES"/>
        </w:rPr>
        <w:t xml:space="preserve">6: </w:t>
      </w:r>
      <w:r w:rsidRPr="00BD573E">
        <w:rPr>
          <w:rFonts w:ascii="Book Antiqua" w:eastAsia="Times New Roman" w:hAnsi="Book Antiqua" w:cs="Times New Roman"/>
          <w:lang w:val="es-MX" w:eastAsia="es-ES"/>
        </w:rPr>
        <w:t xml:space="preserve">El nombre de las personas naturales y/o jurídicas que tienen el dominio actual de las tierras, que fueron entregadas a nuevos dueños, relacionado en el numeral 5. Se considera que </w:t>
      </w:r>
      <w:r w:rsidRPr="00BD573E">
        <w:rPr>
          <w:rFonts w:ascii="Book Antiqua" w:eastAsia="Times New Roman" w:hAnsi="Book Antiqua" w:cs="Times New Roman"/>
          <w:lang w:val="es-ES" w:eastAsia="es-ES"/>
        </w:rPr>
        <w:t>no es procedente facilitar la información de conformidad con el artículo 19 letra h) de la Ley de Acceso a la Información Pública, porque toda la información, que registra este Instituto, sobre los datos personales de los beneficiarios está reservada, por el supuesto de la precitada disposición legal que estable: “la que pueda generar una ventaja indebida a una persona en perjuicio de un tercero”, constituye también información de carácter confidencial, que solo puede brindarse al titular del derecho, por contener datos personales referentes al patrimonio de los beneficiarios de este Instituto, según lo dispuesto en los artículos 6 letra a, 24 letra c, y 31 y siguientes de la Ley de Acceso a la Información Pública.</w:t>
      </w:r>
    </w:p>
    <w:p w:rsidR="001E661B" w:rsidRPr="00BD573E" w:rsidRDefault="001E661B" w:rsidP="001E661B">
      <w:pPr>
        <w:spacing w:after="0" w:line="360" w:lineRule="auto"/>
        <w:jc w:val="both"/>
        <w:rPr>
          <w:rFonts w:ascii="Book Antiqua" w:hAnsi="Book Antiqua"/>
          <w:b/>
        </w:rPr>
      </w:pPr>
      <w:r w:rsidRPr="00BD573E">
        <w:rPr>
          <w:rFonts w:ascii="Book Antiqua" w:hAnsi="Book Antiqua"/>
          <w:b/>
        </w:rPr>
        <w:t xml:space="preserve">POR TANTO: </w:t>
      </w:r>
      <w:r w:rsidRPr="00BD573E">
        <w:rPr>
          <w:rFonts w:ascii="Book Antiqua" w:hAnsi="Book Antiqua"/>
        </w:rPr>
        <w:t>Con base en los Artículos</w:t>
      </w:r>
      <w:r w:rsidRPr="00BD573E">
        <w:rPr>
          <w:rFonts w:ascii="Book Antiqua" w:eastAsia="Times New Roman" w:hAnsi="Book Antiqua" w:cs="Times New Roman"/>
          <w:lang w:val="es-ES" w:eastAsia="es-ES"/>
        </w:rPr>
        <w:t xml:space="preserve"> 6 letra a, 24 letra c, y 31 y siguientes,</w:t>
      </w:r>
      <w:r w:rsidRPr="00BD573E">
        <w:rPr>
          <w:rFonts w:ascii="Book Antiqua" w:hAnsi="Book Antiqua"/>
        </w:rPr>
        <w:t xml:space="preserve"> 19 letra “h” y 72 de la Ley de Acceso a la Información Pública, y Art. 56 de su Reglamento,</w:t>
      </w:r>
      <w:r w:rsidRPr="00BD573E">
        <w:rPr>
          <w:rFonts w:ascii="Book Antiqua" w:hAnsi="Book Antiqua"/>
          <w:b/>
        </w:rPr>
        <w:t xml:space="preserve"> SE RESUELVE:</w:t>
      </w:r>
      <w:r w:rsidRPr="00BD573E">
        <w:rPr>
          <w:rFonts w:ascii="Book Antiqua" w:hAnsi="Book Antiqua"/>
        </w:rPr>
        <w:t xml:space="preserve"> </w:t>
      </w:r>
      <w:r w:rsidRPr="00BD573E">
        <w:rPr>
          <w:rFonts w:ascii="Book Antiqua" w:hAnsi="Book Antiqua"/>
          <w:b/>
        </w:rPr>
        <w:t>A)</w:t>
      </w:r>
      <w:r w:rsidRPr="00BD573E">
        <w:rPr>
          <w:rFonts w:ascii="Book Antiqua" w:hAnsi="Book Antiqua"/>
        </w:rPr>
        <w:t xml:space="preserve"> </w:t>
      </w:r>
      <w:r>
        <w:rPr>
          <w:rFonts w:ascii="Book Antiqua" w:hAnsi="Book Antiqua"/>
        </w:rPr>
        <w:t xml:space="preserve">Conceder el acceso a la información en relación al </w:t>
      </w:r>
      <w:r w:rsidRPr="00BD573E">
        <w:rPr>
          <w:rFonts w:ascii="Book Antiqua" w:hAnsi="Book Antiqua"/>
          <w:bCs/>
        </w:rPr>
        <w:t>cuerpo normativo que dio origen a la Reforma Ag</w:t>
      </w:r>
      <w:r>
        <w:rPr>
          <w:rFonts w:ascii="Book Antiqua" w:hAnsi="Book Antiqua"/>
          <w:bCs/>
        </w:rPr>
        <w:t xml:space="preserve">raria, el cual </w:t>
      </w:r>
      <w:r w:rsidRPr="00BD573E">
        <w:rPr>
          <w:rFonts w:ascii="Book Antiqua" w:hAnsi="Book Antiqua"/>
          <w:bCs/>
        </w:rPr>
        <w:t xml:space="preserve">se encuentra en forma digital y publicado en la página web del ISTA y </w:t>
      </w:r>
      <w:hyperlink r:id="rId7" w:history="1">
        <w:r w:rsidRPr="00AA7B29">
          <w:rPr>
            <w:rStyle w:val="Hipervnculo"/>
            <w:rFonts w:ascii="Book Antiqua" w:hAnsi="Book Antiqua"/>
            <w:bCs/>
          </w:rPr>
          <w:t>www.transparencia.gob.sv</w:t>
        </w:r>
      </w:hyperlink>
      <w:r w:rsidRPr="00AA7B29">
        <w:rPr>
          <w:rFonts w:ascii="Book Antiqua" w:hAnsi="Book Antiqua"/>
          <w:bCs/>
        </w:rPr>
        <w:t xml:space="preserve">, </w:t>
      </w:r>
      <w:r w:rsidRPr="00BD573E">
        <w:rPr>
          <w:rFonts w:ascii="Book Antiqua" w:hAnsi="Book Antiqua"/>
          <w:bCs/>
        </w:rPr>
        <w:t>de</w:t>
      </w:r>
      <w:r>
        <w:rPr>
          <w:rFonts w:ascii="Book Antiqua" w:hAnsi="Book Antiqua"/>
          <w:bCs/>
        </w:rPr>
        <w:t xml:space="preserve"> las </w:t>
      </w:r>
      <w:r w:rsidRPr="00146E54">
        <w:rPr>
          <w:rFonts w:ascii="Book Antiqua" w:hAnsi="Book Antiqua"/>
          <w:bCs/>
        </w:rPr>
        <w:t xml:space="preserve">que </w:t>
      </w:r>
      <w:r>
        <w:rPr>
          <w:rFonts w:ascii="Book Antiqua" w:hAnsi="Book Antiqua"/>
          <w:bCs/>
        </w:rPr>
        <w:t xml:space="preserve">se anexa el listado </w:t>
      </w:r>
      <w:r w:rsidRPr="00146E54">
        <w:rPr>
          <w:rFonts w:ascii="Book Antiqua" w:hAnsi="Book Antiqua"/>
          <w:bCs/>
        </w:rPr>
        <w:t>pertinente</w:t>
      </w:r>
      <w:r>
        <w:rPr>
          <w:rFonts w:ascii="Book Antiqua" w:hAnsi="Book Antiqua"/>
          <w:bCs/>
        </w:rPr>
        <w:t xml:space="preserve">; asimismo, </w:t>
      </w:r>
      <w:r>
        <w:rPr>
          <w:rFonts w:ascii="Book Antiqua" w:hAnsi="Book Antiqua"/>
          <w:lang w:val="es-MX"/>
        </w:rPr>
        <w:t>respecto</w:t>
      </w:r>
      <w:r w:rsidRPr="00BD573E">
        <w:rPr>
          <w:rFonts w:ascii="Book Antiqua" w:hAnsi="Book Antiqua"/>
          <w:lang w:val="es-MX"/>
        </w:rPr>
        <w:t xml:space="preserve"> a las preguntas </w:t>
      </w:r>
      <w:r>
        <w:rPr>
          <w:rFonts w:ascii="Book Antiqua" w:hAnsi="Book Antiqua"/>
          <w:b/>
          <w:lang w:val="es-MX"/>
        </w:rPr>
        <w:t xml:space="preserve">3 </w:t>
      </w:r>
      <w:r w:rsidRPr="00BD573E">
        <w:rPr>
          <w:rFonts w:ascii="Book Antiqua" w:hAnsi="Book Antiqua"/>
          <w:lang w:val="es-MX"/>
        </w:rPr>
        <w:t xml:space="preserve">y </w:t>
      </w:r>
      <w:r w:rsidRPr="00BD573E">
        <w:rPr>
          <w:rFonts w:ascii="Book Antiqua" w:hAnsi="Book Antiqua"/>
          <w:b/>
          <w:lang w:val="es-MX"/>
        </w:rPr>
        <w:t>4</w:t>
      </w:r>
      <w:r>
        <w:rPr>
          <w:rFonts w:ascii="Book Antiqua" w:hAnsi="Book Antiqua"/>
          <w:lang w:val="es-MX"/>
        </w:rPr>
        <w:t xml:space="preserve"> de su requerimiento</w:t>
      </w:r>
      <w:r w:rsidRPr="00BD573E">
        <w:rPr>
          <w:rFonts w:ascii="Book Antiqua" w:hAnsi="Book Antiqua"/>
          <w:lang w:val="es-MX"/>
        </w:rPr>
        <w:t>,</w:t>
      </w:r>
      <w:r>
        <w:rPr>
          <w:rFonts w:ascii="Book Antiqua" w:hAnsi="Book Antiqua"/>
          <w:lang w:val="es-MX"/>
        </w:rPr>
        <w:t xml:space="preserve"> </w:t>
      </w:r>
      <w:r w:rsidRPr="00146E54">
        <w:rPr>
          <w:rFonts w:ascii="Book Antiqua" w:hAnsi="Book Antiqua"/>
          <w:lang w:val="es-MX"/>
        </w:rPr>
        <w:t xml:space="preserve">se le hace saber </w:t>
      </w:r>
      <w:r w:rsidRPr="00BD573E">
        <w:rPr>
          <w:rFonts w:ascii="Book Antiqua" w:eastAsia="Times New Roman" w:hAnsi="Book Antiqua" w:cs="Times New Roman"/>
          <w:lang w:val="es-MX" w:eastAsia="es-ES"/>
        </w:rPr>
        <w:t xml:space="preserve">que la información </w:t>
      </w:r>
      <w:r>
        <w:rPr>
          <w:rFonts w:ascii="Book Antiqua" w:eastAsia="Times New Roman" w:hAnsi="Book Antiqua" w:cs="Times New Roman"/>
          <w:lang w:val="es-MX" w:eastAsia="es-ES"/>
        </w:rPr>
        <w:t>solicitada</w:t>
      </w:r>
      <w:r w:rsidRPr="00BD573E">
        <w:rPr>
          <w:rFonts w:ascii="Book Antiqua" w:eastAsia="Times New Roman" w:hAnsi="Book Antiqua" w:cs="Times New Roman"/>
          <w:lang w:val="es-MX" w:eastAsia="es-ES"/>
        </w:rPr>
        <w:t xml:space="preserve">, está relacionada en cuadro </w:t>
      </w:r>
      <w:r w:rsidRPr="00146E54">
        <w:rPr>
          <w:rFonts w:ascii="Book Antiqua" w:eastAsia="Times New Roman" w:hAnsi="Book Antiqua" w:cs="Times New Roman"/>
          <w:lang w:val="es-MX" w:eastAsia="es-ES"/>
        </w:rPr>
        <w:t>adjunto</w:t>
      </w:r>
      <w:r>
        <w:rPr>
          <w:rFonts w:ascii="Book Antiqua" w:eastAsia="Times New Roman" w:hAnsi="Book Antiqua" w:cs="Times New Roman"/>
          <w:lang w:val="es-MX" w:eastAsia="es-ES"/>
        </w:rPr>
        <w:t xml:space="preserve">; </w:t>
      </w:r>
      <w:r w:rsidRPr="00AA7B29">
        <w:rPr>
          <w:rFonts w:ascii="Book Antiqua" w:eastAsia="Times New Roman" w:hAnsi="Book Antiqua" w:cs="Times New Roman"/>
          <w:b/>
          <w:lang w:val="es-MX" w:eastAsia="es-ES"/>
        </w:rPr>
        <w:t>B)</w:t>
      </w:r>
      <w:r>
        <w:rPr>
          <w:rFonts w:ascii="Book Antiqua" w:eastAsia="Times New Roman" w:hAnsi="Book Antiqua" w:cs="Times New Roman"/>
          <w:lang w:val="es-MX" w:eastAsia="es-ES"/>
        </w:rPr>
        <w:t xml:space="preserve"> </w:t>
      </w:r>
      <w:r w:rsidRPr="00BD573E">
        <w:rPr>
          <w:rFonts w:ascii="Book Antiqua" w:hAnsi="Book Antiqua"/>
        </w:rPr>
        <w:t xml:space="preserve">Negar el acceso a la información </w:t>
      </w:r>
      <w:r>
        <w:rPr>
          <w:rFonts w:ascii="Book Antiqua" w:hAnsi="Book Antiqua"/>
        </w:rPr>
        <w:t xml:space="preserve">en lo referente a las preguntas 5 y 6 de su solicitud, </w:t>
      </w:r>
      <w:r w:rsidRPr="00BD573E">
        <w:rPr>
          <w:rFonts w:ascii="Book Antiqua" w:hAnsi="Book Antiqua"/>
        </w:rPr>
        <w:t xml:space="preserve">por encontrarse reservada y por constituir información de carácter confidencial; </w:t>
      </w:r>
      <w:r>
        <w:rPr>
          <w:rFonts w:ascii="Book Antiqua" w:hAnsi="Book Antiqua"/>
          <w:b/>
        </w:rPr>
        <w:t xml:space="preserve">C) </w:t>
      </w:r>
      <w:r>
        <w:rPr>
          <w:rFonts w:ascii="Book Antiqua" w:hAnsi="Book Antiqua"/>
        </w:rPr>
        <w:t xml:space="preserve">Notificar lo resuelto a </w:t>
      </w:r>
      <w:r w:rsidR="00605C6D">
        <w:rPr>
          <w:rFonts w:ascii="Book Antiqua" w:hAnsi="Book Antiqua"/>
        </w:rPr>
        <w:t>---</w:t>
      </w:r>
      <w:bookmarkStart w:id="0" w:name="_GoBack"/>
      <w:bookmarkEnd w:id="0"/>
      <w:r w:rsidRPr="00BD573E">
        <w:rPr>
          <w:rFonts w:ascii="Book Antiqua" w:hAnsi="Book Antiqua"/>
        </w:rPr>
        <w:t>, haciéndole saber que le queda expedito el Recurso de Apelación en la forma y plazo que establece la Ley de Acceso a la Información Pública. Notifíquese.</w:t>
      </w:r>
    </w:p>
    <w:p w:rsidR="001E661B" w:rsidRPr="00BD573E" w:rsidRDefault="001E661B" w:rsidP="001E661B">
      <w:pPr>
        <w:spacing w:after="0" w:line="360" w:lineRule="auto"/>
        <w:contextualSpacing/>
        <w:jc w:val="both"/>
        <w:rPr>
          <w:rFonts w:ascii="Book Antiqua" w:hAnsi="Book Antiqua"/>
          <w:b/>
          <w:color w:val="FF0000"/>
        </w:rPr>
      </w:pPr>
    </w:p>
    <w:p w:rsidR="001E661B" w:rsidRPr="00BD573E" w:rsidRDefault="001E661B" w:rsidP="001E661B">
      <w:pPr>
        <w:spacing w:after="0" w:line="360" w:lineRule="auto"/>
        <w:contextualSpacing/>
        <w:jc w:val="both"/>
        <w:rPr>
          <w:rFonts w:ascii="Book Antiqua" w:hAnsi="Book Antiqua"/>
          <w:b/>
          <w:color w:val="FF0000"/>
        </w:rPr>
      </w:pPr>
    </w:p>
    <w:p w:rsidR="001E661B" w:rsidRPr="00BD573E" w:rsidRDefault="001E661B" w:rsidP="001E661B">
      <w:pPr>
        <w:spacing w:after="0" w:line="240" w:lineRule="auto"/>
        <w:contextualSpacing/>
        <w:jc w:val="center"/>
        <w:rPr>
          <w:rFonts w:ascii="Book Antiqua" w:hAnsi="Book Antiqua"/>
          <w:b/>
        </w:rPr>
      </w:pPr>
      <w:r w:rsidRPr="00BD573E">
        <w:rPr>
          <w:rFonts w:ascii="Book Antiqua" w:hAnsi="Book Antiqua"/>
          <w:b/>
        </w:rPr>
        <w:t>KAREN MICHELLE CACERES</w:t>
      </w:r>
    </w:p>
    <w:p w:rsidR="00BA6F94" w:rsidRDefault="001E661B" w:rsidP="001E661B">
      <w:pPr>
        <w:spacing w:after="0" w:line="240" w:lineRule="auto"/>
        <w:jc w:val="center"/>
      </w:pPr>
      <w:r w:rsidRPr="00BD573E">
        <w:rPr>
          <w:rFonts w:ascii="Book Antiqua" w:hAnsi="Book Antiqua"/>
          <w:b/>
        </w:rPr>
        <w:t>OFICIAL DE INFORMACIÓN INTERINA</w:t>
      </w:r>
    </w:p>
    <w:sectPr w:rsidR="00BA6F94" w:rsidSect="006513DE">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969" w:rsidRDefault="00CC6969" w:rsidP="001E661B">
      <w:pPr>
        <w:spacing w:after="0" w:line="240" w:lineRule="auto"/>
      </w:pPr>
      <w:r>
        <w:separator/>
      </w:r>
    </w:p>
  </w:endnote>
  <w:endnote w:type="continuationSeparator" w:id="0">
    <w:p w:rsidR="00CC6969" w:rsidRDefault="00CC6969" w:rsidP="001E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CC6969"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CC6969">
    <w:pPr>
      <w:pStyle w:val="Piedepgina"/>
      <w:jc w:val="right"/>
    </w:pPr>
  </w:p>
  <w:p w:rsidR="00E82EC7" w:rsidRDefault="00CC69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969" w:rsidRDefault="00CC6969" w:rsidP="001E661B">
      <w:pPr>
        <w:spacing w:after="0" w:line="240" w:lineRule="auto"/>
      </w:pPr>
      <w:r>
        <w:separator/>
      </w:r>
    </w:p>
  </w:footnote>
  <w:footnote w:type="continuationSeparator" w:id="0">
    <w:p w:rsidR="00CC6969" w:rsidRDefault="00CC6969" w:rsidP="001E6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A" w:rsidRDefault="001E661B">
    <w:pPr>
      <w:pStyle w:val="Encabezado"/>
    </w:pPr>
    <w:r>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14:anchorId="7775A95B" wp14:editId="77EF0975">
              <wp:simplePos x="0" y="0"/>
              <wp:positionH relativeFrom="column">
                <wp:posOffset>842839</wp:posOffset>
              </wp:positionH>
              <wp:positionV relativeFrom="paragraph">
                <wp:posOffset>-263028</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1E661B" w:rsidRDefault="001E661B" w:rsidP="001E661B">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1E661B" w:rsidRDefault="001E661B" w:rsidP="001E66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5A95B" id="_x0000_t202" coordsize="21600,21600" o:spt="202" path="m,l,21600r21600,l21600,xe">
              <v:stroke joinstyle="miter"/>
              <v:path gradientshapeok="t" o:connecttype="rect"/>
            </v:shapetype>
            <v:shape id="Cuadro de texto 307" o:spid="_x0000_s1026" type="#_x0000_t202" style="position:absolute;margin-left:66.35pt;margin-top:-20.7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">
              <v:textbox>
                <w:txbxContent>
                  <w:p w:rsidR="001E661B" w:rsidRDefault="001E661B" w:rsidP="001E661B">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1E661B" w:rsidRDefault="001E661B" w:rsidP="001E661B"/>
                </w:txbxContent>
              </v:textbox>
            </v:shape>
          </w:pict>
        </mc:Fallback>
      </mc:AlternateContent>
    </w:r>
    <w:r w:rsidR="00CC6969">
      <w:rPr>
        <w:noProof/>
        <w:lang w:eastAsia="es-SV"/>
      </w:rPr>
      <w:drawing>
        <wp:anchor distT="0" distB="0" distL="114300" distR="114300" simplePos="0" relativeHeight="251659264" behindDoc="0" locked="0" layoutInCell="1" allowOverlap="1" wp14:anchorId="2EF4C81C" wp14:editId="7FADAB51">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CC6969">
      <w:rPr>
        <w:noProof/>
        <w:lang w:eastAsia="es-SV"/>
      </w:rPr>
      <w:drawing>
        <wp:anchor distT="0" distB="0" distL="114300" distR="114300" simplePos="0" relativeHeight="251660288" behindDoc="1" locked="0" layoutInCell="1" allowOverlap="1" wp14:anchorId="449237C3" wp14:editId="38721F10">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1B"/>
    <w:rsid w:val="001E661B"/>
    <w:rsid w:val="00605C6D"/>
    <w:rsid w:val="00936B39"/>
    <w:rsid w:val="00CC6969"/>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089AB-CC0D-4032-B77C-FD4F9CAF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6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6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661B"/>
  </w:style>
  <w:style w:type="paragraph" w:styleId="Piedepgina">
    <w:name w:val="footer"/>
    <w:basedOn w:val="Normal"/>
    <w:link w:val="PiedepginaCar"/>
    <w:uiPriority w:val="99"/>
    <w:unhideWhenUsed/>
    <w:rsid w:val="001E66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61B"/>
  </w:style>
  <w:style w:type="character" w:styleId="Hipervnculo">
    <w:name w:val="Hyperlink"/>
    <w:basedOn w:val="Fuentedeprrafopredeter"/>
    <w:uiPriority w:val="99"/>
    <w:unhideWhenUsed/>
    <w:rsid w:val="001E6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nsparencia.gob.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gob.s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713</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2018-02-27T17:27:00Z</dcterms:created>
  <dcterms:modified xsi:type="dcterms:W3CDTF">2018-02-27T17:38:00Z</dcterms:modified>
</cp:coreProperties>
</file>