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58" w:rsidRPr="009C7F05" w:rsidRDefault="00AE5458" w:rsidP="00AE5458">
      <w:pPr>
        <w:pBdr>
          <w:bottom w:val="single" w:sz="12" w:space="1" w:color="auto"/>
        </w:pBdr>
        <w:spacing w:after="0" w:line="360" w:lineRule="auto"/>
        <w:contextualSpacing/>
        <w:jc w:val="both"/>
        <w:rPr>
          <w:rFonts w:ascii="Book Antiqua" w:hAnsi="Book Antiqua"/>
          <w:b/>
          <w:sz w:val="20"/>
          <w:szCs w:val="20"/>
        </w:rPr>
      </w:pPr>
    </w:p>
    <w:p w:rsidR="00AE5458" w:rsidRPr="009C7F05" w:rsidRDefault="00AE5458" w:rsidP="00AE5458">
      <w:pPr>
        <w:spacing w:after="0" w:line="240" w:lineRule="auto"/>
        <w:contextualSpacing/>
        <w:jc w:val="right"/>
        <w:rPr>
          <w:rFonts w:ascii="Book Antiqua" w:hAnsi="Book Antiqua"/>
          <w:b/>
          <w:sz w:val="14"/>
          <w:szCs w:val="14"/>
        </w:rPr>
      </w:pPr>
      <w:r w:rsidRPr="009C7F05">
        <w:rPr>
          <w:rFonts w:ascii="Book Antiqua" w:hAnsi="Book Antiqua"/>
          <w:b/>
          <w:sz w:val="14"/>
          <w:szCs w:val="14"/>
        </w:rPr>
        <w:t>R</w:t>
      </w:r>
      <w:r>
        <w:rPr>
          <w:rFonts w:ascii="Book Antiqua" w:hAnsi="Book Antiqua"/>
          <w:b/>
          <w:sz w:val="14"/>
          <w:szCs w:val="14"/>
        </w:rPr>
        <w:t>ESOLUCIÓN NÚMERO 1-2018</w:t>
      </w:r>
    </w:p>
    <w:p w:rsidR="00AE5458" w:rsidRPr="009C7F05" w:rsidRDefault="00AE5458" w:rsidP="00AE5458">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ISTA-2017-0038</w:t>
      </w:r>
    </w:p>
    <w:p w:rsidR="00AE5458" w:rsidRPr="009C7F05" w:rsidRDefault="00AE5458" w:rsidP="00AE5458">
      <w:pPr>
        <w:spacing w:after="0" w:line="360" w:lineRule="auto"/>
        <w:contextualSpacing/>
        <w:jc w:val="both"/>
        <w:rPr>
          <w:rFonts w:ascii="Book Antiqua" w:hAnsi="Book Antiqua"/>
        </w:rPr>
      </w:pPr>
    </w:p>
    <w:p w:rsidR="00AE5458" w:rsidRPr="000E07F5" w:rsidRDefault="00AE5458" w:rsidP="00AE5458">
      <w:pPr>
        <w:spacing w:after="0" w:line="360" w:lineRule="auto"/>
        <w:contextualSpacing/>
        <w:jc w:val="both"/>
        <w:rPr>
          <w:rFonts w:ascii="Book Antiqua" w:hAnsi="Book Antiqua"/>
        </w:rPr>
      </w:pPr>
      <w:r w:rsidRPr="000E07F5">
        <w:rPr>
          <w:rFonts w:ascii="Book Antiqua" w:hAnsi="Book Antiqua"/>
        </w:rPr>
        <w:t>En la ciudad y departamento de San Salvador, a las trece horas con cincuenta minutos del día cinco de enero del año dos mil dieciocho.</w:t>
      </w:r>
    </w:p>
    <w:p w:rsidR="00AE5458" w:rsidRPr="000E07F5" w:rsidRDefault="00AE5458" w:rsidP="00AE5458">
      <w:pPr>
        <w:spacing w:after="0" w:line="360" w:lineRule="auto"/>
        <w:contextualSpacing/>
        <w:jc w:val="both"/>
        <w:rPr>
          <w:rFonts w:ascii="Book Antiqua" w:hAnsi="Book Antiqua"/>
        </w:rPr>
      </w:pPr>
    </w:p>
    <w:p w:rsidR="00AE5458" w:rsidRPr="000E07F5" w:rsidRDefault="00AE5458" w:rsidP="00AE5458">
      <w:pPr>
        <w:spacing w:after="0" w:line="360" w:lineRule="auto"/>
        <w:jc w:val="both"/>
        <w:rPr>
          <w:rFonts w:ascii="Book Antiqua" w:hAnsi="Book Antiqua"/>
          <w:b/>
        </w:rPr>
      </w:pPr>
      <w:r w:rsidRPr="000E07F5">
        <w:rPr>
          <w:rFonts w:ascii="Book Antiqua" w:hAnsi="Book Antiqua"/>
        </w:rPr>
        <w:t xml:space="preserve">Vista la solicitud de información con referencia ISTA-2017-0038 de fecha diecinueve de diciembre del año dos mil diecisiete, presentada por el señor, </w:t>
      </w:r>
      <w:r>
        <w:rPr>
          <w:rFonts w:ascii="Book Antiqua" w:hAnsi="Book Antiqua"/>
        </w:rPr>
        <w:t>---</w:t>
      </w:r>
      <w:r w:rsidRPr="000E07F5">
        <w:rPr>
          <w:rFonts w:ascii="Book Antiqua" w:hAnsi="Book Antiqua"/>
        </w:rPr>
        <w:t>, expresando, entre otras cosas: “</w:t>
      </w:r>
      <w:r w:rsidRPr="000E07F5">
        <w:rPr>
          <w:rFonts w:ascii="Book Antiqua" w:hAnsi="Book Antiqua"/>
          <w:i/>
        </w:rPr>
        <w:t xml:space="preserve">...Que se han realizado solicitudes al Instituto de Transformación Agraria (ISTA), sobre la situación legal de los terrenos ubicados en la Comunidad Las Victorias, Cantón Llanos de </w:t>
      </w:r>
      <w:proofErr w:type="spellStart"/>
      <w:r w:rsidRPr="000E07F5">
        <w:rPr>
          <w:rFonts w:ascii="Book Antiqua" w:hAnsi="Book Antiqua"/>
          <w:i/>
        </w:rPr>
        <w:t>Achichilco</w:t>
      </w:r>
      <w:proofErr w:type="spellEnd"/>
      <w:r w:rsidRPr="000E07F5">
        <w:rPr>
          <w:rFonts w:ascii="Book Antiqua" w:hAnsi="Book Antiqua"/>
          <w:i/>
        </w:rPr>
        <w:t xml:space="preserve">, San Vicente, los cuales nos encontramos habitando en calidad de posesión, y si somos beneficiarios del proyecto de legalización de tierras, así como se nos brinde asesoría sobre los pasos a seguir ante la respuesta de dicha Institución, y hasta la fecha no han sido contestadas. Dichas solicitudes se han presentado al Instituto de Transformación Agraria (ISTA), en fechas veintisiete de marzo del dos mil diecisiete, veinte de noviembre del presente año, y escrito de fecha catorce de diciembre del presente año, y hasta la fecha no se ha recibido respuesta. Se ha requerido dicha petición, en razón que uno de los objetivos estratégicos del ISTA, es la de garantizar la legalidad jurídica de las tierras en posesión de las familias campesinas e indígenas usuarias de los programas de transferencia de tierras convirtiéndolos en propietarios reales y protagonistas de su propio desarrollo, facilitándoles insumos y asistencia técnica para fomentar la diversificación agropecuaria en la búsqueda del desarrollo sostenible local y la soberanía y seguridad alimentaria en armonía con el medio ambiente. Por lo que, siendo representantes de la Comunidad Las Victorias del Cantón Llanos de </w:t>
      </w:r>
      <w:proofErr w:type="spellStart"/>
      <w:r w:rsidRPr="000E07F5">
        <w:rPr>
          <w:rFonts w:ascii="Book Antiqua" w:hAnsi="Book Antiqua"/>
          <w:i/>
        </w:rPr>
        <w:t>Achichilco</w:t>
      </w:r>
      <w:proofErr w:type="spellEnd"/>
      <w:r w:rsidRPr="000E07F5">
        <w:rPr>
          <w:rFonts w:ascii="Book Antiqua" w:hAnsi="Book Antiqua"/>
          <w:i/>
        </w:rPr>
        <w:t xml:space="preserve">, tal como lo comprobamos con la documentación anexa, la cual se encuentra conformada por familias campesinas, siendo la única fuente de trabajo la actividad agrícola, le solicitamos que a través de dicha Unidad, se nos brinde información que se ha requerido...”; </w:t>
      </w:r>
      <w:r w:rsidRPr="000E07F5">
        <w:rPr>
          <w:rFonts w:ascii="Book Antiqua" w:hAnsi="Book Antiqua"/>
          <w:b/>
        </w:rPr>
        <w:t xml:space="preserve">y CONSIDERANDO: </w:t>
      </w:r>
    </w:p>
    <w:p w:rsidR="00AE5458" w:rsidRPr="000E07F5" w:rsidRDefault="00AE5458" w:rsidP="00AE5458">
      <w:pPr>
        <w:spacing w:after="0" w:line="360" w:lineRule="auto"/>
        <w:jc w:val="both"/>
        <w:rPr>
          <w:rFonts w:ascii="Book Antiqua" w:hAnsi="Book Antiqua"/>
          <w:b/>
        </w:rPr>
      </w:pPr>
    </w:p>
    <w:p w:rsidR="00AE5458" w:rsidRPr="000E07F5" w:rsidRDefault="00AE5458" w:rsidP="00AE5458">
      <w:pPr>
        <w:spacing w:after="0" w:line="360" w:lineRule="auto"/>
        <w:jc w:val="both"/>
        <w:rPr>
          <w:rFonts w:ascii="Book Antiqua" w:hAnsi="Book Antiqua"/>
        </w:rPr>
      </w:pPr>
      <w:r w:rsidRPr="000E07F5">
        <w:rPr>
          <w:rFonts w:ascii="Book Antiqua" w:hAnsi="Book Antiqua"/>
        </w:rPr>
        <w:t>I) El objeto de la Ley de Acceso a la Información Pública-LAIP- es garantizar el derecho de acceso de toda persona a la información pública</w:t>
      </w:r>
      <w:r w:rsidRPr="000E07F5">
        <w:rPr>
          <w:rStyle w:val="Refdenotaalfinal"/>
          <w:rFonts w:ascii="Book Antiqua" w:hAnsi="Book Antiqua"/>
        </w:rPr>
        <w:endnoteReference w:id="1"/>
      </w:r>
      <w:r w:rsidRPr="000E07F5">
        <w:rPr>
          <w:rFonts w:ascii="Book Antiqua" w:hAnsi="Book Antiqua"/>
        </w:rPr>
        <w:t xml:space="preserve"> (Art. 1 LAIP), por lo cual en su Art. 2 se instituyó que toda persona tiene derecho a solicitar y recibir información </w:t>
      </w:r>
      <w:r w:rsidRPr="000E07F5">
        <w:rPr>
          <w:rFonts w:ascii="Book Antiqua" w:hAnsi="Book Antiqua"/>
          <w:u w:val="single"/>
        </w:rPr>
        <w:t>generada, administrada o en poder</w:t>
      </w:r>
      <w:r w:rsidRPr="000E07F5">
        <w:rPr>
          <w:rFonts w:ascii="Book Antiqua" w:hAnsi="Book Antiqua"/>
        </w:rPr>
        <w:t xml:space="preserve"> de las instituciones públicas y demás entes obligados de manera oportuna y veraz, sin sustentar interés o motivación alguna; de manera que, para ejercer el </w:t>
      </w:r>
      <w:r w:rsidRPr="000E07F5">
        <w:rPr>
          <w:rFonts w:ascii="Book Antiqua" w:hAnsi="Book Antiqua"/>
        </w:rPr>
        <w:lastRenderedPageBreak/>
        <w:t xml:space="preserve">derecho de acceso, la información debe </w:t>
      </w:r>
      <w:r w:rsidRPr="000E07F5">
        <w:rPr>
          <w:rFonts w:ascii="Book Antiqua" w:hAnsi="Book Antiqua"/>
          <w:u w:val="single"/>
        </w:rPr>
        <w:t>existir</w:t>
      </w:r>
      <w:r w:rsidRPr="000E07F5">
        <w:rPr>
          <w:rFonts w:ascii="Book Antiqua" w:hAnsi="Book Antiqua"/>
        </w:rPr>
        <w:t xml:space="preserve"> y constar en cualquier medio que sea plenamente identificable.</w:t>
      </w:r>
    </w:p>
    <w:p w:rsidR="00AE5458" w:rsidRPr="000E07F5" w:rsidRDefault="00AE5458" w:rsidP="00AE5458">
      <w:pPr>
        <w:spacing w:after="0" w:line="360" w:lineRule="auto"/>
        <w:jc w:val="both"/>
        <w:rPr>
          <w:rFonts w:ascii="Book Antiqua" w:hAnsi="Book Antiqua"/>
        </w:rPr>
      </w:pPr>
    </w:p>
    <w:p w:rsidR="00AE5458" w:rsidRPr="000E07F5" w:rsidRDefault="00AE5458" w:rsidP="00AE5458">
      <w:pPr>
        <w:spacing w:after="0" w:line="360" w:lineRule="auto"/>
        <w:jc w:val="both"/>
        <w:rPr>
          <w:rFonts w:ascii="Book Antiqua" w:hAnsi="Book Antiqua"/>
        </w:rPr>
      </w:pPr>
      <w:r w:rsidRPr="000E07F5">
        <w:rPr>
          <w:rFonts w:ascii="Book Antiqua" w:hAnsi="Book Antiqua"/>
        </w:rPr>
        <w:t xml:space="preserve">II) En el Art. 62 de la citada Ley se establece que los entes obligados deberán entregar </w:t>
      </w:r>
      <w:r w:rsidRPr="000E07F5">
        <w:rPr>
          <w:rFonts w:ascii="Book Antiqua" w:hAnsi="Book Antiqua"/>
          <w:u w:val="single"/>
        </w:rPr>
        <w:t>únicamente información que se encuentre en su poder,</w:t>
      </w:r>
      <w:r w:rsidRPr="000E07F5">
        <w:rPr>
          <w:rFonts w:ascii="Book Antiqua" w:hAnsi="Book Antiqua"/>
        </w:rPr>
        <w:t xml:space="preserve"> es decir que, por medio de la Unidad de Acceso a la Información Pública-UAIP- se pone a disposición del público la información generada, administrada o en poder de las instituciones, lo cual no implica la generación de la misma a petición de parte, y tal como el peticionario lo ha expresado en su escrito, a la fecha no hay respuesta sobre las peticiones presentadas, están siendo tramitadas por la Unidad Administrativa correspondiente, lo cual ha sido confirmado en el Sistema de Correspondencia Institucional, por lo que el escrito planteado no puede constituirse como una Solicitud de Información regulada por la Ley de Acceso a la Información Pública, dado que la pretensión es que se les establezca la situación legal de los terrenos para su legalización. </w:t>
      </w:r>
    </w:p>
    <w:p w:rsidR="00AE5458" w:rsidRPr="000E07F5" w:rsidRDefault="00AE5458" w:rsidP="00AE5458">
      <w:pPr>
        <w:spacing w:after="0" w:line="360" w:lineRule="auto"/>
        <w:jc w:val="both"/>
        <w:rPr>
          <w:rFonts w:ascii="Book Antiqua" w:hAnsi="Book Antiqua"/>
        </w:rPr>
      </w:pPr>
    </w:p>
    <w:p w:rsidR="00AE5458" w:rsidRPr="000E07F5" w:rsidRDefault="00AE5458" w:rsidP="00AE5458">
      <w:pPr>
        <w:spacing w:after="0" w:line="360" w:lineRule="auto"/>
        <w:jc w:val="both"/>
        <w:rPr>
          <w:rFonts w:ascii="Book Antiqua" w:hAnsi="Book Antiqua"/>
        </w:rPr>
      </w:pPr>
      <w:r w:rsidRPr="000E07F5">
        <w:rPr>
          <w:rFonts w:ascii="Book Antiqua" w:hAnsi="Book Antiqua"/>
        </w:rPr>
        <w:t xml:space="preserve">III) En el escrito se solicita además que se les haga saber la respuesta a sus peticiones de conformidad a lo establecido en el Art. 18 de la Constitución de la República, lo cual no es competencia de esta Unidad, según las consideraciones hechas por el Instituto de Acceso a la Información Pública: </w:t>
      </w:r>
      <w:r w:rsidRPr="000E07F5">
        <w:rPr>
          <w:rFonts w:ascii="Book Antiqua" w:hAnsi="Book Antiqua"/>
          <w:b/>
        </w:rPr>
        <w:t xml:space="preserve">“El derecho de petición y respuesta se encuentra contemplado en el Art. 18 de la Constitución de la República, de conformidad con el cual, toda persona tiene derecho a dirigir sus peticiones por escrito, de manera decorosa, a las autoridades legalmente establecidas, a que se le resuelvan y a que se le haga saber lo resuelto…En consecuencia, </w:t>
      </w:r>
      <w:r w:rsidRPr="000E07F5">
        <w:rPr>
          <w:rFonts w:ascii="Book Antiqua" w:hAnsi="Book Antiqua"/>
          <w:b/>
          <w:u w:val="single"/>
        </w:rPr>
        <w:t>por medio del derecho de petición, se pueden exigir explicaciones sobre el quehacer de la administración pública, ejercer derechos, interponer quejas, etc., es decir, que su finalidad no es propiamente la de resolver sobre el suministro de información pública tangible y con soporte documental-como lo hace el DAIP- sino que su exigencia es responder por escrito, es decir, generar una respuesta razonada y legal</w:t>
      </w:r>
      <w:r w:rsidRPr="000E07F5">
        <w:rPr>
          <w:rFonts w:ascii="Book Antiqua" w:hAnsi="Book Antiqua"/>
          <w:b/>
        </w:rPr>
        <w:t xml:space="preserve"> a los planteamientos de quien ejerce su derecho</w:t>
      </w:r>
      <w:r w:rsidRPr="000E07F5">
        <w:rPr>
          <w:rStyle w:val="Refdenotaalfinal"/>
          <w:rFonts w:ascii="Book Antiqua" w:hAnsi="Book Antiqua"/>
          <w:b/>
        </w:rPr>
        <w:endnoteReference w:id="2"/>
      </w:r>
      <w:r w:rsidRPr="000E07F5">
        <w:rPr>
          <w:rFonts w:ascii="Book Antiqua" w:hAnsi="Book Antiqua"/>
          <w:b/>
        </w:rPr>
        <w:t>”</w:t>
      </w:r>
      <w:r w:rsidRPr="000E07F5">
        <w:rPr>
          <w:rFonts w:ascii="Book Antiqua" w:hAnsi="Book Antiqua"/>
        </w:rPr>
        <w:t>.</w:t>
      </w:r>
    </w:p>
    <w:p w:rsidR="00AE5458" w:rsidRPr="000E07F5" w:rsidRDefault="00AE5458" w:rsidP="00AE5458">
      <w:pPr>
        <w:spacing w:after="0" w:line="360" w:lineRule="auto"/>
        <w:jc w:val="both"/>
        <w:rPr>
          <w:rFonts w:ascii="Book Antiqua" w:hAnsi="Book Antiqua"/>
        </w:rPr>
      </w:pPr>
    </w:p>
    <w:p w:rsidR="00AE5458" w:rsidRPr="000E07F5" w:rsidRDefault="00AE5458" w:rsidP="00AE5458">
      <w:pPr>
        <w:spacing w:after="0" w:line="360" w:lineRule="auto"/>
        <w:jc w:val="both"/>
        <w:rPr>
          <w:rFonts w:ascii="Book Antiqua" w:hAnsi="Book Antiqua"/>
        </w:rPr>
      </w:pPr>
      <w:r w:rsidRPr="000E07F5">
        <w:rPr>
          <w:rFonts w:ascii="Book Antiqua" w:hAnsi="Book Antiqua"/>
        </w:rPr>
        <w:t xml:space="preserve">IV) Del planteamiento hecho por el Instituto de Acceso a la Información Pública se desprende que las Unidades de Acceso a la Información Pública no son competentes para tramitar casos sobre el quehacer institucional, y en el caso particular la UAIP del ISTA no </w:t>
      </w:r>
      <w:r w:rsidRPr="000E07F5">
        <w:rPr>
          <w:rFonts w:ascii="Book Antiqua" w:hAnsi="Book Antiqua"/>
        </w:rPr>
        <w:lastRenderedPageBreak/>
        <w:t>puede realizar investigaciones legales sobre los procesos de transferencia de tierras, por lo que no es procedente tramitar una solicitud donde se pide conocer la situación legal de los terrenos y asesoría sobre los pasos a seguir para la legalización.</w:t>
      </w:r>
    </w:p>
    <w:p w:rsidR="00AE5458" w:rsidRPr="000E07F5" w:rsidRDefault="00AE5458" w:rsidP="00AE5458">
      <w:pPr>
        <w:spacing w:after="0" w:line="360" w:lineRule="auto"/>
        <w:jc w:val="both"/>
        <w:rPr>
          <w:rFonts w:ascii="Book Antiqua" w:hAnsi="Book Antiqua"/>
        </w:rPr>
      </w:pPr>
    </w:p>
    <w:p w:rsidR="00AE5458" w:rsidRPr="000E07F5" w:rsidRDefault="00AE5458" w:rsidP="00AE5458">
      <w:pPr>
        <w:spacing w:after="0" w:line="360" w:lineRule="auto"/>
        <w:jc w:val="both"/>
        <w:rPr>
          <w:rFonts w:ascii="Book Antiqua" w:hAnsi="Book Antiqua"/>
        </w:rPr>
      </w:pPr>
      <w:r w:rsidRPr="000E07F5">
        <w:rPr>
          <w:rFonts w:ascii="Book Antiqua" w:hAnsi="Book Antiqua"/>
          <w:b/>
        </w:rPr>
        <w:t xml:space="preserve">POR TANTO: </w:t>
      </w:r>
      <w:r w:rsidRPr="000E07F5">
        <w:rPr>
          <w:rFonts w:ascii="Book Antiqua" w:hAnsi="Book Antiqua"/>
        </w:rPr>
        <w:t xml:space="preserve">Con base en las disposiciones legales citadas y los argumentos expuestos, </w:t>
      </w:r>
      <w:r w:rsidRPr="000E07F5">
        <w:rPr>
          <w:rFonts w:ascii="Book Antiqua" w:hAnsi="Book Antiqua"/>
          <w:b/>
        </w:rPr>
        <w:t>SE RESUELVE:</w:t>
      </w:r>
      <w:r w:rsidRPr="000E07F5">
        <w:rPr>
          <w:rFonts w:ascii="Book Antiqua" w:hAnsi="Book Antiqua"/>
        </w:rPr>
        <w:t xml:space="preserve"> </w:t>
      </w:r>
      <w:r w:rsidRPr="000E07F5">
        <w:rPr>
          <w:rFonts w:ascii="Book Antiqua" w:hAnsi="Book Antiqua"/>
          <w:b/>
        </w:rPr>
        <w:t>A)</w:t>
      </w:r>
      <w:r w:rsidRPr="000E07F5">
        <w:rPr>
          <w:rFonts w:ascii="Book Antiqua" w:hAnsi="Book Antiqua"/>
        </w:rPr>
        <w:t xml:space="preserve"> Declárese la incompetencia de esta Unidad para atender y dar respuesta a la petición relacionada en el preámbulo, debido a que no constituye una solicitud de información de acuerdo a la Ley de Acceso a la Información Pública; </w:t>
      </w:r>
      <w:r w:rsidRPr="000E07F5">
        <w:rPr>
          <w:rFonts w:ascii="Book Antiqua" w:hAnsi="Book Antiqua"/>
          <w:b/>
        </w:rPr>
        <w:t xml:space="preserve">B) </w:t>
      </w:r>
      <w:r w:rsidRPr="000E07F5">
        <w:rPr>
          <w:rFonts w:ascii="Book Antiqua" w:hAnsi="Book Antiqua"/>
        </w:rPr>
        <w:t xml:space="preserve">Se le recomienda al señor </w:t>
      </w:r>
      <w:r>
        <w:rPr>
          <w:rFonts w:ascii="Book Antiqua" w:hAnsi="Book Antiqua"/>
        </w:rPr>
        <w:t>---</w:t>
      </w:r>
      <w:bookmarkStart w:id="0" w:name="_GoBack"/>
      <w:bookmarkEnd w:id="0"/>
      <w:r w:rsidRPr="000E07F5">
        <w:rPr>
          <w:rFonts w:ascii="Book Antiqua" w:hAnsi="Book Antiqua"/>
        </w:rPr>
        <w:t xml:space="preserve">, que dirija su petición a la Presidencia del ISTA por medio de un escrito acompañado de la copia de su DUI y NIT, el cual deberá ser presentado en la Oficina de Recibo y Despacho de Correspondencia, situada en la Oficina Central del ISTA, Km 5 ½ carretera a Santa Tecla, Colonia y Calle Las Mercedes, San Salvador, a fin de que ejerza su derecho de petición y respuesta.  </w:t>
      </w:r>
      <w:r w:rsidRPr="000E07F5">
        <w:rPr>
          <w:rFonts w:ascii="Book Antiqua" w:hAnsi="Book Antiqua"/>
          <w:b/>
        </w:rPr>
        <w:t xml:space="preserve">C) </w:t>
      </w:r>
      <w:r w:rsidRPr="000E07F5">
        <w:rPr>
          <w:rFonts w:ascii="Book Antiqua" w:hAnsi="Book Antiqua"/>
        </w:rPr>
        <w:t>Infórmese al interesado que tiene expedito su derecho de recurrir ante el Instituto de Acceso a la Información Pública, como Máxima Autoridad en esta materia. Notifíquese.</w:t>
      </w:r>
    </w:p>
    <w:p w:rsidR="00AE5458" w:rsidRPr="000E07F5" w:rsidRDefault="00AE5458" w:rsidP="00AE5458">
      <w:pPr>
        <w:spacing w:after="0" w:line="360" w:lineRule="auto"/>
        <w:contextualSpacing/>
        <w:jc w:val="both"/>
        <w:rPr>
          <w:rFonts w:ascii="Book Antiqua" w:hAnsi="Book Antiqua"/>
          <w:b/>
        </w:rPr>
      </w:pPr>
    </w:p>
    <w:p w:rsidR="00AE5458" w:rsidRPr="000E07F5" w:rsidRDefault="00AE5458" w:rsidP="00AE5458">
      <w:pPr>
        <w:spacing w:after="0" w:line="360" w:lineRule="auto"/>
        <w:contextualSpacing/>
        <w:jc w:val="both"/>
        <w:rPr>
          <w:rFonts w:ascii="Book Antiqua" w:hAnsi="Book Antiqua"/>
          <w:b/>
        </w:rPr>
      </w:pPr>
    </w:p>
    <w:p w:rsidR="00AE5458" w:rsidRPr="000E07F5" w:rsidRDefault="00AE5458" w:rsidP="00AE5458">
      <w:pPr>
        <w:spacing w:after="0" w:line="360" w:lineRule="auto"/>
        <w:contextualSpacing/>
        <w:jc w:val="both"/>
        <w:rPr>
          <w:rFonts w:ascii="Book Antiqua" w:hAnsi="Book Antiqua"/>
          <w:b/>
        </w:rPr>
      </w:pPr>
    </w:p>
    <w:p w:rsidR="00AE5458" w:rsidRPr="000E07F5" w:rsidRDefault="00AE5458" w:rsidP="00AE5458">
      <w:pPr>
        <w:spacing w:after="0" w:line="360" w:lineRule="auto"/>
        <w:contextualSpacing/>
        <w:jc w:val="both"/>
        <w:rPr>
          <w:rFonts w:ascii="Book Antiqua" w:hAnsi="Book Antiqua"/>
          <w:b/>
        </w:rPr>
      </w:pPr>
    </w:p>
    <w:p w:rsidR="00AE5458" w:rsidRPr="000E07F5" w:rsidRDefault="00AE5458" w:rsidP="00AE5458">
      <w:pPr>
        <w:spacing w:after="0" w:line="360" w:lineRule="auto"/>
        <w:contextualSpacing/>
        <w:jc w:val="both"/>
        <w:rPr>
          <w:rFonts w:ascii="Book Antiqua" w:hAnsi="Book Antiqua"/>
          <w:b/>
        </w:rPr>
      </w:pPr>
    </w:p>
    <w:p w:rsidR="00AE5458" w:rsidRPr="000E07F5" w:rsidRDefault="00AE5458" w:rsidP="00AE5458">
      <w:pPr>
        <w:spacing w:after="0" w:line="240" w:lineRule="auto"/>
        <w:contextualSpacing/>
        <w:jc w:val="center"/>
        <w:rPr>
          <w:rFonts w:ascii="Book Antiqua" w:hAnsi="Book Antiqua"/>
          <w:b/>
        </w:rPr>
      </w:pPr>
      <w:r w:rsidRPr="000E07F5">
        <w:rPr>
          <w:rFonts w:ascii="Book Antiqua" w:hAnsi="Book Antiqua"/>
          <w:b/>
        </w:rPr>
        <w:t>XENIA YOSABETH ZÚNIGA DE FLAMENCO</w:t>
      </w:r>
    </w:p>
    <w:p w:rsidR="00AE5458" w:rsidRPr="009C7F05" w:rsidRDefault="00AE5458" w:rsidP="00AE5458">
      <w:pPr>
        <w:spacing w:after="0" w:line="240" w:lineRule="auto"/>
        <w:jc w:val="center"/>
        <w:rPr>
          <w:rFonts w:ascii="Book Antiqua" w:hAnsi="Book Antiqua"/>
        </w:rPr>
      </w:pPr>
      <w:r w:rsidRPr="000E07F5">
        <w:rPr>
          <w:rFonts w:ascii="Book Antiqua" w:hAnsi="Book Antiqua"/>
          <w:b/>
        </w:rPr>
        <w:t>OFICIAL DE INFORMACIÓN</w:t>
      </w:r>
    </w:p>
    <w:p w:rsidR="00AE5458" w:rsidRPr="009C7F05" w:rsidRDefault="00AE5458" w:rsidP="00AE5458">
      <w:pPr>
        <w:rPr>
          <w:rFonts w:ascii="Book Antiqua" w:hAnsi="Book Antiqua"/>
        </w:rPr>
      </w:pPr>
    </w:p>
    <w:p w:rsidR="00BA6F94" w:rsidRDefault="00B750F5"/>
    <w:sectPr w:rsidR="00BA6F94" w:rsidSect="000E07F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0F5" w:rsidRDefault="00B750F5" w:rsidP="00AE5458">
      <w:pPr>
        <w:spacing w:after="0" w:line="240" w:lineRule="auto"/>
      </w:pPr>
      <w:r>
        <w:separator/>
      </w:r>
    </w:p>
  </w:endnote>
  <w:endnote w:type="continuationSeparator" w:id="0">
    <w:p w:rsidR="00B750F5" w:rsidRDefault="00B750F5" w:rsidP="00AE5458">
      <w:pPr>
        <w:spacing w:after="0" w:line="240" w:lineRule="auto"/>
      </w:pPr>
      <w:r>
        <w:continuationSeparator/>
      </w:r>
    </w:p>
  </w:endnote>
  <w:endnote w:id="1">
    <w:p w:rsidR="00AE5458" w:rsidRPr="00E20AD6" w:rsidRDefault="00AE5458" w:rsidP="00AE5458">
      <w:pPr>
        <w:pStyle w:val="Textonotaalfinal"/>
        <w:jc w:val="both"/>
        <w:rPr>
          <w:sz w:val="18"/>
          <w:szCs w:val="18"/>
        </w:rPr>
      </w:pPr>
      <w:r>
        <w:rPr>
          <w:rStyle w:val="Refdenotaalfinal"/>
        </w:rPr>
        <w:endnoteRef/>
      </w:r>
      <w:r>
        <w:t xml:space="preserve"> </w:t>
      </w:r>
      <w:r w:rsidRPr="00E20AD6">
        <w:rPr>
          <w:rFonts w:ascii="Calisto MT" w:hAnsi="Calisto MT"/>
          <w:sz w:val="18"/>
          <w:szCs w:val="18"/>
        </w:rPr>
        <w:t xml:space="preserve">Información Pública: Es aquella </w:t>
      </w:r>
      <w:r w:rsidRPr="00E20AD6">
        <w:rPr>
          <w:rFonts w:ascii="Calisto MT" w:hAnsi="Calisto MT"/>
          <w:b/>
          <w:sz w:val="18"/>
          <w:szCs w:val="18"/>
          <w:u w:val="single"/>
        </w:rPr>
        <w:t>en poder</w:t>
      </w:r>
      <w:r w:rsidRPr="00E20AD6">
        <w:rPr>
          <w:rFonts w:ascii="Calisto MT" w:hAnsi="Calisto MT"/>
          <w:sz w:val="18"/>
          <w:szCs w:val="18"/>
        </w:rPr>
        <w:t xml:space="preserve"> de los entes obligados </w:t>
      </w:r>
      <w:r w:rsidRPr="00E20AD6">
        <w:rPr>
          <w:rFonts w:ascii="Calisto MT" w:hAnsi="Calisto MT"/>
          <w:b/>
          <w:sz w:val="18"/>
          <w:szCs w:val="18"/>
          <w:u w:val="single"/>
        </w:rPr>
        <w:t>contenida</w:t>
      </w:r>
      <w:r w:rsidRPr="00E20AD6">
        <w:rPr>
          <w:rFonts w:ascii="Calisto MT" w:hAnsi="Calisto MT"/>
          <w:b/>
          <w:sz w:val="18"/>
          <w:szCs w:val="18"/>
        </w:rPr>
        <w:t xml:space="preserve"> en documentos, archivos, datos, bases de datos, comunicaciones y todo tipo de registros</w:t>
      </w:r>
      <w:r w:rsidRPr="00E20AD6">
        <w:rPr>
          <w:rFonts w:ascii="Calisto MT" w:hAnsi="Calisto MT"/>
          <w:sz w:val="18"/>
          <w:szCs w:val="18"/>
        </w:rPr>
        <w:t xml:space="preserve"> que documenten el ejercicio de sus facultades o actividades, que </w:t>
      </w:r>
      <w:r w:rsidRPr="00E20AD6">
        <w:rPr>
          <w:rFonts w:ascii="Calisto MT" w:hAnsi="Calisto MT"/>
          <w:b/>
          <w:sz w:val="18"/>
          <w:szCs w:val="18"/>
          <w:u w:val="single"/>
        </w:rPr>
        <w:t>consten</w:t>
      </w:r>
      <w:r w:rsidRPr="00E20AD6">
        <w:rPr>
          <w:rFonts w:ascii="Calisto MT" w:hAnsi="Calisto MT"/>
          <w:b/>
          <w:sz w:val="18"/>
          <w:szCs w:val="18"/>
        </w:rPr>
        <w:t xml:space="preserve"> en cualquier medio, ya sea impreso, óptico o electrónico, independientemente de su fuente, fecha de elaboración,</w:t>
      </w:r>
      <w:r w:rsidRPr="00E20AD6">
        <w:rPr>
          <w:rFonts w:ascii="Calisto MT" w:hAnsi="Calisto MT"/>
          <w:sz w:val="18"/>
          <w:szCs w:val="18"/>
        </w:rPr>
        <w:t xml:space="preserve"> y que no sea confidencial. Dicha información podrá haber sido generada, obtenida, transformada o conservada por éstos a cualquier título.</w:t>
      </w:r>
    </w:p>
  </w:endnote>
  <w:endnote w:id="2">
    <w:p w:rsidR="00AE5458" w:rsidRPr="00E20AD6" w:rsidRDefault="00AE5458" w:rsidP="00AE5458">
      <w:pPr>
        <w:pStyle w:val="Textonotaalfinal"/>
        <w:jc w:val="both"/>
        <w:rPr>
          <w:sz w:val="18"/>
          <w:szCs w:val="18"/>
        </w:rPr>
      </w:pPr>
      <w:r w:rsidRPr="00E20AD6">
        <w:rPr>
          <w:rStyle w:val="Refdenotaalfinal"/>
          <w:sz w:val="18"/>
          <w:szCs w:val="18"/>
        </w:rPr>
        <w:endnoteRef/>
      </w:r>
      <w:r w:rsidRPr="00E20AD6">
        <w:rPr>
          <w:sz w:val="18"/>
          <w:szCs w:val="18"/>
        </w:rPr>
        <w:t xml:space="preserve"> </w:t>
      </w:r>
      <w:r w:rsidRPr="00E20AD6">
        <w:rPr>
          <w:rFonts w:ascii="Calisto MT" w:hAnsi="Calisto MT"/>
          <w:sz w:val="18"/>
          <w:szCs w:val="18"/>
        </w:rPr>
        <w:t>Resolución de Apelación NUE-135-A-2015 pronunciada por el Instituto de Acceso a la Información Pública.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0F5" w:rsidRDefault="00B750F5" w:rsidP="00AE5458">
      <w:pPr>
        <w:spacing w:after="0" w:line="240" w:lineRule="auto"/>
      </w:pPr>
      <w:r>
        <w:separator/>
      </w:r>
    </w:p>
  </w:footnote>
  <w:footnote w:type="continuationSeparator" w:id="0">
    <w:p w:rsidR="00B750F5" w:rsidRDefault="00B750F5" w:rsidP="00AE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AE5458">
    <w:pPr>
      <w:pStyle w:val="Encabezado"/>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829623</wp:posOffset>
              </wp:positionH>
              <wp:positionV relativeFrom="paragraph">
                <wp:posOffset>-266766</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AE5458" w:rsidRDefault="00AE5458" w:rsidP="00AE5458">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AE5458" w:rsidRDefault="00AE5458" w:rsidP="00AE54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margin-left:65.3pt;margin-top:-21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">
              <v:textbox>
                <w:txbxContent>
                  <w:p w:rsidR="00AE5458" w:rsidRDefault="00AE5458" w:rsidP="00AE5458">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AE5458" w:rsidRDefault="00AE5458" w:rsidP="00AE5458"/>
                </w:txbxContent>
              </v:textbox>
            </v:shape>
          </w:pict>
        </mc:Fallback>
      </mc:AlternateContent>
    </w:r>
    <w:r w:rsidR="00B750F5">
      <w:rPr>
        <w:noProof/>
        <w:lang w:eastAsia="es-SV"/>
      </w:rPr>
      <w:drawing>
        <wp:anchor distT="0" distB="0" distL="114300" distR="114300" simplePos="0" relativeHeight="251659264" behindDoc="0" locked="0" layoutInCell="1" allowOverlap="1" wp14:anchorId="606595EC" wp14:editId="34357400">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B750F5">
      <w:rPr>
        <w:noProof/>
        <w:lang w:eastAsia="es-SV"/>
      </w:rPr>
      <w:drawing>
        <wp:anchor distT="0" distB="0" distL="114300" distR="114300" simplePos="0" relativeHeight="251660288" behindDoc="1" locked="0" layoutInCell="1" allowOverlap="1" wp14:anchorId="01AFE1BF" wp14:editId="53740346">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58"/>
    <w:rsid w:val="00936B39"/>
    <w:rsid w:val="00AE5458"/>
    <w:rsid w:val="00B750F5"/>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F4B014-BFA1-4239-8D2A-AE45E4E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5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458"/>
  </w:style>
  <w:style w:type="paragraph" w:styleId="Textonotaalfinal">
    <w:name w:val="endnote text"/>
    <w:basedOn w:val="Normal"/>
    <w:link w:val="TextonotaalfinalCar"/>
    <w:uiPriority w:val="99"/>
    <w:semiHidden/>
    <w:unhideWhenUsed/>
    <w:rsid w:val="00AE545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458"/>
    <w:rPr>
      <w:sz w:val="20"/>
      <w:szCs w:val="20"/>
    </w:rPr>
  </w:style>
  <w:style w:type="character" w:styleId="Refdenotaalfinal">
    <w:name w:val="endnote reference"/>
    <w:basedOn w:val="Fuentedeprrafopredeter"/>
    <w:uiPriority w:val="99"/>
    <w:semiHidden/>
    <w:unhideWhenUsed/>
    <w:rsid w:val="00AE5458"/>
    <w:rPr>
      <w:vertAlign w:val="superscript"/>
    </w:rPr>
  </w:style>
  <w:style w:type="paragraph" w:styleId="Piedepgina">
    <w:name w:val="footer"/>
    <w:basedOn w:val="Normal"/>
    <w:link w:val="PiedepginaCar"/>
    <w:uiPriority w:val="99"/>
    <w:unhideWhenUsed/>
    <w:rsid w:val="00AE5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2018-01-12T20:02:00Z</dcterms:created>
  <dcterms:modified xsi:type="dcterms:W3CDTF">2018-01-12T20:04:00Z</dcterms:modified>
</cp:coreProperties>
</file>