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3C240" w14:textId="77777777" w:rsidR="008F3D11" w:rsidRDefault="008F3D11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kern w:val="24"/>
          <w:sz w:val="32"/>
          <w:szCs w:val="32"/>
          <w:lang w:eastAsia="es-SV"/>
        </w:rPr>
      </w:pP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INSTITUTO SALVADOREÑO DE REHABILITACIÓN INTEGRAL </w:t>
      </w:r>
    </w:p>
    <w:p w14:paraId="5E932C02" w14:textId="77777777" w:rsidR="008F3D11" w:rsidRDefault="008F3D11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kern w:val="24"/>
          <w:sz w:val="32"/>
          <w:szCs w:val="32"/>
          <w:lang w:eastAsia="es-SV"/>
        </w:rPr>
      </w:pPr>
    </w:p>
    <w:p w14:paraId="5BD6C836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kern w:val="24"/>
          <w:sz w:val="32"/>
          <w:szCs w:val="32"/>
          <w:lang w:eastAsia="es-SV"/>
        </w:rPr>
      </w:pPr>
    </w:p>
    <w:p w14:paraId="278C9716" w14:textId="2BCE9705" w:rsidR="00000784" w:rsidRPr="008F3D11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kern w:val="24"/>
          <w:sz w:val="32"/>
          <w:szCs w:val="32"/>
          <w:lang w:eastAsia="es-SV"/>
        </w:rPr>
      </w:pPr>
      <w:r w:rsidRPr="008F3D11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INFORME ESTADÍSTICO DEL </w:t>
      </w:r>
      <w:r w:rsidRPr="008F3D11">
        <w:rPr>
          <w:rFonts w:asciiTheme="majorHAnsi" w:hAnsiTheme="majorHAnsi" w:cs="Times New Roman"/>
          <w:kern w:val="24"/>
          <w:sz w:val="32"/>
          <w:szCs w:val="32"/>
          <w:lang w:eastAsia="es-SV"/>
        </w:rPr>
        <w:t>PERI</w:t>
      </w:r>
      <w:r w:rsidR="008F3D11">
        <w:rPr>
          <w:rFonts w:asciiTheme="majorHAnsi" w:hAnsiTheme="majorHAnsi" w:cs="Times New Roman"/>
          <w:kern w:val="24"/>
          <w:sz w:val="32"/>
          <w:szCs w:val="32"/>
          <w:lang w:eastAsia="es-SV"/>
        </w:rPr>
        <w:t>ODO JUNIO 2018 A MAYO 2019</w:t>
      </w:r>
      <w:r w:rsidRPr="008F3D11">
        <w:rPr>
          <w:rFonts w:asciiTheme="majorHAnsi" w:hAnsiTheme="majorHAnsi" w:cs="Times New Roman"/>
          <w:kern w:val="24"/>
          <w:sz w:val="32"/>
          <w:szCs w:val="32"/>
          <w:lang w:eastAsia="es-SV"/>
        </w:rPr>
        <w:t>, SITUACIÓN EPIDEMIOLOGIA Y RENDIMIENTO POR CENTRO DE ATENCIÓN.</w:t>
      </w:r>
    </w:p>
    <w:p w14:paraId="578CDE5D" w14:textId="77777777" w:rsidR="00000784" w:rsidRPr="008F3D11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kern w:val="24"/>
          <w:sz w:val="32"/>
          <w:szCs w:val="32"/>
          <w:lang w:eastAsia="es-SV"/>
        </w:rPr>
      </w:pPr>
    </w:p>
    <w:p w14:paraId="523B788A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E8C2F68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59CBA5F8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74AAF993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5E357E7A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541F4BF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0E5728D8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0C697B2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1DB66E78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7AB8AD29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19D7E73F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0ACF1E5A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6CC1A97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1F250007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697ED8F8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256866C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0C6FBF65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360E3738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5A693BA7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12226D7B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DCECC2B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117B6836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659AA3F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78E5096D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05A792F0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08BCA9E1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4C26BEF" w14:textId="5A5780CD" w:rsidR="00AB46E5" w:rsidRDefault="00AB46E5" w:rsidP="001E0A29">
      <w:pPr>
        <w:widowControl w:val="0"/>
        <w:spacing w:after="0" w:line="240" w:lineRule="auto"/>
        <w:jc w:val="right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>San S</w:t>
      </w:r>
      <w:r w:rsidR="009961B3">
        <w:rPr>
          <w:rFonts w:asciiTheme="majorHAnsi" w:hAnsiTheme="majorHAnsi" w:cs="Times New Roman"/>
          <w:kern w:val="24"/>
          <w:sz w:val="32"/>
          <w:szCs w:val="32"/>
          <w:lang w:eastAsia="es-SV"/>
        </w:rPr>
        <w:t>alvador octubre 2019</w:t>
      </w:r>
    </w:p>
    <w:p w14:paraId="73038A7C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1BC8BFDC" w14:textId="0BBFE592" w:rsidR="00000784" w:rsidRDefault="00AB46E5" w:rsidP="009961B3">
      <w:pPr>
        <w:pStyle w:val="Ttulo1"/>
        <w:rPr>
          <w:rFonts w:cs="Times New Roman"/>
          <w:caps/>
          <w:kern w:val="24"/>
          <w:lang w:eastAsia="es-SV"/>
        </w:rPr>
      </w:pPr>
      <w:r>
        <w:rPr>
          <w:rFonts w:cs="Times New Roman"/>
          <w:caps/>
          <w:kern w:val="24"/>
          <w:lang w:eastAsia="es-SV"/>
        </w:rPr>
        <w:t>INTRODUCCIÓN</w:t>
      </w:r>
    </w:p>
    <w:p w14:paraId="089ACB83" w14:textId="77777777" w:rsidR="00AB46E5" w:rsidRPr="00000784" w:rsidRDefault="00AB46E5" w:rsidP="00000784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3D90AC00" w14:textId="3956A6F0" w:rsidR="008F3D11" w:rsidRDefault="00075579" w:rsidP="00000784">
      <w:pPr>
        <w:widowControl w:val="0"/>
        <w:spacing w:after="0" w:line="240" w:lineRule="auto"/>
        <w:jc w:val="both"/>
        <w:outlineLvl w:val="0"/>
        <w:rPr>
          <w:rFonts w:asciiTheme="majorHAnsi" w:hAnsiTheme="majorHAnsi" w:cs="Times New Roman"/>
          <w:kern w:val="24"/>
          <w:sz w:val="32"/>
          <w:szCs w:val="32"/>
          <w:lang w:eastAsia="es-SV"/>
        </w:rPr>
      </w:pP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>El presente documento</w:t>
      </w:r>
      <w:r w:rsidR="00000784" w:rsidRPr="00000784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 cuenta con la información referente a la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s atenciones brindadas por el Instituto durante el período de junio 2018 a mayo 2019, en que </w:t>
      </w:r>
      <w:r w:rsidR="00000784" w:rsidRPr="00000784">
        <w:rPr>
          <w:rFonts w:asciiTheme="majorHAnsi" w:hAnsiTheme="majorHAnsi" w:cs="Times New Roman"/>
          <w:kern w:val="24"/>
          <w:sz w:val="32"/>
          <w:szCs w:val="32"/>
          <w:lang w:eastAsia="es-SV"/>
        </w:rPr>
        <w:t>se</w:t>
      </w:r>
      <w:r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  <w:t xml:space="preserve"> </w:t>
      </w:r>
      <w:r w:rsidR="008F3D11">
        <w:rPr>
          <w:rFonts w:asciiTheme="majorHAnsi" w:hAnsiTheme="majorHAnsi" w:cs="Times New Roman"/>
          <w:kern w:val="24"/>
          <w:sz w:val="32"/>
          <w:szCs w:val="32"/>
          <w:lang w:eastAsia="es-SV"/>
        </w:rPr>
        <w:t>plasma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 </w:t>
      </w:r>
      <w:r w:rsidR="00000784" w:rsidRPr="00000784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 la información relacionada c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>on la atención de los usuarios que d</w:t>
      </w:r>
      <w:r w:rsidR="00000784" w:rsidRPr="00000784">
        <w:rPr>
          <w:rFonts w:asciiTheme="majorHAnsi" w:hAnsiTheme="majorHAnsi" w:cs="Times New Roman"/>
          <w:kern w:val="24"/>
          <w:sz w:val="32"/>
          <w:szCs w:val="32"/>
          <w:lang w:eastAsia="es-SV"/>
        </w:rPr>
        <w:t>emandan la consulta ambulatoria as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>í como los tratamiento en servicios de  rehabilitación, servicios médicos y de apoyo</w:t>
      </w:r>
      <w:r w:rsidR="008F3D11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 en los distintos programas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  durante el período en mención, a</w:t>
      </w:r>
      <w:r w:rsidR="00000784" w:rsidRPr="00000784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demás 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se </w:t>
      </w:r>
      <w:r w:rsidR="00000784" w:rsidRPr="00000784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cuenta 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información epidemiológica relacionada a </w:t>
      </w:r>
      <w:r w:rsidR="008F3D11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 diagnósticos más frecuentes, causas y factores demográficos.</w:t>
      </w:r>
    </w:p>
    <w:p w14:paraId="69E4B1DA" w14:textId="6EEDC963" w:rsidR="00000784" w:rsidRDefault="008F3D11" w:rsidP="00000784">
      <w:pPr>
        <w:widowControl w:val="0"/>
        <w:spacing w:after="0" w:line="240" w:lineRule="auto"/>
        <w:jc w:val="both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Se agregan indicadores de resultados  </w:t>
      </w:r>
      <w:r w:rsidR="00075579">
        <w:rPr>
          <w:rFonts w:asciiTheme="majorHAnsi" w:hAnsiTheme="majorHAnsi" w:cs="Times New Roman"/>
          <w:kern w:val="24"/>
          <w:sz w:val="32"/>
          <w:szCs w:val="32"/>
          <w:lang w:eastAsia="es-SV"/>
        </w:rPr>
        <w:t>de las distintas atenciones de todos los servicios</w:t>
      </w:r>
      <w:r>
        <w:rPr>
          <w:rFonts w:asciiTheme="majorHAnsi" w:hAnsiTheme="majorHAnsi" w:cs="Times New Roman"/>
          <w:kern w:val="24"/>
          <w:sz w:val="32"/>
          <w:szCs w:val="32"/>
          <w:lang w:eastAsia="es-SV"/>
        </w:rPr>
        <w:t>.</w:t>
      </w:r>
      <w:r w:rsidR="00075579">
        <w:rPr>
          <w:rFonts w:asciiTheme="majorHAnsi" w:hAnsiTheme="majorHAnsi" w:cs="Times New Roman"/>
          <w:kern w:val="24"/>
          <w:sz w:val="32"/>
          <w:szCs w:val="32"/>
          <w:lang w:eastAsia="es-SV"/>
        </w:rPr>
        <w:t xml:space="preserve"> </w:t>
      </w:r>
    </w:p>
    <w:p w14:paraId="0587ED50" w14:textId="77777777" w:rsidR="00000784" w:rsidRDefault="00000784" w:rsidP="00000784">
      <w:pPr>
        <w:widowControl w:val="0"/>
        <w:spacing w:after="0" w:line="240" w:lineRule="auto"/>
        <w:jc w:val="both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215EAB25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7D86795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540AA15C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36DD2548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5CEC1358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67AF0F27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41E5327F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10CEF81F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6F1189C3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307E496E" w14:textId="77777777" w:rsidR="00000784" w:rsidRDefault="00000784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2F847508" w14:textId="77777777" w:rsidR="008F3D11" w:rsidRDefault="008F3D11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3DF2BC51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242F54CE" w14:textId="77777777" w:rsidR="00AB46E5" w:rsidRDefault="00AB46E5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69F51562" w14:textId="77777777" w:rsidR="009961B3" w:rsidRDefault="009961B3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7A42336E" w14:textId="77777777" w:rsidR="009961B3" w:rsidRDefault="009961B3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58BBF334" w14:textId="77777777" w:rsidR="009961B3" w:rsidRDefault="009961B3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078A820F" w14:textId="77777777" w:rsidR="008F3D11" w:rsidRDefault="008F3D11" w:rsidP="00D21C00">
      <w:pPr>
        <w:widowControl w:val="0"/>
        <w:spacing w:after="0" w:line="240" w:lineRule="auto"/>
        <w:jc w:val="center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7A722C82" w14:textId="53E2CB3C" w:rsidR="00E4768E" w:rsidRPr="006E538D" w:rsidRDefault="001139CA" w:rsidP="009961B3">
      <w:pPr>
        <w:pStyle w:val="Ttulo1"/>
        <w:rPr>
          <w:rFonts w:cs="Times New Roman"/>
          <w:caps/>
          <w:kern w:val="24"/>
          <w:lang w:eastAsia="es-SV"/>
        </w:rPr>
      </w:pPr>
      <w:r w:rsidRPr="006E538D">
        <w:rPr>
          <w:rFonts w:cs="Times New Roman"/>
          <w:caps/>
          <w:kern w:val="24"/>
          <w:lang w:eastAsia="es-SV"/>
        </w:rPr>
        <w:lastRenderedPageBreak/>
        <w:t>INFORMACIÓN</w:t>
      </w:r>
      <w:r w:rsidR="0007788E" w:rsidRPr="006E538D">
        <w:rPr>
          <w:rFonts w:cs="Times New Roman"/>
          <w:caps/>
          <w:kern w:val="24"/>
          <w:lang w:eastAsia="es-SV"/>
        </w:rPr>
        <w:t xml:space="preserve"> ESTADISTICA Y </w:t>
      </w:r>
      <w:r w:rsidRPr="006E538D">
        <w:rPr>
          <w:rFonts w:cs="Times New Roman"/>
          <w:caps/>
          <w:kern w:val="24"/>
          <w:lang w:eastAsia="es-SV"/>
        </w:rPr>
        <w:t>EPIDEMIOLÓGICA</w:t>
      </w:r>
      <w:r w:rsidR="0007788E" w:rsidRPr="006E538D">
        <w:rPr>
          <w:rFonts w:cs="Times New Roman"/>
          <w:caps/>
          <w:kern w:val="24"/>
          <w:lang w:eastAsia="es-SV"/>
        </w:rPr>
        <w:t xml:space="preserve"> </w:t>
      </w:r>
      <w:r w:rsidR="00145F06" w:rsidRPr="006E538D">
        <w:rPr>
          <w:rFonts w:cs="Times New Roman"/>
          <w:caps/>
          <w:kern w:val="24"/>
          <w:lang w:eastAsia="es-SV"/>
        </w:rPr>
        <w:t>P</w:t>
      </w:r>
      <w:r w:rsidR="00E4768E" w:rsidRPr="006E538D">
        <w:rPr>
          <w:rFonts w:cs="Times New Roman"/>
          <w:caps/>
          <w:kern w:val="24"/>
          <w:lang w:eastAsia="es-SV"/>
        </w:rPr>
        <w:t xml:space="preserve">ERÍODO JUNIO </w:t>
      </w:r>
      <w:r w:rsidRPr="006E538D">
        <w:rPr>
          <w:rFonts w:cs="Times New Roman"/>
          <w:caps/>
          <w:kern w:val="24"/>
          <w:lang w:eastAsia="es-SV"/>
        </w:rPr>
        <w:t>2018</w:t>
      </w:r>
      <w:r w:rsidR="00E4768E" w:rsidRPr="006E538D">
        <w:rPr>
          <w:rFonts w:cs="Times New Roman"/>
          <w:caps/>
          <w:kern w:val="24"/>
          <w:lang w:eastAsia="es-SV"/>
        </w:rPr>
        <w:t xml:space="preserve"> </w:t>
      </w:r>
      <w:r w:rsidR="00477A18">
        <w:rPr>
          <w:rFonts w:cs="Times New Roman"/>
          <w:caps/>
          <w:kern w:val="24"/>
          <w:lang w:eastAsia="es-SV"/>
        </w:rPr>
        <w:t xml:space="preserve">- </w:t>
      </w:r>
      <w:r w:rsidR="00E4768E" w:rsidRPr="006E538D">
        <w:rPr>
          <w:rFonts w:cs="Times New Roman"/>
          <w:caps/>
          <w:kern w:val="24"/>
          <w:lang w:eastAsia="es-SV"/>
        </w:rPr>
        <w:t>MAYO 201</w:t>
      </w:r>
      <w:r w:rsidRPr="006E538D">
        <w:rPr>
          <w:rFonts w:cs="Times New Roman"/>
          <w:caps/>
          <w:kern w:val="24"/>
          <w:lang w:eastAsia="es-SV"/>
        </w:rPr>
        <w:t>9</w:t>
      </w:r>
    </w:p>
    <w:p w14:paraId="09227F9A" w14:textId="77777777" w:rsidR="00E4768E" w:rsidRPr="006E538D" w:rsidRDefault="00E4768E" w:rsidP="00E47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0B85DA8A" w14:textId="77777777" w:rsidR="00E4768E" w:rsidRPr="006E538D" w:rsidRDefault="00E4768E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291D9E53" w14:textId="1329DA89" w:rsidR="00E4768E" w:rsidRPr="006E538D" w:rsidRDefault="00E13A2E" w:rsidP="00AB46E5">
      <w:pPr>
        <w:pStyle w:val="Ttulo2"/>
        <w:rPr>
          <w:rFonts w:cs="Times New Roman"/>
          <w:caps/>
          <w:kern w:val="24"/>
          <w:sz w:val="32"/>
          <w:szCs w:val="32"/>
          <w:lang w:eastAsia="es-SV"/>
        </w:rPr>
      </w:pPr>
      <w:r w:rsidRPr="006E538D">
        <w:rPr>
          <w:rFonts w:cs="Times New Roman"/>
          <w:caps/>
          <w:kern w:val="24"/>
          <w:sz w:val="32"/>
          <w:szCs w:val="32"/>
          <w:lang w:eastAsia="es-SV"/>
        </w:rPr>
        <w:t>POBLACIÓN</w:t>
      </w:r>
      <w:r w:rsidR="00E4768E" w:rsidRPr="006E538D">
        <w:rPr>
          <w:rFonts w:cs="Times New Roman"/>
          <w:caps/>
          <w:kern w:val="24"/>
          <w:sz w:val="32"/>
          <w:szCs w:val="32"/>
          <w:lang w:eastAsia="es-SV"/>
        </w:rPr>
        <w:t xml:space="preserve"> total atendida</w:t>
      </w:r>
      <w:r w:rsidR="00087DED" w:rsidRPr="006E538D">
        <w:rPr>
          <w:rFonts w:cs="Times New Roman"/>
          <w:caps/>
          <w:kern w:val="24"/>
          <w:sz w:val="32"/>
          <w:szCs w:val="32"/>
          <w:lang w:eastAsia="es-SV"/>
        </w:rPr>
        <w:t xml:space="preserve"> en el isri</w:t>
      </w:r>
      <w:r w:rsidR="00234CFE" w:rsidRPr="006E538D">
        <w:rPr>
          <w:rFonts w:cs="Times New Roman"/>
          <w:caps/>
          <w:kern w:val="24"/>
          <w:sz w:val="32"/>
          <w:szCs w:val="32"/>
          <w:lang w:eastAsia="es-SV"/>
        </w:rPr>
        <w:t xml:space="preserve"> </w:t>
      </w:r>
      <w:r w:rsidR="001139CA" w:rsidRPr="006E538D">
        <w:rPr>
          <w:rFonts w:cs="Times New Roman"/>
          <w:caps/>
          <w:kern w:val="24"/>
          <w:sz w:val="32"/>
          <w:szCs w:val="32"/>
          <w:lang w:eastAsia="es-SV"/>
        </w:rPr>
        <w:t>2015</w:t>
      </w:r>
      <w:r w:rsidR="00982D9D" w:rsidRPr="006E538D">
        <w:rPr>
          <w:rFonts w:cs="Times New Roman"/>
          <w:caps/>
          <w:kern w:val="24"/>
          <w:sz w:val="32"/>
          <w:szCs w:val="32"/>
          <w:lang w:eastAsia="es-SV"/>
        </w:rPr>
        <w:t xml:space="preserve"> </w:t>
      </w:r>
      <w:r w:rsidRPr="006E538D">
        <w:rPr>
          <w:rFonts w:cs="Times New Roman"/>
          <w:caps/>
          <w:kern w:val="24"/>
          <w:sz w:val="32"/>
          <w:szCs w:val="32"/>
          <w:lang w:eastAsia="es-SV"/>
        </w:rPr>
        <w:t>–</w:t>
      </w:r>
      <w:r w:rsidR="00982D9D" w:rsidRPr="006E538D">
        <w:rPr>
          <w:rFonts w:cs="Times New Roman"/>
          <w:caps/>
          <w:kern w:val="24"/>
          <w:sz w:val="32"/>
          <w:szCs w:val="32"/>
          <w:lang w:eastAsia="es-SV"/>
        </w:rPr>
        <w:t xml:space="preserve"> 201</w:t>
      </w:r>
      <w:r w:rsidR="001139CA" w:rsidRPr="006E538D">
        <w:rPr>
          <w:rFonts w:cs="Times New Roman"/>
          <w:caps/>
          <w:kern w:val="24"/>
          <w:sz w:val="32"/>
          <w:szCs w:val="32"/>
          <w:lang w:eastAsia="es-SV"/>
        </w:rPr>
        <w:t>9</w:t>
      </w:r>
    </w:p>
    <w:p w14:paraId="33271C2E" w14:textId="77777777" w:rsidR="00E13A2E" w:rsidRPr="006E538D" w:rsidRDefault="00E13A2E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kern w:val="24"/>
          <w:sz w:val="32"/>
          <w:szCs w:val="32"/>
          <w:lang w:eastAsia="es-SV"/>
        </w:rPr>
      </w:pPr>
    </w:p>
    <w:p w14:paraId="704FA6D9" w14:textId="01F23D2E" w:rsidR="00E4768E" w:rsidRPr="00E4768E" w:rsidRDefault="00E4768E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s-ES" w:eastAsia="es-ES"/>
        </w:rPr>
      </w:pPr>
    </w:p>
    <w:p w14:paraId="3AC0C4B9" w14:textId="5BDA9B97" w:rsidR="00E4768E" w:rsidRPr="00E4768E" w:rsidRDefault="00E4768E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s-ES" w:eastAsia="es-ES"/>
        </w:rPr>
      </w:pPr>
    </w:p>
    <w:p w14:paraId="3601929D" w14:textId="317BBF97" w:rsidR="00087DED" w:rsidRDefault="001139CA" w:rsidP="00087DED">
      <w:pPr>
        <w:widowControl w:val="0"/>
        <w:spacing w:line="240" w:lineRule="auto"/>
        <w:jc w:val="both"/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</w:pPr>
      <w:r>
        <w:rPr>
          <w:noProof/>
          <w:lang w:eastAsia="es-SV"/>
        </w:rPr>
        <w:drawing>
          <wp:inline distT="0" distB="0" distL="0" distR="0" wp14:anchorId="7371D8F9" wp14:editId="02180FAB">
            <wp:extent cx="5612130" cy="3449320"/>
            <wp:effectExtent l="0" t="0" r="7620" b="177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CACF94" w14:textId="4A69BC86" w:rsidR="003C7453" w:rsidRPr="003C7453" w:rsidRDefault="003C7453" w:rsidP="00087DED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i/>
          <w:color w:val="4D4D4D"/>
          <w:kern w:val="28"/>
          <w:sz w:val="12"/>
          <w:szCs w:val="20"/>
          <w:lang w:val="es-ES" w:eastAsia="es-ES"/>
        </w:rPr>
      </w:pPr>
      <w:r w:rsidRPr="003C7453">
        <w:rPr>
          <w:rFonts w:ascii="Century Gothic" w:eastAsia="Times New Roman" w:hAnsi="Century Gothic" w:cs="Century Gothic"/>
          <w:i/>
          <w:color w:val="4D4D4D"/>
          <w:kern w:val="28"/>
          <w:sz w:val="12"/>
          <w:szCs w:val="20"/>
          <w:lang w:val="es-ES" w:eastAsia="es-ES"/>
        </w:rPr>
        <w:t>Fuente: Construcción propia con datos del Sis</w:t>
      </w:r>
      <w:r w:rsidRPr="003C7453">
        <w:rPr>
          <w:rFonts w:ascii="Century Gothic" w:eastAsia="Times New Roman" w:hAnsi="Century Gothic" w:cs="Century Gothic"/>
          <w:i/>
          <w:color w:val="4D4D4D"/>
          <w:kern w:val="28"/>
          <w:sz w:val="12"/>
          <w:szCs w:val="20"/>
          <w:lang w:val="es-ES" w:eastAsia="es-ES"/>
        </w:rPr>
        <w:t>tema Epidemiológica del ISRI  (</w:t>
      </w:r>
      <w:r w:rsidRPr="003C7453">
        <w:rPr>
          <w:rFonts w:ascii="Century Gothic" w:eastAsia="Times New Roman" w:hAnsi="Century Gothic" w:cs="Century Gothic"/>
          <w:i/>
          <w:color w:val="4D4D4D"/>
          <w:kern w:val="28"/>
          <w:sz w:val="12"/>
          <w:szCs w:val="20"/>
          <w:lang w:val="es-ES" w:eastAsia="es-ES"/>
        </w:rPr>
        <w:t>epi2008 )</w:t>
      </w:r>
      <w:r w:rsidRPr="003C7453">
        <w:rPr>
          <w:sz w:val="18"/>
        </w:rPr>
        <w:t xml:space="preserve"> </w:t>
      </w:r>
      <w:r w:rsidRPr="003C7453">
        <w:rPr>
          <w:rFonts w:ascii="Century Gothic" w:eastAsia="Times New Roman" w:hAnsi="Century Gothic" w:cs="Century Gothic"/>
          <w:i/>
          <w:color w:val="4D4D4D"/>
          <w:kern w:val="28"/>
          <w:sz w:val="12"/>
          <w:szCs w:val="20"/>
          <w:lang w:val="es-ES" w:eastAsia="es-ES"/>
        </w:rPr>
        <w:t>INCLUYE: Todos los  Diagnósticos  por Todas las Causas  que Generan o no  Discapacidad.</w:t>
      </w:r>
    </w:p>
    <w:p w14:paraId="55724010" w14:textId="77777777" w:rsidR="003C7453" w:rsidRDefault="003C7453" w:rsidP="00087DED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</w:pPr>
    </w:p>
    <w:p w14:paraId="074B8C0D" w14:textId="448A1358" w:rsidR="00E4768E" w:rsidRPr="00D31FD0" w:rsidRDefault="003C7453" w:rsidP="00087DED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val="es-ES" w:eastAsia="es-ES"/>
        </w:rPr>
      </w:pPr>
      <w:r w:rsidRPr="003C7453"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  <w:t xml:space="preserve"> </w:t>
      </w:r>
      <w:r w:rsidR="00087DED" w:rsidRPr="00D31FD0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El gráfico 1 muestra el comportamiento en números absolutos de la población total atendida en el ISRI en los periodo</w:t>
      </w:r>
      <w:r w:rsidR="004159B3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s de Junio a </w:t>
      </w:r>
      <w:r w:rsidR="00BA222D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Mayo de 201</w:t>
      </w:r>
      <w:r w:rsidR="001139CA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5</w:t>
      </w:r>
      <w:r w:rsidR="00D31FD0" w:rsidRPr="00D31FD0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 a </w:t>
      </w:r>
      <w:r w:rsidR="00145F06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201</w:t>
      </w:r>
      <w:r w:rsidR="001139CA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9</w:t>
      </w:r>
      <w:r w:rsidR="00087DED" w:rsidRPr="00D31FD0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, el grafico </w:t>
      </w:r>
      <w:r w:rsidR="00477A18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muestra u</w:t>
      </w:r>
      <w:r w:rsidR="00F972F5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n </w:t>
      </w:r>
      <w:r w:rsidR="00E13A2E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comportamiento</w:t>
      </w:r>
      <w:r w:rsidR="00F972F5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 </w:t>
      </w:r>
      <w:r w:rsidR="001139CA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ascendente </w:t>
      </w:r>
      <w:r w:rsidR="00F972F5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 </w:t>
      </w:r>
      <w:r w:rsidR="00145F06" w:rsidRPr="004159B3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en la población que </w:t>
      </w:r>
      <w:r w:rsidR="00EF5C68" w:rsidRPr="004159B3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accede</w:t>
      </w:r>
      <w:r w:rsidR="00145F06" w:rsidRPr="004159B3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 los servicios Institucionales</w:t>
      </w:r>
      <w:r w:rsidR="004159B3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.</w:t>
      </w:r>
    </w:p>
    <w:p w14:paraId="220B4CDD" w14:textId="77777777" w:rsidR="00087DED" w:rsidRPr="00D31FD0" w:rsidRDefault="00087DED" w:rsidP="00087DED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val="es-ES" w:eastAsia="es-ES"/>
        </w:rPr>
      </w:pPr>
    </w:p>
    <w:p w14:paraId="11AC0536" w14:textId="29EAEEF5" w:rsidR="00E4768E" w:rsidRPr="00E4768E" w:rsidRDefault="00087DE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val="es-ES" w:eastAsia="es-ES"/>
        </w:rPr>
      </w:pPr>
      <w:r w:rsidRPr="00D31FD0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Durante el </w:t>
      </w:r>
      <w:r w:rsidR="00F972F5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periodo el I</w:t>
      </w:r>
      <w:r w:rsidRPr="00D31FD0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nstituto ha centrado sus esfuerzos en la mejora en la calidad de los servicios, una mayor proyección </w:t>
      </w:r>
      <w:r w:rsidR="004159B3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por parte de Comunicaciones </w:t>
      </w:r>
      <w:r w:rsidRPr="00D31FD0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para dar a conocer nuestros servicios, se han fortalecido los servicios y programas a través de la actualización de los Modelos de Atención, con enfoque de derechos</w:t>
      </w:r>
      <w:r w:rsidR="00893FC4" w:rsidRPr="00D31FD0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>.</w:t>
      </w:r>
      <w:r w:rsidR="00893FC4">
        <w:rPr>
          <w:rFonts w:ascii="Century Gothic" w:eastAsia="Times New Roman" w:hAnsi="Century Gothic" w:cs="Times New Roman"/>
          <w:sz w:val="20"/>
          <w:szCs w:val="24"/>
          <w:lang w:val="es-ES" w:eastAsia="es-ES"/>
        </w:rPr>
        <w:t xml:space="preserve"> </w:t>
      </w:r>
    </w:p>
    <w:p w14:paraId="0BE99C15" w14:textId="77777777" w:rsidR="00D31FD0" w:rsidRDefault="00D31FD0">
      <w:pPr>
        <w:rPr>
          <w:rFonts w:asciiTheme="majorHAnsi" w:hAnsiTheme="majorHAnsi" w:cs="Times New Roman"/>
          <w:caps/>
          <w:noProof/>
          <w:color w:val="0070C0"/>
          <w:kern w:val="24"/>
          <w:sz w:val="32"/>
          <w:szCs w:val="32"/>
          <w:lang w:val="es-ES" w:eastAsia="es-ES"/>
        </w:rPr>
      </w:pPr>
      <w:r>
        <w:rPr>
          <w:rFonts w:asciiTheme="majorHAnsi" w:hAnsiTheme="majorHAnsi" w:cs="Times New Roman"/>
          <w:caps/>
          <w:noProof/>
          <w:color w:val="0070C0"/>
          <w:kern w:val="24"/>
          <w:sz w:val="32"/>
          <w:szCs w:val="32"/>
          <w:lang w:val="es-ES" w:eastAsia="es-ES"/>
        </w:rPr>
        <w:br w:type="page"/>
      </w:r>
    </w:p>
    <w:p w14:paraId="319641CE" w14:textId="15A0EE4A" w:rsidR="00E4768E" w:rsidRPr="006E538D" w:rsidRDefault="00E4768E" w:rsidP="00AB46E5">
      <w:pPr>
        <w:pStyle w:val="Ttulo2"/>
        <w:rPr>
          <w:rFonts w:cs="Times New Roman"/>
          <w:caps/>
          <w:kern w:val="24"/>
          <w:sz w:val="32"/>
          <w:szCs w:val="32"/>
          <w:lang w:eastAsia="es-SV"/>
        </w:rPr>
      </w:pPr>
      <w:r w:rsidRPr="006E538D">
        <w:rPr>
          <w:rFonts w:cs="Times New Roman"/>
          <w:caps/>
          <w:noProof/>
          <w:kern w:val="24"/>
          <w:sz w:val="32"/>
          <w:szCs w:val="32"/>
          <w:lang w:val="es-ES" w:eastAsia="es-ES"/>
        </w:rPr>
        <w:lastRenderedPageBreak/>
        <w:t xml:space="preserve">CARACTERIZACION DE LA POBLACION USUARIA periodo de </w:t>
      </w:r>
      <w:r w:rsidR="001139CA" w:rsidRPr="006E538D">
        <w:rPr>
          <w:rFonts w:cs="Times New Roman"/>
          <w:caps/>
          <w:noProof/>
          <w:kern w:val="24"/>
          <w:sz w:val="32"/>
          <w:szCs w:val="32"/>
          <w:lang w:val="es-ES" w:eastAsia="es-ES"/>
        </w:rPr>
        <w:t>JUNIO 2018 A MAYO 2019</w:t>
      </w:r>
      <w:r w:rsidRPr="006E538D">
        <w:rPr>
          <w:rFonts w:cs="Times New Roman"/>
          <w:caps/>
          <w:noProof/>
          <w:kern w:val="24"/>
          <w:sz w:val="32"/>
          <w:szCs w:val="32"/>
          <w:lang w:val="es-ES" w:eastAsia="es-ES"/>
        </w:rPr>
        <w:t>.</w:t>
      </w:r>
    </w:p>
    <w:p w14:paraId="701DCA31" w14:textId="77777777" w:rsidR="003C7453" w:rsidRDefault="003C7453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53711DF7" w14:textId="71DE737F" w:rsidR="00E4768E" w:rsidRDefault="00E4768E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 w:rsidRPr="00E47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EDAD Y SEXO</w:t>
      </w:r>
    </w:p>
    <w:p w14:paraId="5721A4E0" w14:textId="77777777" w:rsidR="00B5764D" w:rsidRDefault="00B5764D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40BEF938" w14:textId="229E478E" w:rsidR="00B5764D" w:rsidRDefault="00B5764D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796BBCFF" w14:textId="2D2BE5AF" w:rsidR="00B5764D" w:rsidRDefault="00B5764D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>
        <w:rPr>
          <w:noProof/>
          <w:lang w:eastAsia="es-SV"/>
        </w:rPr>
        <w:drawing>
          <wp:anchor distT="0" distB="0" distL="114300" distR="114300" simplePos="0" relativeHeight="251660800" behindDoc="0" locked="0" layoutInCell="1" allowOverlap="1" wp14:anchorId="4B603A7D" wp14:editId="5FCC9EE5">
            <wp:simplePos x="0" y="0"/>
            <wp:positionH relativeFrom="column">
              <wp:posOffset>-561975</wp:posOffset>
            </wp:positionH>
            <wp:positionV relativeFrom="paragraph">
              <wp:posOffset>173355</wp:posOffset>
            </wp:positionV>
            <wp:extent cx="2749550" cy="2174240"/>
            <wp:effectExtent l="0" t="0" r="12700" b="1651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52F56" w14:textId="5845B113" w:rsidR="00B5764D" w:rsidRDefault="00B5764D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 w:rsidRPr="00F972F5">
        <w:rPr>
          <w:rFonts w:ascii="Century Gothic" w:eastAsia="Times New Roman" w:hAnsi="Century Gothic" w:cs="Century Gothic"/>
          <w:i/>
          <w:color w:val="4D4D4D"/>
          <w:kern w:val="28"/>
          <w:sz w:val="20"/>
          <w:szCs w:val="20"/>
          <w:lang w:val="es-ES" w:eastAsia="es-ES"/>
        </w:rPr>
        <w:t xml:space="preserve">La población que de </w:t>
      </w:r>
      <w:r>
        <w:rPr>
          <w:rFonts w:ascii="Century Gothic" w:eastAsia="Times New Roman" w:hAnsi="Century Gothic" w:cs="Century Gothic"/>
          <w:i/>
          <w:color w:val="4D4D4D"/>
          <w:kern w:val="28"/>
          <w:sz w:val="20"/>
          <w:szCs w:val="20"/>
          <w:lang w:val="es-ES" w:eastAsia="es-ES"/>
        </w:rPr>
        <w:t>JUNIO 2018 A MAYO 2019</w:t>
      </w:r>
      <w:r w:rsidRPr="00F972F5">
        <w:rPr>
          <w:rFonts w:ascii="Century Gothic" w:eastAsia="Times New Roman" w:hAnsi="Century Gothic" w:cs="Century Gothic"/>
          <w:i/>
          <w:color w:val="4D4D4D"/>
          <w:kern w:val="28"/>
          <w:sz w:val="20"/>
          <w:szCs w:val="20"/>
          <w:lang w:val="es-ES" w:eastAsia="es-ES"/>
        </w:rPr>
        <w:t xml:space="preserve"> </w:t>
      </w:r>
      <w:r w:rsidR="003C7453">
        <w:rPr>
          <w:rFonts w:ascii="Century Gothic" w:eastAsia="Times New Roman" w:hAnsi="Century Gothic" w:cs="Century Gothic"/>
          <w:i/>
          <w:color w:val="4D4D4D"/>
          <w:kern w:val="28"/>
          <w:sz w:val="20"/>
          <w:szCs w:val="20"/>
          <w:lang w:val="es-ES" w:eastAsia="es-ES"/>
        </w:rPr>
        <w:t xml:space="preserve">que </w:t>
      </w:r>
      <w:r w:rsidRPr="00F972F5">
        <w:rPr>
          <w:rFonts w:ascii="Century Gothic" w:eastAsia="Times New Roman" w:hAnsi="Century Gothic" w:cs="Century Gothic"/>
          <w:i/>
          <w:color w:val="4D4D4D"/>
          <w:kern w:val="28"/>
          <w:sz w:val="20"/>
          <w:szCs w:val="20"/>
          <w:lang w:val="es-ES" w:eastAsia="es-ES"/>
        </w:rPr>
        <w:t>recibió atención e</w:t>
      </w:r>
      <w:r w:rsidR="007C37E3">
        <w:rPr>
          <w:rFonts w:ascii="Century Gothic" w:eastAsia="Times New Roman" w:hAnsi="Century Gothic" w:cs="Century Gothic"/>
          <w:i/>
          <w:color w:val="4D4D4D"/>
          <w:kern w:val="28"/>
          <w:sz w:val="20"/>
          <w:szCs w:val="20"/>
          <w:lang w:val="es-ES" w:eastAsia="es-ES"/>
        </w:rPr>
        <w:t xml:space="preserve">n los servicios del ISRI fue de 32193 personas </w:t>
      </w:r>
      <w:r w:rsidRPr="00F972F5">
        <w:rPr>
          <w:rFonts w:ascii="Century Gothic" w:eastAsia="Times New Roman" w:hAnsi="Century Gothic" w:cs="Century Gothic"/>
          <w:i/>
          <w:color w:val="4D4D4D"/>
          <w:kern w:val="28"/>
          <w:sz w:val="20"/>
          <w:szCs w:val="20"/>
          <w:lang w:val="es-ES" w:eastAsia="es-ES"/>
        </w:rPr>
        <w:t xml:space="preserve"> de los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cuales </w:t>
      </w:r>
      <w:r w:rsidR="007C37E3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el </w:t>
      </w: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53</w:t>
      </w:r>
      <w:r w:rsidR="007C37E3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fueron masculinos y </w:t>
      </w:r>
      <w:r w:rsidR="007C37E3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el </w:t>
      </w: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47</w:t>
      </w:r>
      <w:r w:rsidR="007C37E3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femeninos; </w:t>
      </w:r>
      <w:r w:rsidRPr="000778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Se  ha dividid</w:t>
      </w: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o los grupos de edad en niñez-</w:t>
      </w:r>
      <w:r w:rsidRPr="000778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adolescencia y adultos.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De estos dos grupos poblacionales predomina niñez y adolescencia con </w:t>
      </w:r>
      <w:r w:rsidR="00173E8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19097 (59</w:t>
      </w:r>
      <w:r w:rsidR="003C7453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%) de usuarios, los</w:t>
      </w:r>
      <w:r w:rsidR="00173E8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adultos que representan 13096 (41</w:t>
      </w: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%)</w:t>
      </w:r>
      <w:r w:rsidR="003C7453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. D</w:t>
      </w:r>
      <w:r w:rsidR="00417C22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e la población adulta </w:t>
      </w:r>
      <w:r w:rsidR="00173E8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los mayores de 60 años son los más frecuentes y de estos predomina el sexo femenino con el 66%.</w:t>
      </w:r>
    </w:p>
    <w:p w14:paraId="48C45C00" w14:textId="77777777" w:rsidR="00F71045" w:rsidRDefault="00F71045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300A5367" w14:textId="77777777" w:rsidR="00F71045" w:rsidRDefault="00F71045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172E635F" w14:textId="77777777" w:rsidR="00F71045" w:rsidRDefault="00F71045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69A6FBE4" w14:textId="77777777" w:rsidR="00F71045" w:rsidRDefault="00F71045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7A6EE067" w14:textId="77777777" w:rsidR="00417C22" w:rsidRDefault="00417C22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</w:p>
    <w:p w14:paraId="01CB66E7" w14:textId="0097A3C8" w:rsidR="006E538D" w:rsidRPr="003C0381" w:rsidRDefault="003C0381" w:rsidP="00417C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r>
        <w:rPr>
          <w:noProof/>
          <w:lang w:eastAsia="es-SV"/>
        </w:rPr>
        <w:drawing>
          <wp:anchor distT="0" distB="0" distL="114300" distR="114300" simplePos="0" relativeHeight="251659776" behindDoc="0" locked="0" layoutInCell="1" allowOverlap="1" wp14:anchorId="28268CC1" wp14:editId="11F50A45">
            <wp:simplePos x="0" y="0"/>
            <wp:positionH relativeFrom="column">
              <wp:posOffset>-560705</wp:posOffset>
            </wp:positionH>
            <wp:positionV relativeFrom="paragraph">
              <wp:posOffset>94615</wp:posOffset>
            </wp:positionV>
            <wp:extent cx="2749550" cy="2499995"/>
            <wp:effectExtent l="0" t="0" r="12700" b="14605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C22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Así el grafico 3</w:t>
      </w:r>
      <w:r w:rsidR="00417C22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muestra que en niñez y adolescencia</w:t>
      </w:r>
      <w:r w:rsidR="006E538D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es más frecuente el sexo masculino con un 62%, el grupo </w:t>
      </w:r>
      <w:r w:rsidR="00417C22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de edad con mayor peso porcentual </w:t>
      </w:r>
      <w:r w:rsidR="006E538D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corresponde</w:t>
      </w:r>
      <w:r w:rsidR="00417C22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al de 1 a 4 años con </w:t>
      </w:r>
      <w:r w:rsidR="00417C22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35.5%</w:t>
      </w:r>
      <w:r w:rsidR="006E538D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c</w:t>
      </w:r>
      <w:r w:rsidR="00417C22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on predomini</w:t>
      </w:r>
      <w:r w:rsidR="006E538D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o del sexo masculino.</w:t>
      </w:r>
    </w:p>
    <w:p w14:paraId="310DD1B3" w14:textId="53D43FCE" w:rsidR="00E4768E" w:rsidRPr="006E538D" w:rsidRDefault="00E4768E" w:rsidP="006E538D">
      <w:pPr>
        <w:widowControl w:val="0"/>
        <w:spacing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 w:rsidRPr="00E4768E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Cabe observar que en </w:t>
      </w:r>
      <w:r w:rsidR="00C73D84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>los grupos de niñez y</w:t>
      </w:r>
      <w:r w:rsidR="007917C0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 adolescencia</w:t>
      </w:r>
      <w:r w:rsidRPr="00E4768E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>, la prevalencia de consulta y atención es mayor en niños que en niñas, mientras que en l</w:t>
      </w:r>
      <w:r w:rsidR="003C0381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>as edades adulta</w:t>
      </w:r>
      <w:r w:rsidRPr="00E4768E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, la </w:t>
      </w:r>
      <w:r w:rsidR="00C73D84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mayor </w:t>
      </w:r>
      <w:r w:rsidRPr="00E4768E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prevalencia es la atención en mujeres. Factores de riesgo y prácticas sociales inciden en este dato, como son la mayor fragilidad y morbilidad al nacer en niños que en niñas, y factores </w:t>
      </w:r>
      <w:r w:rsidR="006E538D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>genéticos y culturales como son la utilización de servicios de salud más frecuente en mujeres.</w:t>
      </w:r>
    </w:p>
    <w:p w14:paraId="7A329D76" w14:textId="77777777" w:rsidR="00E4768E" w:rsidRPr="00E4768E" w:rsidRDefault="00E4768E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</w:pPr>
    </w:p>
    <w:p w14:paraId="46D53375" w14:textId="0B4B0928" w:rsidR="00AB46E5" w:rsidRPr="00AB46E5" w:rsidRDefault="00D31FD0" w:rsidP="00AB46E5">
      <w:pPr>
        <w:pStyle w:val="Ttulo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br w:type="page"/>
      </w:r>
      <w:r w:rsidR="00AB46E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  <w:lastRenderedPageBreak/>
        <w:t>PROCEDENCIA.</w:t>
      </w:r>
    </w:p>
    <w:p w14:paraId="02CFA51E" w14:textId="7C23FA6C" w:rsidR="00E4768E" w:rsidRPr="00E4768E" w:rsidRDefault="00737372" w:rsidP="007373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  <w:t>Grafico 4,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 </w:t>
      </w:r>
      <w:r w:rsidR="00E4768E" w:rsidRPr="00E4768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PROCEDENCIA</w:t>
      </w:r>
      <w:r w:rsidR="002460B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 POR DEPARTAMENTO</w:t>
      </w:r>
    </w:p>
    <w:p w14:paraId="72FE1D14" w14:textId="3C5D9BB9" w:rsidR="00E4768E" w:rsidRPr="00E4768E" w:rsidRDefault="008A3388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Arial"/>
          <w:color w:val="4D4D4D"/>
          <w:kern w:val="28"/>
          <w:sz w:val="18"/>
          <w:szCs w:val="18"/>
          <w:lang w:val="es-ES" w:eastAsia="es-ES"/>
        </w:rPr>
      </w:pPr>
      <w:r w:rsidRPr="008A3388">
        <w:rPr>
          <w:noProof/>
          <w:sz w:val="20"/>
          <w:lang w:eastAsia="es-SV"/>
        </w:rPr>
        <w:drawing>
          <wp:inline distT="0" distB="0" distL="0" distR="0" wp14:anchorId="6E2BCC3D" wp14:editId="777A9BC7">
            <wp:extent cx="5676900" cy="32956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561ADEC" w14:textId="77777777" w:rsidR="00737372" w:rsidRDefault="00737372" w:rsidP="002460BA">
      <w:pPr>
        <w:widowControl w:val="0"/>
        <w:spacing w:after="0" w:line="240" w:lineRule="auto"/>
        <w:jc w:val="both"/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</w:pPr>
    </w:p>
    <w:p w14:paraId="317D3307" w14:textId="55F81076" w:rsidR="002460BA" w:rsidRPr="002460BA" w:rsidRDefault="002460BA" w:rsidP="002460BA">
      <w:pPr>
        <w:widowControl w:val="0"/>
        <w:spacing w:after="0" w:line="240" w:lineRule="auto"/>
        <w:jc w:val="both"/>
        <w:rPr>
          <w:rFonts w:ascii="Century Gothic" w:eastAsia="Times New Roman" w:hAnsi="Century Gothic" w:cs="Arial"/>
          <w:color w:val="4D4D4D"/>
          <w:kern w:val="28"/>
          <w:sz w:val="20"/>
          <w:szCs w:val="20"/>
          <w:lang w:eastAsia="es-ES"/>
        </w:rPr>
      </w:pPr>
      <w:r w:rsidRPr="002460BA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Los primeros cinco departamentos con mayor incidencia en cuanto a procedencia de la población que durante </w:t>
      </w:r>
      <w:r w:rsidR="00737372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>JUNIO 2018 A MAYO 2019</w:t>
      </w:r>
      <w:r w:rsidRPr="002460BA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 en</w:t>
      </w:r>
      <w:r w:rsidR="001111F8">
        <w:rPr>
          <w:rFonts w:ascii="Century Gothic" w:eastAsia="Times New Roman" w:hAnsi="Century Gothic" w:cs="Arial"/>
          <w:color w:val="4D4D4D"/>
          <w:kern w:val="28"/>
          <w:sz w:val="20"/>
          <w:szCs w:val="20"/>
          <w:lang w:val="es-ES" w:eastAsia="es-ES"/>
        </w:rPr>
        <w:t xml:space="preserve"> el ISRI, fue de San Salvador 42%, Santa Ana  14.8 %, San Miguel 13%, La Libertad 8.5%, La Paz 4%.</w:t>
      </w:r>
    </w:p>
    <w:p w14:paraId="3751F39C" w14:textId="77777777" w:rsidR="00E4768E" w:rsidRPr="002460BA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</w:pPr>
    </w:p>
    <w:p w14:paraId="5DFB8B66" w14:textId="5E5DDA03" w:rsidR="00E4768E" w:rsidRP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</w:pPr>
      <w:r w:rsidRPr="00E4768E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Del departamento de San Salvador, los municipios con mayor </w:t>
      </w:r>
      <w:r w:rsidR="00351DC2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índice en cuanto a </w:t>
      </w:r>
      <w:r w:rsidRPr="00E4768E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pro</w:t>
      </w:r>
      <w:r w:rsidR="00285E7C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cedencia fueron: San Salvador </w:t>
      </w:r>
      <w:r w:rsidR="00FB2370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29.8</w:t>
      </w:r>
      <w:r w:rsidR="00285E7C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%; Soyapango </w:t>
      </w:r>
      <w:r w:rsidR="002460BA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14</w:t>
      </w:r>
      <w:r w:rsidRPr="00E4768E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%, Mejicanos 8</w:t>
      </w:r>
      <w:r w:rsidR="00FB2370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.9</w:t>
      </w:r>
      <w:r w:rsidRPr="00E4768E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%, </w:t>
      </w:r>
      <w:r w:rsidR="00FB2370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Ciudad Delgado 6.8 %, </w:t>
      </w:r>
      <w:r w:rsidR="00285E7C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Apopa</w:t>
      </w:r>
      <w:r w:rsidR="007B65AF" w:rsidRPr="00E4768E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 </w:t>
      </w:r>
      <w:r w:rsidR="00FB2370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6.8 </w:t>
      </w:r>
      <w:r w:rsidR="007B65AF" w:rsidRPr="00E4768E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%</w:t>
      </w:r>
      <w:r w:rsidR="007B65AF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, </w:t>
      </w:r>
      <w:r w:rsidR="00FB2370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 xml:space="preserve"> e Ilopango con 5.4</w:t>
      </w:r>
      <w:r w:rsidR="007B65AF"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  <w:t>%.</w:t>
      </w:r>
    </w:p>
    <w:p w14:paraId="3F9775ED" w14:textId="77777777" w:rsidR="00E4768E" w:rsidRPr="00E4768E" w:rsidRDefault="00E4768E" w:rsidP="00E47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es-ES" w:eastAsia="es-ES"/>
        </w:rPr>
      </w:pPr>
    </w:p>
    <w:p w14:paraId="3093CC5B" w14:textId="54AB5714" w:rsidR="00B25CE4" w:rsidRDefault="00B25CE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br w:type="page"/>
      </w:r>
    </w:p>
    <w:p w14:paraId="4C388DF4" w14:textId="77777777" w:rsidR="00E4768E" w:rsidRPr="00E4768E" w:rsidRDefault="00E4768E" w:rsidP="00E47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</w:p>
    <w:p w14:paraId="31138EEF" w14:textId="523ADABC" w:rsidR="00E4768E" w:rsidRPr="00E4768E" w:rsidRDefault="00E4768E" w:rsidP="00AB46E5">
      <w:pPr>
        <w:pStyle w:val="Ttulo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E47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 xml:space="preserve">NIVEL EDUCATIVO Y </w:t>
      </w:r>
      <w:r w:rsidR="00E50009" w:rsidRPr="00E47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OCUPACIÓN</w:t>
      </w:r>
    </w:p>
    <w:tbl>
      <w:tblPr>
        <w:tblpPr w:leftFromText="141" w:rightFromText="141" w:vertAnchor="text" w:horzAnchor="margin" w:tblpXSpec="center" w:tblpY="2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0"/>
        <w:gridCol w:w="1296"/>
        <w:gridCol w:w="3519"/>
        <w:gridCol w:w="763"/>
      </w:tblGrid>
      <w:tr w:rsidR="00B25CE4" w:rsidRPr="00B25CE4" w14:paraId="4A39886F" w14:textId="77777777" w:rsidTr="003C0381">
        <w:trPr>
          <w:trHeight w:val="1019"/>
        </w:trPr>
        <w:tc>
          <w:tcPr>
            <w:tcW w:w="5000" w:type="pct"/>
            <w:gridSpan w:val="4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0998D9" w14:textId="3D33C228" w:rsidR="00B25CE4" w:rsidRPr="00B25CE4" w:rsidRDefault="003C0381" w:rsidP="00F35DE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B25CE4">
              <w:rPr>
                <w:rFonts w:ascii="Trebuchet MS" w:eastAsia="Times New Roman" w:hAnsi="Trebuchet MS" w:cs="Arial"/>
                <w:color w:val="000000" w:themeColor="dark1"/>
                <w:kern w:val="24"/>
                <w:szCs w:val="28"/>
                <w:lang w:eastAsia="es-SV"/>
              </w:rPr>
              <w:t>Reporte de población con o sin  discapacidad aten</w:t>
            </w:r>
            <w:r>
              <w:rPr>
                <w:rFonts w:ascii="Trebuchet MS" w:eastAsia="Times New Roman" w:hAnsi="Trebuchet MS" w:cs="Arial"/>
                <w:color w:val="000000" w:themeColor="dark1"/>
                <w:kern w:val="24"/>
                <w:szCs w:val="28"/>
                <w:lang w:eastAsia="es-SV"/>
              </w:rPr>
              <w:t>didas por primera vez en el ISRI</w:t>
            </w:r>
            <w:r w:rsidRPr="00B25CE4">
              <w:rPr>
                <w:rFonts w:ascii="Trebuchet MS" w:eastAsia="Times New Roman" w:hAnsi="Trebuchet MS" w:cs="Arial"/>
                <w:color w:val="000000" w:themeColor="dark1"/>
                <w:kern w:val="24"/>
                <w:szCs w:val="28"/>
                <w:lang w:eastAsia="es-SV"/>
              </w:rPr>
              <w:t xml:space="preserve"> en cada especialidad que comprende todos los grupos etarios provenientes de todo el país  con o sin referencia entre 01/junio/201</w:t>
            </w:r>
            <w:r>
              <w:rPr>
                <w:rFonts w:ascii="Trebuchet MS" w:eastAsia="Times New Roman" w:hAnsi="Trebuchet MS" w:cs="Arial"/>
                <w:color w:val="000000" w:themeColor="dark1"/>
                <w:kern w:val="24"/>
                <w:szCs w:val="28"/>
                <w:lang w:eastAsia="es-SV"/>
              </w:rPr>
              <w:t>8</w:t>
            </w:r>
            <w:r w:rsidRPr="00B25CE4">
              <w:rPr>
                <w:rFonts w:ascii="Trebuchet MS" w:eastAsia="Times New Roman" w:hAnsi="Trebuchet MS" w:cs="Arial"/>
                <w:color w:val="000000" w:themeColor="dark1"/>
                <w:kern w:val="24"/>
                <w:szCs w:val="28"/>
                <w:lang w:eastAsia="es-SV"/>
              </w:rPr>
              <w:t xml:space="preserve"> y  31/mayo/201</w:t>
            </w:r>
            <w:r>
              <w:rPr>
                <w:rFonts w:ascii="Trebuchet MS" w:eastAsia="Times New Roman" w:hAnsi="Trebuchet MS" w:cs="Arial"/>
                <w:color w:val="000000" w:themeColor="dark1"/>
                <w:kern w:val="24"/>
                <w:szCs w:val="28"/>
                <w:lang w:eastAsia="es-SV"/>
              </w:rPr>
              <w:t>9</w:t>
            </w:r>
          </w:p>
        </w:tc>
      </w:tr>
      <w:tr w:rsidR="00342586" w:rsidRPr="00B25CE4" w14:paraId="38551A04" w14:textId="77777777" w:rsidTr="003C0381">
        <w:trPr>
          <w:trHeight w:val="825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33EEBB" w14:textId="77777777" w:rsidR="00B25CE4" w:rsidRPr="00B25CE4" w:rsidRDefault="00B25CE4" w:rsidP="00F0429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B25CE4">
              <w:rPr>
                <w:rFonts w:eastAsiaTheme="minorEastAsia" w:hAnsi="Trebuchet MS"/>
                <w:color w:val="000000" w:themeColor="dark1"/>
                <w:kern w:val="24"/>
                <w:szCs w:val="36"/>
                <w:lang w:eastAsia="es-SV"/>
              </w:rPr>
              <w:t>ESCOLARIDAD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5A3EB3" w14:textId="77777777" w:rsidR="00B25CE4" w:rsidRPr="00B25CE4" w:rsidRDefault="00B25CE4" w:rsidP="00F0429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B25CE4">
              <w:rPr>
                <w:rFonts w:ascii="Trebuchet MS" w:eastAsia="Times New Roman" w:hAnsi="Trebuchet MS" w:cs="Arial"/>
                <w:color w:val="000000" w:themeColor="dark1"/>
                <w:kern w:val="24"/>
                <w:szCs w:val="36"/>
                <w:lang w:eastAsia="es-SV"/>
              </w:rPr>
              <w:t>Numero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240670" w14:textId="77777777" w:rsidR="00B25CE4" w:rsidRPr="00B25CE4" w:rsidRDefault="00B25CE4" w:rsidP="00F0429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B25CE4">
              <w:rPr>
                <w:rFonts w:ascii="Trebuchet MS" w:eastAsia="Times New Roman" w:hAnsi="Trebuchet MS" w:cs="Arial"/>
                <w:color w:val="000000" w:themeColor="dark1"/>
                <w:kern w:val="24"/>
                <w:szCs w:val="36"/>
                <w:lang w:eastAsia="es-SV"/>
              </w:rPr>
              <w:t>Porcentaje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17AD03" w14:textId="0EF2366B" w:rsidR="00B25CE4" w:rsidRPr="00B25CE4" w:rsidRDefault="00B25CE4" w:rsidP="00F0429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4A4B4C37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D3E1B2" w14:textId="2C26E20C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No corresponde (&lt;3años)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864620" w14:textId="5974C06F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3310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3D1902" w14:textId="08A251B1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F54455" w14:textId="7BD4E1C6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18FC7B7B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B7C3EE" w14:textId="19E7D0A4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Primaria incompleta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E45528" w14:textId="03E6A592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A3B541" w14:textId="5624A4C1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14.3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6D2A4D" w14:textId="0B2D7742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42B48C6E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19D74E" w14:textId="2DD54D51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Sin instrucción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6598F6" w14:textId="0CB05DB2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A9F619" w14:textId="56D15575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12.6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530A07" w14:textId="6A44E482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0CDA0C6C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7C224B" w14:textId="103F7512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Educación inicial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3C51EA" w14:textId="602C4B74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1F6076" w14:textId="37C83F13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C482C9" w14:textId="30E6525B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595287AC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1B55F1" w14:textId="2005CA3B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Bachillerato completo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BCB5B3" w14:textId="1FB0A2DB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9361E1" w14:textId="18288004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1EC404" w14:textId="6FFF3EA4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29295EAA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2BB07E" w14:textId="45CD7113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Primaria completa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1EB7E6" w14:textId="6400698B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81E280" w14:textId="64C3D133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DB0A5C" w14:textId="2E131D9A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4AA4900E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216152" w14:textId="0DDB6F82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Secundaria completa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9F5E28" w14:textId="20EFC5AC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EBF66D" w14:textId="473D70C3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59A1E5" w14:textId="2E6378E2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20CDC25A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3735F7" w14:textId="72BE0778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Universidad completa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1E0625" w14:textId="0CCB2EE7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DE82DF" w14:textId="1B1BBD83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F7F26" w14:textId="39214B12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423C8C27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A5BF9B" w14:textId="2994574A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Secundaria incompleta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B446AB" w14:textId="5DAD57EF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07F227" w14:textId="124207CF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E18874" w14:textId="4D49CAA1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787EFC20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D98EFC" w14:textId="115C5ED5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Bachillerato incompleto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4F12B7" w14:textId="26AEC20D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DE706" w14:textId="0A32530A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E4A446" w14:textId="22EF5B35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32BB4DC7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9B4AA4" w14:textId="1101BD5E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Universidad incompleta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8B4885" w14:textId="3EE85149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6A1970" w14:textId="47A85B02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5ED918" w14:textId="538AB620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48A3E9A0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39FE3" w14:textId="1681D46F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Superior técnico completo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39A413" w14:textId="51659C4D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585A39" w14:textId="20B8344B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8A1712" w14:textId="0B79DA78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5BEE3D12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68208" w14:textId="02774D0B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Sin Instruc. Pero Lee/Escribe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F73DC1" w14:textId="6387E667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08EE93" w14:textId="55BAEF8C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B578F5" w14:textId="5CBEF633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5580F5C9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A9D539" w14:textId="06C500FF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Educación especial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65C4F2" w14:textId="4071DA13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415E90" w14:textId="7F84A094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D5B4AC" w14:textId="24F7DCBE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6AEAF5BC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620EEA" w14:textId="4F29B2FD" w:rsidR="00376181" w:rsidRPr="00376181" w:rsidRDefault="00376181" w:rsidP="0037618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i/>
                <w:iCs/>
              </w:rPr>
              <w:t>Superior técnico incompleto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E2FA40" w14:textId="0FA53576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A761E3" w14:textId="1E113BFD" w:rsidR="00376181" w:rsidRP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 w:rsidRPr="00376181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630606" w14:textId="4F4742A7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  <w:tr w:rsidR="00376181" w:rsidRPr="00B25CE4" w14:paraId="7A2CF10A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BA9DAD" w14:textId="0DC46F53" w:rsidR="00376181" w:rsidRPr="00376181" w:rsidRDefault="00376181" w:rsidP="00376181">
            <w:pPr>
              <w:spacing w:after="0" w:line="240" w:lineRule="auto"/>
              <w:textAlignment w:val="bottom"/>
            </w:pPr>
            <w:r w:rsidRPr="00376181">
              <w:rPr>
                <w:i/>
                <w:iCs/>
              </w:rPr>
              <w:t>Sin información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3FF5C0" w14:textId="50009F72" w:rsidR="00376181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C3A2EA" w14:textId="163713E2" w:rsidR="00376181" w:rsidRPr="00376181" w:rsidRDefault="00376181" w:rsidP="00376181">
            <w:pPr>
              <w:spacing w:after="0" w:line="240" w:lineRule="auto"/>
              <w:jc w:val="center"/>
              <w:textAlignment w:val="bottom"/>
            </w:pPr>
            <w:r w:rsidRPr="00376181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4DAE84" w14:textId="77777777" w:rsidR="00376181" w:rsidRPr="00B25CE4" w:rsidRDefault="00376181" w:rsidP="00376181">
            <w:pPr>
              <w:spacing w:after="0" w:line="240" w:lineRule="auto"/>
              <w:jc w:val="center"/>
              <w:textAlignment w:val="bottom"/>
              <w:rPr>
                <w:rFonts w:ascii="Trebuchet MS" w:eastAsia="Times New Roman" w:hAnsi="Trebuchet MS" w:cs="Arial"/>
                <w:color w:val="000000" w:themeColor="dark1"/>
                <w:kern w:val="24"/>
                <w:szCs w:val="28"/>
                <w:lang w:eastAsia="es-SV"/>
              </w:rPr>
            </w:pPr>
          </w:p>
        </w:tc>
      </w:tr>
      <w:tr w:rsidR="00E50009" w:rsidRPr="00B25CE4" w14:paraId="107D3734" w14:textId="77777777" w:rsidTr="003C0381">
        <w:trPr>
          <w:trHeight w:val="488"/>
        </w:trPr>
        <w:tc>
          <w:tcPr>
            <w:tcW w:w="184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21A2B" w14:textId="2B29B7D6" w:rsidR="00E50009" w:rsidRPr="00B25CE4" w:rsidRDefault="00E50009" w:rsidP="00F0429C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  <w:r>
              <w:rPr>
                <w:rFonts w:ascii="Arial" w:eastAsia="Times New Roman" w:hAnsi="Arial" w:cs="Arial"/>
                <w:szCs w:val="36"/>
                <w:lang w:eastAsia="es-SV"/>
              </w:rPr>
              <w:t>Total</w:t>
            </w:r>
          </w:p>
        </w:tc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12BA9D" w14:textId="42F1BF5E" w:rsidR="00E50009" w:rsidRPr="00B25CE4" w:rsidRDefault="00E50009" w:rsidP="00F0429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  <w:tc>
          <w:tcPr>
            <w:tcW w:w="1993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8DEE74" w14:textId="478A9959" w:rsidR="00E50009" w:rsidRPr="00B25CE4" w:rsidRDefault="00E50009" w:rsidP="00F0429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  <w:tc>
          <w:tcPr>
            <w:tcW w:w="43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01B4AD" w14:textId="3F27CFF0" w:rsidR="00E50009" w:rsidRPr="00B25CE4" w:rsidRDefault="00E50009" w:rsidP="00F0429C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s-SV"/>
              </w:rPr>
            </w:pPr>
          </w:p>
        </w:tc>
      </w:tr>
    </w:tbl>
    <w:p w14:paraId="565F326D" w14:textId="77777777" w:rsidR="00E4768E" w:rsidRPr="00E4768E" w:rsidRDefault="00E4768E" w:rsidP="00E4768E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</w:pPr>
    </w:p>
    <w:p w14:paraId="6A948ACC" w14:textId="77777777" w:rsidR="007B4FFC" w:rsidRDefault="007B4FFC" w:rsidP="00E4768E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</w:pPr>
    </w:p>
    <w:p w14:paraId="2704E1FD" w14:textId="391816E1" w:rsidR="00B25CE4" w:rsidRPr="00B25CE4" w:rsidRDefault="00B25CE4" w:rsidP="00B25CE4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</w:pP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De la población atendida, incluyendo todos los rangos de edad, los mayores porcentajes se encuentran en los menores de 3 años (</w:t>
      </w:r>
      <w:r w:rsidR="00376181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4135) 35</w:t>
      </w: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%, a quienes no les es aplicable esta variable.</w:t>
      </w:r>
    </w:p>
    <w:p w14:paraId="015E699A" w14:textId="0CC9522F" w:rsidR="00B25CE4" w:rsidRPr="00B25CE4" w:rsidRDefault="00B25CE4" w:rsidP="00B25CE4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</w:pP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lastRenderedPageBreak/>
        <w:t>Por orden de frecuencia la escolaridad de nuestros usuarios muestra el siguiente comportamiento: primaria incompleta (</w:t>
      </w:r>
      <w:r w:rsidR="00376181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1350</w:t>
      </w: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) 14%, en segundo lugar aquellos que no han tenido ninguna instrucción (</w:t>
      </w:r>
      <w:r w:rsidR="00376181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1189) 12.6</w:t>
      </w: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%, y en tercer lugar los que han tenido solo educación inicial (</w:t>
      </w:r>
      <w:r w:rsidR="00376181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819</w:t>
      </w: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) </w:t>
      </w:r>
      <w:r w:rsidR="00E50009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8</w:t>
      </w:r>
      <w:r w:rsidR="00376181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.7</w:t>
      </w: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%, denotando que el mayor peso de la población ha tenido poca o ninguna instrucción  al momento de su inscripción de </w:t>
      </w:r>
      <w:r w:rsidR="00376181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JUNIO 2018 A MAYO 2019</w:t>
      </w:r>
      <w:r w:rsidRPr="00B25CE4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.</w:t>
      </w:r>
    </w:p>
    <w:p w14:paraId="5F9D9E5B" w14:textId="77777777" w:rsidR="007B4FFC" w:rsidRPr="00B25CE4" w:rsidRDefault="007B4FFC" w:rsidP="00E4768E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10"/>
        <w:gridCol w:w="1419"/>
        <w:gridCol w:w="1850"/>
        <w:gridCol w:w="49"/>
      </w:tblGrid>
      <w:tr w:rsidR="00A35F76" w:rsidRPr="00B25CE4" w14:paraId="0638AF2C" w14:textId="77777777" w:rsidTr="003C0381">
        <w:trPr>
          <w:trHeight w:val="427"/>
        </w:trPr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6607D1" w14:textId="40863EC7" w:rsidR="00A35F76" w:rsidRDefault="003C0381" w:rsidP="00F35D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 w:rsidRPr="00B25CE4"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  <w:t>Reporte de población con o sin  discapacidad aten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  <w:t>didas por primera vez en el ISRI</w:t>
            </w:r>
            <w:r w:rsidRPr="00B25CE4"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  <w:t xml:space="preserve"> en cada especialidad que comprende todos los grupos etarios provenientes de todo el país  con o sin referencia entre 01/junio/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  <w:t>2018</w:t>
            </w:r>
            <w:r w:rsidRPr="00B25CE4"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  <w:t xml:space="preserve"> y  31/mayo/201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  <w:t>9</w:t>
            </w:r>
          </w:p>
          <w:p w14:paraId="71668CE9" w14:textId="4FE0493A" w:rsidR="00F35DE1" w:rsidRPr="00B25CE4" w:rsidRDefault="00F35DE1" w:rsidP="00F35DE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A35F76" w:rsidRPr="00B25CE4" w14:paraId="4D90BBAB" w14:textId="77777777" w:rsidTr="003C0381">
        <w:trPr>
          <w:trHeight w:val="427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248A02" w14:textId="28FA516B" w:rsidR="00B25CE4" w:rsidRPr="00F0429C" w:rsidRDefault="00F35DE1" w:rsidP="00F0429C">
            <w:pPr>
              <w:spacing w:after="0" w:line="240" w:lineRule="auto"/>
              <w:jc w:val="center"/>
            </w:pPr>
            <w:r w:rsidRPr="00F0429C">
              <w:t>OCUPACIÓN</w:t>
            </w:r>
            <w:r w:rsidR="00B25CE4" w:rsidRPr="00F0429C">
              <w:t xml:space="preserve"> U OFICIO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CF4797" w14:textId="77777777" w:rsidR="00B25CE4" w:rsidRPr="00F0429C" w:rsidRDefault="00B25CE4" w:rsidP="00F0429C">
            <w:pPr>
              <w:spacing w:after="0" w:line="240" w:lineRule="auto"/>
              <w:jc w:val="center"/>
            </w:pPr>
            <w:r w:rsidRPr="00F0429C">
              <w:t>Numero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FA5608" w14:textId="77777777" w:rsidR="00B25CE4" w:rsidRPr="00F0429C" w:rsidRDefault="00B25CE4" w:rsidP="00F0429C">
            <w:pPr>
              <w:spacing w:after="0" w:line="240" w:lineRule="auto"/>
              <w:jc w:val="center"/>
            </w:pPr>
            <w:r w:rsidRPr="00F0429C">
              <w:t>Porcentaje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C33338" w14:textId="089C59E4" w:rsidR="00B25CE4" w:rsidRPr="00F0429C" w:rsidRDefault="00B25CE4" w:rsidP="00F0429C">
            <w:pPr>
              <w:spacing w:after="0" w:line="240" w:lineRule="auto"/>
              <w:jc w:val="center"/>
            </w:pPr>
          </w:p>
        </w:tc>
      </w:tr>
      <w:tr w:rsidR="00003BF6" w:rsidRPr="00B25CE4" w14:paraId="4DB3607D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92901D" w14:textId="59CE5D5A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No corresponde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AF623B" w14:textId="143E4E00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584608" w14:textId="4A63149E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38.8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835727" w14:textId="12194C05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4866156C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8975C5" w14:textId="5CE024C7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Estudiante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780904" w14:textId="35430E32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FEC16F" w14:textId="561AD6A0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4F9724" w14:textId="52AE3E69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2FACD92E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0A5CE" w14:textId="1DEFD364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Ama de casa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F593F3" w14:textId="688476D8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398907" w14:textId="5EA8A12C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14.6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4A8A69" w14:textId="5B989BC2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36DECF98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147715" w14:textId="148D68CA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Ninguna actividad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290B0A" w14:textId="3CD01EC6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995121" w14:textId="063C0827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A384E" w14:textId="2F9A1AE7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5C5193DE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CECA18" w14:textId="0FF9CF79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Profesionales/Técnicos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2BC652" w14:textId="173977C3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641C31" w14:textId="48117A9D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9A6CED" w14:textId="76772F59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6AB88CEB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A28856" w14:textId="7D99105F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Otros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55192B" w14:textId="12B4218D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B35CDC" w14:textId="6199A696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FE66BE" w14:textId="392F9F53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55E871F5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0303FD" w14:textId="74160E49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Comerciantes y Vendedores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BCDAFA" w14:textId="2377CA0F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296909" w14:textId="5E98A241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F4B4B" w14:textId="7B792431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58D9DFF0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68ABA1" w14:textId="0D2EF771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Obreros No Agrícolas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8D2158" w14:textId="458F5EE4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450F5A" w14:textId="209588AF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6AB621" w14:textId="6B50B2BE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142E9EA0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70CCC2" w14:textId="5DD75356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Trabajadores de los servicios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6C0EC3" w14:textId="28382892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7F11FA" w14:textId="23A958B9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E17411" w14:textId="514EB695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5FA038B7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8809B5" w14:textId="27B48987" w:rsidR="00003BF6" w:rsidRPr="00003BF6" w:rsidRDefault="003C0381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Trabajad. Agrícolas</w:t>
            </w:r>
            <w:r w:rsidR="00003BF6" w:rsidRPr="00003BF6">
              <w:rPr>
                <w:i/>
                <w:iCs/>
              </w:rPr>
              <w:t>, Forestales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E95DB1" w14:textId="0D79376B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BC0938" w14:textId="32BD7F0F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BA92D8" w14:textId="5C0E0142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02FBE81F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ACB2ED" w14:textId="594A65BD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Conduct.Maqu/Vehíc.Transporte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58FDE6" w14:textId="7E4FB732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112531" w14:textId="2AC031BA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CC8AF7" w14:textId="0E82D9A6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3101B5A1" w14:textId="77777777" w:rsidTr="003C0381">
        <w:trPr>
          <w:trHeight w:val="528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49E31" w14:textId="162DEBAA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Personal Administrativo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3588BB" w14:textId="5333E343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CB50FD" w14:textId="2A4066CB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EED8D8" w14:textId="71312F54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  <w:tr w:rsidR="00003BF6" w:rsidRPr="00B25CE4" w14:paraId="7274C07F" w14:textId="77777777" w:rsidTr="003C0381">
        <w:trPr>
          <w:trHeight w:val="502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A1AF31" w14:textId="7AB690BA" w:rsidR="00003BF6" w:rsidRPr="00003BF6" w:rsidRDefault="00003BF6" w:rsidP="00003BF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03BF6">
              <w:rPr>
                <w:i/>
                <w:iCs/>
              </w:rPr>
              <w:t>Directores/Funcionarios Públicos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CAAC24" w14:textId="08A262FA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3AA38B" w14:textId="5730AE15" w:rsidR="00003BF6" w:rsidRPr="00056936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eastAsia="es-ES"/>
              </w:rPr>
            </w:pPr>
            <w:r w:rsidRPr="0005693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A0C365" w14:textId="407EAEB6" w:rsidR="00003BF6" w:rsidRPr="00B25CE4" w:rsidRDefault="00003BF6" w:rsidP="00003B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4"/>
                <w:lang w:eastAsia="es-ES"/>
              </w:rPr>
            </w:pPr>
          </w:p>
        </w:tc>
      </w:tr>
    </w:tbl>
    <w:p w14:paraId="3CD0F8A1" w14:textId="77777777" w:rsidR="007B4FFC" w:rsidRPr="00E4768E" w:rsidRDefault="007B4FFC" w:rsidP="00E4768E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val="es-ES" w:eastAsia="es-ES"/>
        </w:rPr>
      </w:pPr>
    </w:p>
    <w:p w14:paraId="540CC26E" w14:textId="77777777" w:rsidR="003C0381" w:rsidRDefault="00A35F76" w:rsidP="00A35F7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</w:pPr>
      <w:r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La ocupación entre las edades de 19 a </w:t>
      </w:r>
      <w:r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60 años, el </w:t>
      </w:r>
      <w:r w:rsidR="00023D77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18</w:t>
      </w:r>
      <w:r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% es estudiante, </w:t>
      </w:r>
      <w:r w:rsidR="00023D77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14.8</w:t>
      </w:r>
      <w:r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% ama de casa, </w:t>
      </w:r>
      <w:r w:rsidR="00C14FBF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1</w:t>
      </w:r>
      <w:r w:rsidR="00023D77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0.6 </w:t>
      </w:r>
      <w:r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% no realizan ninguna actividad, </w:t>
      </w:r>
      <w:r w:rsidR="00023D77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3.9</w:t>
      </w:r>
      <w:r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% profesionales/Técnicos, </w:t>
      </w:r>
      <w:r w:rsidR="00023D77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3.3</w:t>
      </w:r>
      <w:r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% otras actividades, </w:t>
      </w:r>
      <w:r w:rsidR="00023D77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3.2</w:t>
      </w:r>
      <w:r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% Comerciantes y vendedores, </w:t>
      </w:r>
      <w:r w:rsidR="00023D77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1.9</w:t>
      </w:r>
      <w:r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% Trabajadores de los Servicios.</w:t>
      </w:r>
    </w:p>
    <w:p w14:paraId="787BA48F" w14:textId="11DAB564" w:rsidR="00A35F76" w:rsidRPr="00023D77" w:rsidRDefault="00023D77" w:rsidP="00A35F76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>El</w:t>
      </w:r>
      <w:r w:rsidR="00A35F76" w:rsidRPr="00A35F76"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  <w:t xml:space="preserve"> </w:t>
      </w:r>
      <w:r w:rsidRPr="00023D77">
        <w:rPr>
          <w:rFonts w:ascii="Century Gothic" w:eastAsia="Times New Roman" w:hAnsi="Century Gothic" w:cs="Times New Roman"/>
          <w:bCs/>
          <w:color w:val="000000"/>
          <w:sz w:val="20"/>
          <w:szCs w:val="24"/>
          <w:lang w:eastAsia="es-ES"/>
        </w:rPr>
        <w:t>8</w:t>
      </w:r>
      <w:r w:rsidR="00E50009" w:rsidRPr="00023D77">
        <w:rPr>
          <w:rFonts w:ascii="Century Gothic" w:eastAsia="Times New Roman" w:hAnsi="Century Gothic" w:cs="Times New Roman"/>
          <w:bCs/>
          <w:color w:val="000000"/>
          <w:sz w:val="20"/>
          <w:szCs w:val="24"/>
          <w:lang w:eastAsia="es-ES"/>
        </w:rPr>
        <w:t>2</w:t>
      </w:r>
      <w:r w:rsidR="00A35F76" w:rsidRPr="00023D77">
        <w:rPr>
          <w:rFonts w:ascii="Century Gothic" w:eastAsia="Times New Roman" w:hAnsi="Century Gothic" w:cs="Times New Roman"/>
          <w:bCs/>
          <w:color w:val="000000"/>
          <w:sz w:val="20"/>
          <w:szCs w:val="24"/>
          <w:lang w:eastAsia="es-ES"/>
        </w:rPr>
        <w:t>% de la población económicamente activa atendida</w:t>
      </w:r>
      <w:r w:rsidR="003C0381">
        <w:rPr>
          <w:rFonts w:ascii="Century Gothic" w:eastAsia="Times New Roman" w:hAnsi="Century Gothic" w:cs="Times New Roman"/>
          <w:bCs/>
          <w:color w:val="000000"/>
          <w:sz w:val="20"/>
          <w:szCs w:val="24"/>
          <w:lang w:eastAsia="es-ES"/>
        </w:rPr>
        <w:t xml:space="preserve"> EN ISRI</w:t>
      </w:r>
      <w:r w:rsidR="00A35F76" w:rsidRPr="00023D77">
        <w:rPr>
          <w:rFonts w:ascii="Century Gothic" w:eastAsia="Times New Roman" w:hAnsi="Century Gothic" w:cs="Times New Roman"/>
          <w:bCs/>
          <w:color w:val="000000"/>
          <w:sz w:val="20"/>
          <w:szCs w:val="24"/>
          <w:lang w:eastAsia="es-ES"/>
        </w:rPr>
        <w:t xml:space="preserve"> </w:t>
      </w:r>
      <w:r w:rsidR="003C0381">
        <w:rPr>
          <w:rFonts w:ascii="Century Gothic" w:eastAsia="Times New Roman" w:hAnsi="Century Gothic" w:cs="Times New Roman"/>
          <w:bCs/>
          <w:color w:val="000000"/>
          <w:sz w:val="20"/>
          <w:szCs w:val="24"/>
          <w:lang w:eastAsia="es-ES"/>
        </w:rPr>
        <w:t xml:space="preserve">aun estudia, </w:t>
      </w:r>
      <w:r w:rsidR="00A35F76" w:rsidRPr="00023D77">
        <w:rPr>
          <w:rFonts w:ascii="Century Gothic" w:eastAsia="Times New Roman" w:hAnsi="Century Gothic" w:cs="Times New Roman"/>
          <w:bCs/>
          <w:color w:val="000000"/>
          <w:sz w:val="20"/>
          <w:szCs w:val="24"/>
          <w:lang w:eastAsia="es-ES"/>
        </w:rPr>
        <w:t>no posee empleo o no realiza ninguna actividad.</w:t>
      </w:r>
    </w:p>
    <w:p w14:paraId="65FCA760" w14:textId="52A8795A" w:rsidR="00E4768E" w:rsidRPr="00A35F76" w:rsidRDefault="00E4768E" w:rsidP="00E4768E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4"/>
          <w:lang w:eastAsia="es-ES"/>
        </w:rPr>
      </w:pPr>
    </w:p>
    <w:p w14:paraId="4D258A73" w14:textId="77777777" w:rsidR="00F0429C" w:rsidRDefault="00F0429C" w:rsidP="00E476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66CC"/>
          <w:sz w:val="32"/>
          <w:szCs w:val="24"/>
          <w:lang w:val="es-ES" w:eastAsia="es-ES"/>
        </w:rPr>
      </w:pPr>
    </w:p>
    <w:p w14:paraId="343D3E49" w14:textId="77777777" w:rsidR="00F0429C" w:rsidRDefault="00F0429C" w:rsidP="00E476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66CC"/>
          <w:sz w:val="32"/>
          <w:szCs w:val="24"/>
          <w:lang w:val="es-ES" w:eastAsia="es-ES"/>
        </w:rPr>
      </w:pPr>
    </w:p>
    <w:p w14:paraId="2C8B4E90" w14:textId="77777777" w:rsidR="00F0429C" w:rsidRDefault="00F0429C" w:rsidP="00E476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66CC"/>
          <w:sz w:val="32"/>
          <w:szCs w:val="24"/>
          <w:lang w:val="es-ES" w:eastAsia="es-ES"/>
        </w:rPr>
      </w:pPr>
    </w:p>
    <w:p w14:paraId="7751AE32" w14:textId="77777777" w:rsidR="00F0429C" w:rsidRDefault="00F0429C" w:rsidP="00E4768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66CC"/>
          <w:sz w:val="32"/>
          <w:szCs w:val="24"/>
          <w:lang w:val="es-ES" w:eastAsia="es-ES"/>
        </w:rPr>
      </w:pPr>
    </w:p>
    <w:p w14:paraId="2E1299F7" w14:textId="51FDBFDE" w:rsidR="00E4768E" w:rsidRPr="00A64526" w:rsidRDefault="00E4768E" w:rsidP="00AB46E5">
      <w:pPr>
        <w:pStyle w:val="Ttulo1"/>
        <w:rPr>
          <w:rFonts w:ascii="Times New Roman" w:eastAsia="Times New Roman" w:hAnsi="Times New Roman" w:cs="Times New Roman"/>
          <w:color w:val="auto"/>
          <w:szCs w:val="24"/>
          <w:lang w:val="es-ES" w:eastAsia="es-ES"/>
        </w:rPr>
      </w:pPr>
      <w:r w:rsidRPr="00A64526">
        <w:rPr>
          <w:rFonts w:ascii="Times New Roman" w:eastAsia="Times New Roman" w:hAnsi="Times New Roman" w:cs="Times New Roman"/>
          <w:color w:val="auto"/>
          <w:szCs w:val="24"/>
          <w:lang w:val="es-ES" w:eastAsia="es-ES"/>
        </w:rPr>
        <w:t>PERFIL EPIDEMIOLÓGICO</w:t>
      </w:r>
    </w:p>
    <w:p w14:paraId="06772C09" w14:textId="77777777" w:rsidR="00C76C47" w:rsidRPr="00E4768E" w:rsidRDefault="00C76C47" w:rsidP="00E4768E">
      <w:pPr>
        <w:widowControl w:val="0"/>
        <w:spacing w:after="0" w:line="240" w:lineRule="auto"/>
        <w:rPr>
          <w:rFonts w:ascii="Century Gothic" w:eastAsia="Times New Roman" w:hAnsi="Century Gothic" w:cs="Times New Roman"/>
          <w:sz w:val="24"/>
          <w:szCs w:val="18"/>
          <w:lang w:val="es-ES" w:eastAsia="es-ES"/>
        </w:rPr>
      </w:pPr>
    </w:p>
    <w:p w14:paraId="1AA951C1" w14:textId="5A7677A4" w:rsid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La incidencia por discapacidades atendidas </w:t>
      </w:r>
      <w:r w:rsidR="005E3132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en el Instituto de </w:t>
      </w:r>
      <w:r w:rsidR="00C14FBF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junio de </w:t>
      </w:r>
      <w:r w:rsidR="00056936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2018</w:t>
      </w:r>
      <w:r w:rsidR="00C14FBF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a mayo de 201</w:t>
      </w:r>
      <w:r w:rsidR="00056936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9 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fue de </w:t>
      </w:r>
      <w:r w:rsidR="000B188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10,411</w:t>
      </w:r>
      <w:r w:rsidR="00C76C4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</w:t>
      </w:r>
      <w:r w:rsidR="00C14FBF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casos, de lo</w:t>
      </w:r>
      <w:r w:rsidR="00133D2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s cuales el </w:t>
      </w:r>
      <w:r w:rsidR="000B188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4</w:t>
      </w:r>
      <w:r w:rsidR="00C76C4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4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 corresponde a las Fu</w:t>
      </w:r>
      <w:r w:rsidR="000B188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nciones Mentales, el 33</w:t>
      </w:r>
      <w:r w:rsidR="003C699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.7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a las Funciones</w:t>
      </w:r>
      <w:r w:rsidR="003C699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m</w:t>
      </w:r>
      <w:r w:rsidR="003C6997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usculares</w:t>
      </w:r>
      <w:r w:rsidR="003C699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y relacionadas al movimiento,  el 15.6 %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</w:t>
      </w:r>
      <w:r w:rsidR="003C699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</w:t>
      </w:r>
      <w:r w:rsidR="003C6997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a las Funciones </w:t>
      </w:r>
      <w:r w:rsidR="003C699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Sensoriales y de dolor y el 5.4 </w:t>
      </w: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a las </w:t>
      </w:r>
      <w:r w:rsidR="003C6997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Funciones de la Voz y el Habla.</w:t>
      </w:r>
    </w:p>
    <w:p w14:paraId="064FCBE9" w14:textId="66A6BEAE" w:rsidR="000B1887" w:rsidRPr="00E4768E" w:rsidRDefault="003C6997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>
        <w:rPr>
          <w:noProof/>
          <w:lang w:eastAsia="es-SV"/>
        </w:rPr>
        <w:drawing>
          <wp:inline distT="0" distB="0" distL="0" distR="0" wp14:anchorId="25EE136C" wp14:editId="08622092">
            <wp:extent cx="5612130" cy="3665220"/>
            <wp:effectExtent l="0" t="0" r="7620" b="1143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EA1F66" w14:textId="4688D3EE" w:rsidR="00E4768E" w:rsidRP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strike/>
          <w:color w:val="4D4D4D"/>
          <w:kern w:val="28"/>
          <w:sz w:val="20"/>
          <w:szCs w:val="20"/>
          <w:lang w:val="es-ES" w:eastAsia="es-ES"/>
        </w:rPr>
      </w:pPr>
    </w:p>
    <w:p w14:paraId="5EC34FB7" w14:textId="5DC5FB67" w:rsidR="00E4768E" w:rsidRPr="000B1887" w:rsidRDefault="000B1887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</w:pPr>
      <w:r w:rsidRPr="000B1887"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  <w:t xml:space="preserve">Fuente: </w:t>
      </w:r>
      <w:r w:rsidR="006D604C"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  <w:t xml:space="preserve">Construcción propia con datos del </w:t>
      </w:r>
      <w:r w:rsidRPr="000B1887"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  <w:t>Sistema Epidemiológica del ISRI  ( epi2008 )</w:t>
      </w:r>
      <w:r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  <w:t>,</w:t>
      </w:r>
      <w:r w:rsidRPr="000B1887">
        <w:t xml:space="preserve"> </w:t>
      </w:r>
      <w:r w:rsidRPr="000B1887">
        <w:rPr>
          <w:rFonts w:ascii="Century Gothic" w:eastAsia="Times New Roman" w:hAnsi="Century Gothic" w:cs="Century Gothic"/>
          <w:i/>
          <w:color w:val="4D4D4D"/>
          <w:kern w:val="28"/>
          <w:sz w:val="16"/>
          <w:szCs w:val="20"/>
          <w:lang w:val="es-ES" w:eastAsia="es-ES"/>
        </w:rPr>
        <w:t>INCLUYE: Todos los  Diagnósticos  por Todas las Causas  que Generan Discapacidad Relacionada a Todas las Funciones</w:t>
      </w:r>
    </w:p>
    <w:p w14:paraId="05D5FA26" w14:textId="21657652" w:rsidR="00E4768E" w:rsidRP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i/>
          <w:iCs/>
          <w:color w:val="4D4D4D"/>
          <w:kern w:val="28"/>
          <w:sz w:val="20"/>
          <w:szCs w:val="20"/>
          <w:u w:val="single"/>
          <w:lang w:val="es-ES" w:eastAsia="es-ES"/>
        </w:rPr>
      </w:pPr>
    </w:p>
    <w:p w14:paraId="2EAD7A47" w14:textId="4C6D59A4" w:rsidR="009A66B3" w:rsidRDefault="009A66B3" w:rsidP="00DC6871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5038C0CC" w14:textId="5261D5E4" w:rsidR="009A66B3" w:rsidRDefault="009A66B3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2C492522" w14:textId="77777777" w:rsidR="009A66B3" w:rsidRDefault="009A66B3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0D2246B9" w14:textId="77777777" w:rsidR="009A66B3" w:rsidRDefault="009A66B3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76FFD19D" w14:textId="77777777" w:rsidR="009A66B3" w:rsidRPr="00E4768E" w:rsidRDefault="009A66B3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33F5072F" w14:textId="77777777" w:rsidR="00D95359" w:rsidRDefault="00D95359">
      <w:pPr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5A216379" w14:textId="77777777" w:rsidR="00D95359" w:rsidRDefault="00D95359">
      <w:pPr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4DF20B26" w14:textId="77777777" w:rsidR="00D95359" w:rsidRDefault="00D95359">
      <w:pPr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59A283C0" w14:textId="77777777" w:rsidR="00D95359" w:rsidRDefault="00D95359">
      <w:pPr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4AA53983" w14:textId="77777777" w:rsidR="00D95359" w:rsidRDefault="00D95359">
      <w:pPr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3F9C2B7C" w14:textId="77777777" w:rsidR="00D95359" w:rsidRDefault="00D95359">
      <w:pPr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653D062B" w14:textId="77777777" w:rsidR="00D95359" w:rsidRDefault="00D95359">
      <w:pPr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699A87BA" w14:textId="6478DFC2" w:rsidR="00C76C47" w:rsidRDefault="00F35DE1" w:rsidP="00D26323">
      <w:pPr>
        <w:rPr>
          <w:lang w:eastAsia="es-SV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E61101" wp14:editId="6DD00F1C">
                <wp:simplePos x="0" y="0"/>
                <wp:positionH relativeFrom="column">
                  <wp:posOffset>-387985</wp:posOffset>
                </wp:positionH>
                <wp:positionV relativeFrom="paragraph">
                  <wp:posOffset>-459105</wp:posOffset>
                </wp:positionV>
                <wp:extent cx="6802755" cy="307239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30723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71A976" w14:textId="561CE0FF" w:rsidR="00BF5BB9" w:rsidRPr="00982D9D" w:rsidRDefault="00BF5BB9" w:rsidP="00DC6871">
                            <w:pPr>
                              <w:pStyle w:val="Descripcin"/>
                              <w:jc w:val="center"/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82D9D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Grafico 6 PRINCIPALES DIAGNÓSTICOS RELACIONADOS CON DISCAPACIDAD ATENDIDOS EN EL PERIODO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JUNIO 2018 A MAYO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61101"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margin-left:-30.55pt;margin-top:-36.15pt;width:535.65pt;height:24.2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NGOQIAAHcEAAAOAAAAZHJzL2Uyb0RvYy54bWysVE1v2zAMvQ/YfxB0X+yk6FcQp8hSZBgQ&#10;tAXSoWdFlmIBsqhRSuzs14/yR7t1Ow27KBT59Gg+klnctbVlJ4XBgCv4dJJzppyE0rhDwb89bz7d&#10;cBaicKWw4FTBzyrwu+XHD4vGz9UMKrClQkYkLswbX/AqRj/PsiArVYswAa8cBTVgLSJd8ZCVKBpi&#10;r202y/OrrAEsPYJUIZD3vg/yZcevtZLxUeugIrMFp2+L3YnduU9ntlyI+QGFr4wcPkP8w1fUwjhK&#10;+kp1L6JgRzR/UNVGIgTQcSKhzkBrI1VXA1Uzzd9Vs6uEV10tJE7wrzKF/0crH05PyExJvSN5nKip&#10;R9OcrY+iRGClYlG1EZJMjQ9zQu884WP7GVoCjv5AzlR9q7FOv1QXozgxnl9FJh4myXl1k8+uLy85&#10;kxS7yK9nF7eJJnt77THELwpqloyCIzWx01actiH20BGSkgWwptwYa9MlBdYW2UlQw5vKRDWQ/4ay&#10;LmEdpFc9Ye9R3cQMWVLBfWHJiu2+HVTYQ3kmERD6aQpebgyl3YoQnwTS+FDdtBLxkQ5toSk4DBZn&#10;FeCPv/kTnrpKUc4aGseCh+9HgYoz+9VRv9PsjgaOxn403LFeAxU8pWXzsjPpAUY7mhqhfqFNWaUs&#10;FBJOUq6Cx9Fcx34paNOkWq06EE2oF3Hrdl4m6lHe5/ZFoB+ak8bjAcZBFfN3PeqxvdirYwRtugYm&#10;QXsVqfHpQtPdjcCwiWl9fr13qLf/i+VPAAAA//8DAFBLAwQUAAYACAAAACEAM0n6eOEAAAAMAQAA&#10;DwAAAGRycy9kb3ducmV2LnhtbEyPPU/DMBCGdyT+g3VILKi140oB0jgVtLDRoaXq7MZuEhGfo9hp&#10;0n/PdYLtPh6991y+mlzLLrYPjUcFyVwAs1h602Cl4PD9OXsBFqJGo1uPVsHVBlgV93e5zowfcWcv&#10;+1gxCsGQaQV1jF3GeShr63SY+84i7c6+dzpS21fc9HqkcNdyKUTKnW6QLtS6s+valj/7wSlIN/0w&#10;7nD9tDl8fOltV8nj+/Wo1OPD9LYEFu0U/2C46ZM6FOR08gOawFoFszRJCKXiWS6A3QiRCAnsRCO5&#10;eAVe5Pz/E8UvAAAA//8DAFBLAQItABQABgAIAAAAIQC2gziS/gAAAOEBAAATAAAAAAAAAAAAAAAA&#10;AAAAAABbQ29udGVudF9UeXBlc10ueG1sUEsBAi0AFAAGAAgAAAAhADj9If/WAAAAlAEAAAsAAAAA&#10;AAAAAAAAAAAALwEAAF9yZWxzLy5yZWxzUEsBAi0AFAAGAAgAAAAhAGPJQ0Y5AgAAdwQAAA4AAAAA&#10;AAAAAAAAAAAALgIAAGRycy9lMm9Eb2MueG1sUEsBAi0AFAAGAAgAAAAhADNJ+njhAAAADAEAAA8A&#10;AAAAAAAAAAAAAAAAkwQAAGRycy9kb3ducmV2LnhtbFBLBQYAAAAABAAEAPMAAAChBQAAAAA=&#10;" stroked="f">
                <v:textbox inset="0,0,0,0">
                  <w:txbxContent>
                    <w:p w14:paraId="4F71A976" w14:textId="561CE0FF" w:rsidR="00BF5BB9" w:rsidRPr="00982D9D" w:rsidRDefault="00BF5BB9" w:rsidP="00DC6871">
                      <w:pPr>
                        <w:pStyle w:val="Descripcin"/>
                        <w:jc w:val="center"/>
                        <w:rPr>
                          <w:rFonts w:ascii="Verdana" w:hAnsi="Verdana"/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982D9D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Grafico 6 PRINCIPALES DIAGNÓSTICOS RELACIONADOS CON DISCAPACIDAD ATENDIDOS EN EL PERIODO 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JUNIO 2018 A MAYO 2019</w:t>
                      </w:r>
                    </w:p>
                  </w:txbxContent>
                </v:textbox>
              </v:shape>
            </w:pict>
          </mc:Fallback>
        </mc:AlternateContent>
      </w:r>
      <w:r w:rsidR="00D26323">
        <w:rPr>
          <w:lang w:eastAsia="es-SV"/>
        </w:rPr>
        <w:t xml:space="preserve">Esta grafica muestra los 10 principales </w:t>
      </w:r>
      <w:r>
        <w:rPr>
          <w:lang w:eastAsia="es-SV"/>
        </w:rPr>
        <w:t>diagnósticos</w:t>
      </w:r>
      <w:r w:rsidR="00D26323">
        <w:rPr>
          <w:lang w:eastAsia="es-SV"/>
        </w:rPr>
        <w:t xml:space="preserve"> relacionados con discapacidad </w:t>
      </w:r>
      <w:r w:rsidR="003A4DFD">
        <w:rPr>
          <w:lang w:eastAsia="es-SV"/>
        </w:rPr>
        <w:t xml:space="preserve">atendidos en el Instituto </w:t>
      </w:r>
      <w:r w:rsidR="00D26323">
        <w:rPr>
          <w:lang w:eastAsia="es-SV"/>
        </w:rPr>
        <w:t xml:space="preserve">durante el periodo. El </w:t>
      </w:r>
      <w:r w:rsidR="003A4DFD">
        <w:rPr>
          <w:lang w:eastAsia="es-SV"/>
        </w:rPr>
        <w:t>diagnóstico más</w:t>
      </w:r>
      <w:r w:rsidR="00D26323">
        <w:rPr>
          <w:lang w:eastAsia="es-SV"/>
        </w:rPr>
        <w:t xml:space="preserve"> frecuente es el trastorno del lenguaje expresivo con un total de </w:t>
      </w:r>
      <w:r w:rsidR="00643906">
        <w:rPr>
          <w:lang w:eastAsia="es-SV"/>
        </w:rPr>
        <w:t>2037</w:t>
      </w:r>
      <w:r w:rsidR="00D26323">
        <w:rPr>
          <w:lang w:eastAsia="es-SV"/>
        </w:rPr>
        <w:t xml:space="preserve"> casos que equivalen al </w:t>
      </w:r>
      <w:r w:rsidR="00257C54">
        <w:rPr>
          <w:lang w:eastAsia="es-SV"/>
        </w:rPr>
        <w:t>27.4</w:t>
      </w:r>
      <w:r w:rsidR="00D26323">
        <w:rPr>
          <w:lang w:eastAsia="es-SV"/>
        </w:rPr>
        <w:t xml:space="preserve">% del total de casos, seguido del retardo del desarrollo con </w:t>
      </w:r>
      <w:r w:rsidR="00257C54">
        <w:rPr>
          <w:lang w:eastAsia="es-SV"/>
        </w:rPr>
        <w:t>1336</w:t>
      </w:r>
      <w:r w:rsidR="00D26323">
        <w:rPr>
          <w:lang w:eastAsia="es-SV"/>
        </w:rPr>
        <w:t xml:space="preserve"> casos </w:t>
      </w:r>
      <w:r w:rsidR="00257C54">
        <w:rPr>
          <w:lang w:eastAsia="es-SV"/>
        </w:rPr>
        <w:t xml:space="preserve">18 </w:t>
      </w:r>
      <w:r w:rsidR="00D26323">
        <w:rPr>
          <w:lang w:eastAsia="es-SV"/>
        </w:rPr>
        <w:t>% y en tercer lug</w:t>
      </w:r>
      <w:r w:rsidR="00257C54">
        <w:rPr>
          <w:lang w:eastAsia="es-SV"/>
        </w:rPr>
        <w:t xml:space="preserve">ar el retraso mental </w:t>
      </w:r>
      <w:r w:rsidR="00D26323">
        <w:rPr>
          <w:lang w:eastAsia="es-SV"/>
        </w:rPr>
        <w:t xml:space="preserve"> con </w:t>
      </w:r>
      <w:r w:rsidR="00257C54">
        <w:rPr>
          <w:lang w:eastAsia="es-SV"/>
        </w:rPr>
        <w:t xml:space="preserve">843 </w:t>
      </w:r>
      <w:r w:rsidR="00D26323">
        <w:rPr>
          <w:lang w:eastAsia="es-SV"/>
        </w:rPr>
        <w:t xml:space="preserve">casos </w:t>
      </w:r>
      <w:r w:rsidR="003A4DFD">
        <w:rPr>
          <w:lang w:eastAsia="es-SV"/>
        </w:rPr>
        <w:t xml:space="preserve"> que equivale al </w:t>
      </w:r>
      <w:r w:rsidR="00257C54">
        <w:rPr>
          <w:lang w:eastAsia="es-SV"/>
        </w:rPr>
        <w:t>11.3</w:t>
      </w:r>
      <w:r w:rsidR="00D26323">
        <w:rPr>
          <w:lang w:eastAsia="es-SV"/>
        </w:rPr>
        <w:t>%</w:t>
      </w:r>
      <w:r w:rsidR="003A4DFD">
        <w:rPr>
          <w:lang w:eastAsia="es-SV"/>
        </w:rPr>
        <w:t>.</w:t>
      </w:r>
    </w:p>
    <w:p w14:paraId="7E7C91B7" w14:textId="77777777" w:rsidR="00635C04" w:rsidRDefault="00257C54" w:rsidP="00D26323">
      <w:pPr>
        <w:rPr>
          <w:lang w:eastAsia="es-SV"/>
        </w:rPr>
      </w:pPr>
      <w:r>
        <w:rPr>
          <w:noProof/>
          <w:lang w:eastAsia="es-SV"/>
        </w:rPr>
        <w:drawing>
          <wp:inline distT="0" distB="0" distL="0" distR="0" wp14:anchorId="1FC75187" wp14:editId="40B5DF01">
            <wp:extent cx="5612130" cy="3664585"/>
            <wp:effectExtent l="0" t="0" r="7620" b="1206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lang w:eastAsia="es-SV"/>
        </w:rPr>
        <w:t xml:space="preserve"> 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</w:tblGrid>
      <w:tr w:rsidR="00635C04" w:rsidRPr="00635C04" w14:paraId="534209B9" w14:textId="77777777" w:rsidTr="00BF5BB9">
        <w:trPr>
          <w:trHeight w:val="288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9027" w14:textId="5080F1AA" w:rsidR="00635C04" w:rsidRPr="00635C04" w:rsidRDefault="005E78C1" w:rsidP="00BF5B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635C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 xml:space="preserve">Fuente: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 xml:space="preserve">construcción propia con datos del </w:t>
            </w:r>
            <w:r w:rsidRPr="00635C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>Sistema Epidemiológico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 xml:space="preserve"> del ISRI  ( epi2008</w:t>
            </w:r>
            <w:r w:rsidRPr="00635C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>)</w:t>
            </w:r>
          </w:p>
        </w:tc>
      </w:tr>
      <w:tr w:rsidR="00635C04" w:rsidRPr="00635C04" w14:paraId="57FBF4EC" w14:textId="77777777" w:rsidTr="00BF5BB9">
        <w:trPr>
          <w:trHeight w:val="288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EB3B" w14:textId="4A9607BE" w:rsidR="00635C04" w:rsidRPr="00635C04" w:rsidRDefault="00635C04" w:rsidP="00BF5B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SV"/>
              </w:rPr>
            </w:pPr>
            <w:r w:rsidRPr="00635C0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SV"/>
              </w:rPr>
              <w:t>INCLUYE: Todos los  Diagnósticos  por Todas las Causas  que Generan Discapacidad Relacionada a Todas las Funciones</w:t>
            </w:r>
          </w:p>
        </w:tc>
      </w:tr>
    </w:tbl>
    <w:p w14:paraId="3C547E25" w14:textId="0BEF1078" w:rsidR="00D31FD0" w:rsidRDefault="00D31FD0" w:rsidP="00D26323">
      <w:pPr>
        <w:rPr>
          <w:lang w:eastAsia="es-SV"/>
        </w:rPr>
      </w:pPr>
      <w:r>
        <w:rPr>
          <w:lang w:eastAsia="es-SV"/>
        </w:rPr>
        <w:br w:type="page"/>
      </w:r>
    </w:p>
    <w:p w14:paraId="3851A246" w14:textId="0F602AC7" w:rsidR="00257C54" w:rsidRDefault="00257C54" w:rsidP="00257C54">
      <w:pPr>
        <w:pStyle w:val="Descripcin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982D9D">
        <w:rPr>
          <w:rFonts w:ascii="Verdana" w:hAnsi="Verdana"/>
          <w:color w:val="000000" w:themeColor="text1"/>
          <w:sz w:val="16"/>
          <w:szCs w:val="16"/>
        </w:rPr>
        <w:lastRenderedPageBreak/>
        <w:t>Gr</w:t>
      </w:r>
      <w:r>
        <w:rPr>
          <w:rFonts w:ascii="Verdana" w:hAnsi="Verdana"/>
          <w:color w:val="000000" w:themeColor="text1"/>
          <w:sz w:val="16"/>
          <w:szCs w:val="16"/>
        </w:rPr>
        <w:t>afico 7  P</w:t>
      </w:r>
      <w:r w:rsidR="00635C04">
        <w:rPr>
          <w:rFonts w:ascii="Verdana" w:hAnsi="Verdana"/>
          <w:color w:val="000000" w:themeColor="text1"/>
          <w:sz w:val="16"/>
          <w:szCs w:val="16"/>
        </w:rPr>
        <w:t xml:space="preserve">RINCIPALES CAUSAS  RELACIONADAS CON </w:t>
      </w:r>
      <w:r w:rsidRPr="00982D9D">
        <w:rPr>
          <w:rFonts w:ascii="Verdana" w:hAnsi="Verdana"/>
          <w:color w:val="000000" w:themeColor="text1"/>
          <w:sz w:val="16"/>
          <w:szCs w:val="16"/>
        </w:rPr>
        <w:t xml:space="preserve">DISCAPACIDAD ATENDIDOS EN EL PERIODO </w:t>
      </w:r>
      <w:r>
        <w:rPr>
          <w:rFonts w:ascii="Verdana" w:hAnsi="Verdana"/>
          <w:color w:val="000000" w:themeColor="text1"/>
          <w:sz w:val="16"/>
          <w:szCs w:val="16"/>
        </w:rPr>
        <w:t>JUNIO 2018 A MAYO 2019</w:t>
      </w:r>
    </w:p>
    <w:p w14:paraId="099314A4" w14:textId="6BE9B0DF" w:rsidR="00257C54" w:rsidRDefault="00635C04" w:rsidP="00635C04">
      <w:pPr>
        <w:jc w:val="both"/>
        <w:rPr>
          <w:lang w:eastAsia="es-SV"/>
        </w:rPr>
      </w:pPr>
      <w:r>
        <w:rPr>
          <w:lang w:eastAsia="es-SV"/>
        </w:rPr>
        <w:t>Esta grafica muestra las 10 principales causas relacionados con discapacidad atendidas en el Instituto durante el periodo. La  más frecuente es causas de morbilidad desconocidas y no especificadas con 4953 que representa el 58.3%, otros recién nacidos de pre termino con 951 casos representa el 11%  y en tercer lugar  caída no especificada con 600 casos y el 7%, es de hacer notar que es difícil plantear medidas de intervención si más del 50% de las causas son desconocidas.</w:t>
      </w:r>
    </w:p>
    <w:p w14:paraId="6A8B8475" w14:textId="69192C08" w:rsidR="00257C54" w:rsidRDefault="00257C54" w:rsidP="00257C54">
      <w:r>
        <w:rPr>
          <w:noProof/>
          <w:lang w:eastAsia="es-SV"/>
        </w:rPr>
        <w:drawing>
          <wp:inline distT="0" distB="0" distL="0" distR="0" wp14:anchorId="05BB2D8A" wp14:editId="52E3A4E4">
            <wp:extent cx="5612130" cy="3664585"/>
            <wp:effectExtent l="0" t="0" r="7620" b="1206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</w:tblGrid>
      <w:tr w:rsidR="00635C04" w:rsidRPr="00635C04" w14:paraId="743BD055" w14:textId="77777777" w:rsidTr="00635C04">
        <w:trPr>
          <w:trHeight w:val="288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1E2" w14:textId="7AA6E59B" w:rsidR="00635C04" w:rsidRPr="00635C04" w:rsidRDefault="00635C04" w:rsidP="00635C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635C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 xml:space="preserve">Fuente: </w:t>
            </w:r>
            <w:r w:rsidR="005E78C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 xml:space="preserve">construcción propia con datos del </w:t>
            </w:r>
            <w:r w:rsidRPr="00635C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>Sistema Epidemiológico</w:t>
            </w:r>
            <w:r w:rsidR="005E78C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 xml:space="preserve"> del ISRI  ( epi2008</w:t>
            </w:r>
            <w:r w:rsidRPr="00635C0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SV"/>
              </w:rPr>
              <w:t>)</w:t>
            </w:r>
          </w:p>
        </w:tc>
      </w:tr>
      <w:tr w:rsidR="00635C04" w:rsidRPr="00635C04" w14:paraId="600C7B3D" w14:textId="77777777" w:rsidTr="00635C04">
        <w:trPr>
          <w:trHeight w:val="288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46CA" w14:textId="5DC70CA5" w:rsidR="00635C04" w:rsidRPr="00635C04" w:rsidRDefault="00635C04" w:rsidP="00635C0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SV"/>
              </w:rPr>
            </w:pPr>
            <w:r w:rsidRPr="00635C04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es-SV"/>
              </w:rPr>
              <w:t>INCLUYE: Todos los  Diagnósticos  por Todas las Causas  que Generan Discapacidad Relacionada a Todas las Funciones</w:t>
            </w:r>
          </w:p>
        </w:tc>
      </w:tr>
    </w:tbl>
    <w:p w14:paraId="05657524" w14:textId="77777777" w:rsidR="00257C54" w:rsidRDefault="00257C54" w:rsidP="00257C54"/>
    <w:p w14:paraId="204BAA7D" w14:textId="77777777" w:rsidR="00257C54" w:rsidRDefault="00257C54" w:rsidP="00257C54"/>
    <w:p w14:paraId="11D85109" w14:textId="77777777" w:rsidR="00257C54" w:rsidRDefault="00257C54" w:rsidP="00257C54"/>
    <w:p w14:paraId="32A96EA8" w14:textId="77777777" w:rsidR="00257C54" w:rsidRDefault="00257C54" w:rsidP="00257C54"/>
    <w:p w14:paraId="2906F933" w14:textId="77777777" w:rsidR="00257C54" w:rsidRDefault="00257C54" w:rsidP="00257C54"/>
    <w:p w14:paraId="0B92EF06" w14:textId="77777777" w:rsidR="00257C54" w:rsidRDefault="00257C54" w:rsidP="00257C54"/>
    <w:p w14:paraId="1E3B3AF1" w14:textId="77777777" w:rsidR="00257C54" w:rsidRDefault="00257C54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6150DEFB" w14:textId="77777777" w:rsidR="00257C54" w:rsidRDefault="00257C54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76871C32" w14:textId="77777777" w:rsidR="00257C54" w:rsidRDefault="00257C54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3F1B650E" w14:textId="43840F87" w:rsidR="00E4768E" w:rsidRPr="00E4768E" w:rsidRDefault="00E4768E" w:rsidP="00AB46E5">
      <w:pPr>
        <w:pStyle w:val="Ttulo1"/>
        <w:rPr>
          <w:rFonts w:cs="Times New Roman"/>
          <w:caps/>
          <w:color w:val="3366CC"/>
          <w:kern w:val="24"/>
          <w:lang w:eastAsia="es-SV"/>
        </w:rPr>
      </w:pPr>
      <w:r w:rsidRPr="00E4768E">
        <w:rPr>
          <w:rFonts w:cs="Times New Roman"/>
          <w:caps/>
          <w:color w:val="3366CC"/>
          <w:kern w:val="24"/>
          <w:lang w:eastAsia="es-SV"/>
        </w:rPr>
        <w:t>Referencia de usuarios</w:t>
      </w:r>
    </w:p>
    <w:p w14:paraId="19009C6F" w14:textId="77777777" w:rsidR="00E4768E" w:rsidRP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18"/>
          <w:szCs w:val="18"/>
          <w:lang w:val="es-ES" w:eastAsia="es-ES"/>
        </w:rPr>
      </w:pPr>
    </w:p>
    <w:p w14:paraId="2D44F7A8" w14:textId="1DE52877" w:rsidR="002540F9" w:rsidRDefault="00A56445" w:rsidP="002540F9">
      <w:pPr>
        <w:widowControl w:val="0"/>
        <w:spacing w:after="0" w:line="240" w:lineRule="auto"/>
        <w:jc w:val="both"/>
      </w:pPr>
      <w:r>
        <w:rPr>
          <w:noProof/>
          <w:lang w:eastAsia="es-SV"/>
        </w:rPr>
        <w:drawing>
          <wp:inline distT="0" distB="0" distL="0" distR="0" wp14:anchorId="7B4E29A7" wp14:editId="13A05178">
            <wp:extent cx="5537200" cy="4095750"/>
            <wp:effectExtent l="0" t="0" r="635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88EFA46" w14:textId="77777777" w:rsidR="002540F9" w:rsidRDefault="002540F9" w:rsidP="002540F9">
      <w:pPr>
        <w:widowControl w:val="0"/>
        <w:spacing w:after="0" w:line="240" w:lineRule="auto"/>
        <w:jc w:val="both"/>
      </w:pPr>
    </w:p>
    <w:p w14:paraId="00242B85" w14:textId="77777777" w:rsidR="002540F9" w:rsidRDefault="002540F9" w:rsidP="002540F9">
      <w:pPr>
        <w:widowControl w:val="0"/>
        <w:spacing w:after="0" w:line="240" w:lineRule="auto"/>
        <w:jc w:val="both"/>
      </w:pPr>
    </w:p>
    <w:p w14:paraId="3B5258A6" w14:textId="559E9C8E" w:rsidR="002540F9" w:rsidRPr="002540F9" w:rsidRDefault="002540F9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Durante el período  de 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JUNIO 2018 A MAYO 2019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un </w:t>
      </w:r>
      <w:r w:rsidR="00FA407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17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 (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1770</w:t>
      </w:r>
      <w:r w:rsidR="00C3395C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) de la demanda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de servicios no contaban con una referencia del Sistema Nacional de Salud. </w:t>
      </w:r>
    </w:p>
    <w:p w14:paraId="611FAD32" w14:textId="5B2244DA" w:rsidR="002540F9" w:rsidRDefault="002540F9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Por otro l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ado la referencia atendida viene 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de institucione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s de salud: HOSPITALES MINSAL 31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 (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3331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), ISSS 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18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 (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1947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), Bienestar Magisterial </w:t>
      </w:r>
      <w:r w:rsidR="00FA407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3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 (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308). El resto</w:t>
      </w:r>
      <w:r w:rsidRPr="002540F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fueron referidos por instituciones privadas, médicos particulares, ONGs o instituciones no re</w:t>
      </w:r>
      <w:r w:rsidR="00A5644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lacionadas con salud. (Gráfico 8).</w:t>
      </w:r>
    </w:p>
    <w:p w14:paraId="4CB834B0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51CA2771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5357FC48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71763503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5EDCB2A4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53BE35D6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43244109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60DFDE7E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07677B04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27E709DE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65725314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6DEA0067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451E5CF7" w14:textId="77777777" w:rsidR="00A56445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38E138C9" w14:textId="77777777" w:rsidR="00A56445" w:rsidRPr="002540F9" w:rsidRDefault="00A56445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17444FA7" w14:textId="77777777" w:rsidR="002540F9" w:rsidRPr="002540F9" w:rsidRDefault="002540F9" w:rsidP="002540F9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2CF5D8FE" w14:textId="77777777" w:rsidR="00897BCA" w:rsidRDefault="00897BCA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03F1E61E" w14:textId="77777777" w:rsidR="00FA407E" w:rsidRDefault="00FA407E" w:rsidP="00E4768E">
      <w:pPr>
        <w:widowControl w:val="0"/>
        <w:spacing w:after="0" w:line="240" w:lineRule="auto"/>
        <w:outlineLvl w:val="0"/>
        <w:rPr>
          <w:rFonts w:asciiTheme="majorHAnsi" w:hAnsiTheme="majorHAnsi" w:cs="Times New Roman"/>
          <w:caps/>
          <w:color w:val="3366CC"/>
          <w:kern w:val="24"/>
          <w:sz w:val="32"/>
          <w:szCs w:val="32"/>
          <w:lang w:eastAsia="es-SV"/>
        </w:rPr>
      </w:pPr>
    </w:p>
    <w:p w14:paraId="0F81186F" w14:textId="34B2B84B" w:rsidR="004A6555" w:rsidRPr="00C3395C" w:rsidRDefault="00E4768E" w:rsidP="00AB46E5">
      <w:pPr>
        <w:pStyle w:val="Ttulo1"/>
        <w:rPr>
          <w:rFonts w:cs="Times New Roman"/>
          <w:caps/>
          <w:color w:val="auto"/>
          <w:kern w:val="24"/>
          <w:lang w:eastAsia="es-SV"/>
        </w:rPr>
      </w:pPr>
      <w:r w:rsidRPr="00C3395C">
        <w:rPr>
          <w:rFonts w:cs="Times New Roman"/>
          <w:caps/>
          <w:color w:val="auto"/>
          <w:kern w:val="24"/>
          <w:lang w:eastAsia="es-SV"/>
        </w:rPr>
        <w:t>servicios</w:t>
      </w:r>
      <w:r w:rsidR="00AB46E5">
        <w:rPr>
          <w:rFonts w:cs="Times New Roman"/>
          <w:caps/>
          <w:kern w:val="24"/>
          <w:lang w:eastAsia="es-SV"/>
        </w:rPr>
        <w:t xml:space="preserve"> DE ATENCIÓN BRINDADOS</w:t>
      </w:r>
    </w:p>
    <w:p w14:paraId="4B79A0C5" w14:textId="77777777" w:rsidR="00E4768E" w:rsidRPr="00E4768E" w:rsidRDefault="00E4768E" w:rsidP="00BF5BB9">
      <w:pPr>
        <w:widowControl w:val="0"/>
        <w:spacing w:after="0" w:line="240" w:lineRule="auto"/>
        <w:jc w:val="center"/>
        <w:rPr>
          <w:rFonts w:ascii="Century Gothic" w:eastAsia="Times New Roman" w:hAnsi="Century Gothic" w:cs="Century Gothic"/>
          <w:color w:val="4D4D4D"/>
          <w:kern w:val="28"/>
          <w:sz w:val="18"/>
          <w:szCs w:val="18"/>
          <w:lang w:eastAsia="es-ES"/>
        </w:rPr>
      </w:pPr>
    </w:p>
    <w:p w14:paraId="14198AF3" w14:textId="15F10BB5" w:rsidR="00E4768E" w:rsidRPr="00E4768E" w:rsidRDefault="00E4768E" w:rsidP="00BF5BB9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4D4D4D"/>
          <w:sz w:val="12"/>
          <w:szCs w:val="18"/>
          <w:lang w:val="es-ES" w:eastAsia="es-ES"/>
        </w:rPr>
      </w:pPr>
      <w:r w:rsidRPr="00E4768E">
        <w:rPr>
          <w:rFonts w:ascii="Arial" w:eastAsia="Times New Roman" w:hAnsi="Arial" w:cs="Arial"/>
          <w:b/>
          <w:bCs/>
          <w:noProof/>
          <w:color w:val="000000"/>
          <w:sz w:val="18"/>
          <w:szCs w:val="24"/>
          <w:lang w:val="es-ES" w:eastAsia="es-ES"/>
        </w:rPr>
        <w:t xml:space="preserve">DISTRIBUCION DE LA </w:t>
      </w:r>
      <w:r w:rsidR="004A6555">
        <w:rPr>
          <w:rFonts w:ascii="Arial" w:eastAsia="Times New Roman" w:hAnsi="Arial" w:cs="Arial"/>
          <w:b/>
          <w:bCs/>
          <w:noProof/>
          <w:color w:val="000000"/>
          <w:sz w:val="18"/>
          <w:szCs w:val="24"/>
          <w:lang w:val="es-ES" w:eastAsia="es-ES"/>
        </w:rPr>
        <w:t>ATENCIONES</w:t>
      </w:r>
      <w:r w:rsidR="00BF5BB9">
        <w:rPr>
          <w:rFonts w:ascii="Arial" w:eastAsia="Times New Roman" w:hAnsi="Arial" w:cs="Arial"/>
          <w:b/>
          <w:bCs/>
          <w:noProof/>
          <w:color w:val="000000"/>
          <w:sz w:val="18"/>
          <w:szCs w:val="24"/>
          <w:lang w:val="es-ES" w:eastAsia="es-ES"/>
        </w:rPr>
        <w:t xml:space="preserve"> POR SERVICIO</w:t>
      </w:r>
      <w:r w:rsidR="004A6555">
        <w:rPr>
          <w:rFonts w:ascii="Arial" w:eastAsia="Times New Roman" w:hAnsi="Arial" w:cs="Arial"/>
          <w:b/>
          <w:bCs/>
          <w:noProof/>
          <w:color w:val="000000"/>
          <w:sz w:val="18"/>
          <w:szCs w:val="24"/>
          <w:lang w:val="es-ES" w:eastAsia="es-ES"/>
        </w:rPr>
        <w:t xml:space="preserve"> BRINDADAS POR EL INSTITUTO DURANTE EL PERIODO DE </w:t>
      </w:r>
      <w:r w:rsidR="00A87FD8">
        <w:rPr>
          <w:rFonts w:ascii="Arial" w:eastAsia="Times New Roman" w:hAnsi="Arial" w:cs="Arial"/>
          <w:b/>
          <w:bCs/>
          <w:noProof/>
          <w:color w:val="000000"/>
          <w:sz w:val="18"/>
          <w:szCs w:val="24"/>
          <w:lang w:val="es-ES" w:eastAsia="es-ES"/>
        </w:rPr>
        <w:t>JUNIO 2018 A MAYO 2019</w:t>
      </w:r>
    </w:p>
    <w:p w14:paraId="32F4368A" w14:textId="77777777" w:rsid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18"/>
          <w:szCs w:val="18"/>
          <w:lang w:val="es-ES" w:eastAsia="es-ES"/>
        </w:rPr>
      </w:pPr>
    </w:p>
    <w:p w14:paraId="08E07294" w14:textId="0B77927E" w:rsidR="00A87FD8" w:rsidRPr="00E4768E" w:rsidRDefault="00A87FD8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18"/>
          <w:szCs w:val="18"/>
          <w:lang w:val="es-ES" w:eastAsia="es-ES"/>
        </w:rPr>
      </w:pPr>
      <w:r>
        <w:rPr>
          <w:noProof/>
          <w:lang w:eastAsia="es-SV"/>
        </w:rPr>
        <w:drawing>
          <wp:inline distT="0" distB="0" distL="0" distR="0" wp14:anchorId="053BA2C6" wp14:editId="2BABDCBF">
            <wp:extent cx="5612130" cy="37084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DDD10B1" w14:textId="0776DAE9" w:rsidR="00E4768E" w:rsidRDefault="00840C3F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Durante el período </w:t>
      </w:r>
      <w:r w:rsidR="00BF5BB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JUNIO 2018 A MAYO 2019</w:t>
      </w:r>
      <w:r w:rsidR="00C3395C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, los servicios mostró un rendimiento</w:t>
      </w:r>
      <w:r w:rsidR="006357E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Global del </w:t>
      </w:r>
      <w:r w:rsidR="008565A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8</w:t>
      </w:r>
      <w:r w:rsidR="00BF5BB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7</w:t>
      </w:r>
      <w:r w:rsidR="00E4768E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% Distribuida de la siguiente manera: Servicios de Rehabilitación </w:t>
      </w:r>
      <w:r w:rsidR="008565A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7</w:t>
      </w:r>
      <w:r w:rsidR="00BF5BB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8%, Servicios Médicos 80</w:t>
      </w:r>
      <w:r w:rsidR="007F1B5A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%. Servicios de Apoyo </w:t>
      </w:r>
      <w:r w:rsidR="00BF5BB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84</w:t>
      </w:r>
      <w:r w:rsidR="006D2A36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%, y Servicios Adicionales</w:t>
      </w:r>
      <w:r w:rsidR="006357E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</w:t>
      </w:r>
      <w:r w:rsidR="00BF5BB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92</w:t>
      </w:r>
      <w:r w:rsidR="00E4768E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%, </w:t>
      </w:r>
      <w:r w:rsidR="006357E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l</w:t>
      </w:r>
      <w:r w:rsidR="006D2A36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os servicios adicionales</w:t>
      </w:r>
      <w:r w:rsidR="00E4768E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son los que más aportan en números absolutos debido a la natur</w:t>
      </w:r>
      <w:r w:rsidR="00C3395C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aleza de la atención que representan</w:t>
      </w:r>
      <w:r w:rsidR="00E22339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. (</w:t>
      </w:r>
      <w:r w:rsidR="00BF5BB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Gráfico 9</w:t>
      </w:r>
      <w:r w:rsidR="00E4768E"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).</w:t>
      </w:r>
    </w:p>
    <w:p w14:paraId="49058344" w14:textId="3BF1422C" w:rsidR="002540F9" w:rsidRPr="00E4768E" w:rsidRDefault="002540F9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209DE1D9" w14:textId="0F187723" w:rsidR="00E4768E" w:rsidRDefault="000D39E9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Cada uno de los Servicios</w:t>
      </w:r>
      <w:r w:rsidR="00BF5BB9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que se muestran en el grafico 9</w:t>
      </w: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se </w:t>
      </w:r>
      <w:r w:rsidR="0039636C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subdivide</w:t>
      </w: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en áreas y programas</w:t>
      </w:r>
      <w:r w:rsidR="008D2116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,</w:t>
      </w:r>
      <w:r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por lo que es importante mostrar el Portafolio de Servicios para una mejor comprensión de la amplia oferta que tiene el Instituto a la Población: </w:t>
      </w:r>
    </w:p>
    <w:p w14:paraId="24AC4144" w14:textId="77777777" w:rsidR="004C1B63" w:rsidRDefault="004C1B63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</w:p>
    <w:p w14:paraId="628629F5" w14:textId="77777777" w:rsidR="00E4768E" w:rsidRPr="00E4768E" w:rsidRDefault="00E4768E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18"/>
          <w:szCs w:val="24"/>
          <w:lang w:val="es-ES" w:eastAsia="es-ES"/>
        </w:rPr>
      </w:pPr>
    </w:p>
    <w:p w14:paraId="50048B0C" w14:textId="77777777" w:rsidR="00E4768E" w:rsidRPr="00E4768E" w:rsidRDefault="00E4768E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18"/>
          <w:szCs w:val="24"/>
          <w:lang w:val="es-ES" w:eastAsia="es-ES"/>
        </w:rPr>
      </w:pPr>
    </w:p>
    <w:p w14:paraId="0BA7C49E" w14:textId="77777777" w:rsidR="008565AE" w:rsidRDefault="008565AE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3E2E9BC5" w14:textId="77777777" w:rsidR="008565AE" w:rsidRDefault="008565AE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1D1A9B27" w14:textId="77777777" w:rsidR="008565AE" w:rsidRDefault="008565AE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389F3416" w14:textId="77777777" w:rsidR="00BF5BB9" w:rsidRDefault="00BF5BB9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4E9DF693" w14:textId="77777777" w:rsidR="00BF5BB9" w:rsidRDefault="00BF5BB9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1D09434A" w14:textId="77777777" w:rsidR="00BF5BB9" w:rsidRDefault="00BF5BB9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07673837" w14:textId="77777777" w:rsidR="00BF5BB9" w:rsidRDefault="00BF5BB9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1DE450A7" w14:textId="77777777" w:rsidR="00BF5BB9" w:rsidRDefault="00BF5BB9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5AF6D2C2" w14:textId="77777777" w:rsidR="00BF5BB9" w:rsidRDefault="00BF5BB9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20BEDEB1" w14:textId="77777777" w:rsidR="008565AE" w:rsidRDefault="008565AE" w:rsidP="00AB46E5">
      <w:pPr>
        <w:pStyle w:val="Ttulo2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p w14:paraId="59572C8A" w14:textId="5DB627B2" w:rsidR="00E4768E" w:rsidRDefault="00E4768E" w:rsidP="00AB46E5">
      <w:pPr>
        <w:pStyle w:val="Ttulo2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  <w:r w:rsidRPr="004C1B63"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  <w:t xml:space="preserve">DISTRIBUCION </w:t>
      </w:r>
      <w:r w:rsidR="004A6555"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  <w:t>DE LAS ATENCIONES POR CENTRO DE ATENCIÓN Y POR SERVICIO</w:t>
      </w:r>
      <w:r w:rsidR="00341904"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  <w:t xml:space="preserve"> </w:t>
      </w:r>
      <w:r w:rsidR="00341904" w:rsidRPr="00341904"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  <w:t xml:space="preserve">DURANTE EL PERIODO DE </w:t>
      </w:r>
      <w:r w:rsidR="00BF5BB9"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  <w:t>JUNIO 2018 A MAYO 2019.</w:t>
      </w:r>
    </w:p>
    <w:p w14:paraId="236709E2" w14:textId="77777777" w:rsidR="004A6555" w:rsidRDefault="004A6555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val="es-ES" w:eastAsia="es-ES"/>
        </w:rPr>
      </w:pPr>
    </w:p>
    <w:tbl>
      <w:tblPr>
        <w:tblStyle w:val="Tabladecuadrcula4-nfasis5"/>
        <w:tblW w:w="8340" w:type="dxa"/>
        <w:tblLook w:val="04A0" w:firstRow="1" w:lastRow="0" w:firstColumn="1" w:lastColumn="0" w:noHBand="0" w:noVBand="1"/>
      </w:tblPr>
      <w:tblGrid>
        <w:gridCol w:w="5980"/>
        <w:gridCol w:w="2360"/>
      </w:tblGrid>
      <w:tr w:rsidR="00C3395C" w:rsidRPr="00C3395C" w14:paraId="6704BC50" w14:textId="77777777" w:rsidTr="00C33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hideMark/>
          </w:tcPr>
          <w:p w14:paraId="07EEE496" w14:textId="2942FDA8" w:rsidR="00807BDE" w:rsidRPr="00C3395C" w:rsidRDefault="00807BDE" w:rsidP="00807BDE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</w:pPr>
            <w:r w:rsidRPr="00C3395C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 xml:space="preserve"> SERVICIOS DE REHABILITACIÓN POR CENTRO DE ATENCIÓN</w:t>
            </w:r>
          </w:p>
        </w:tc>
        <w:tc>
          <w:tcPr>
            <w:tcW w:w="2360" w:type="dxa"/>
            <w:shd w:val="clear" w:color="auto" w:fill="auto"/>
            <w:hideMark/>
          </w:tcPr>
          <w:p w14:paraId="72C41273" w14:textId="357E66A6" w:rsidR="00807BDE" w:rsidRPr="00C3395C" w:rsidRDefault="00807BDE" w:rsidP="00807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</w:pPr>
            <w:r w:rsidRPr="00C3395C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>Atenciones Brindadas</w:t>
            </w:r>
          </w:p>
        </w:tc>
      </w:tr>
      <w:tr w:rsidR="00C3395C" w:rsidRPr="00C3395C" w14:paraId="38EA9B21" w14:textId="77777777" w:rsidTr="00C3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3BB930B0" w14:textId="18727E1B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DEL APARATO LOCOMOTOR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4A8DB1CB" w14:textId="7B5C96AA" w:rsidR="00BF5BB9" w:rsidRPr="00C3395C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102,037</w:t>
            </w:r>
          </w:p>
        </w:tc>
      </w:tr>
      <w:tr w:rsidR="00C3395C" w:rsidRPr="00C3395C" w14:paraId="06E4FFA6" w14:textId="77777777" w:rsidTr="00C339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1B4E076C" w14:textId="4DA07721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 ATENCIÓN A ANCIANOS "SARA ZALDÍVAR"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1B7F8A2F" w14:textId="4E270EF9" w:rsidR="00BF5BB9" w:rsidRPr="00C3395C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28,489</w:t>
            </w:r>
          </w:p>
        </w:tc>
      </w:tr>
      <w:tr w:rsidR="00C3395C" w:rsidRPr="00C3395C" w14:paraId="5100CA80" w14:textId="77777777" w:rsidTr="00C3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1A303D3A" w14:textId="4AABCD05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 AUDICIÓN Y LENGUAJE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47A99D35" w14:textId="146D7FB0" w:rsidR="00BF5BB9" w:rsidRPr="00C3395C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54,001</w:t>
            </w:r>
          </w:p>
        </w:tc>
      </w:tr>
      <w:tr w:rsidR="00C3395C" w:rsidRPr="00C3395C" w14:paraId="5A84061D" w14:textId="77777777" w:rsidTr="00C339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26657EF2" w14:textId="5FEF52D8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 REHABILITACIÓN INTEGRAL DE OCCIDENTE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1EC3D9B7" w14:textId="67242EF2" w:rsidR="00BF5BB9" w:rsidRPr="00C3395C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91,025</w:t>
            </w:r>
          </w:p>
        </w:tc>
      </w:tr>
      <w:tr w:rsidR="00C3395C" w:rsidRPr="00C3395C" w14:paraId="07532AD3" w14:textId="77777777" w:rsidTr="00C3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15EB6F10" w14:textId="6612CB26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 REHABILITACIÓN INTEGRAL DE ORIENTE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04107B34" w14:textId="4B6AF0BD" w:rsidR="00BF5BB9" w:rsidRPr="00C3395C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47,828</w:t>
            </w:r>
          </w:p>
        </w:tc>
      </w:tr>
      <w:tr w:rsidR="00C3395C" w:rsidRPr="00C3395C" w14:paraId="5295E78B" w14:textId="77777777" w:rsidTr="00C339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1C9E8538" w14:textId="5135CB48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 REHABILITACIÓN INTEGRAL PARA LA NIÑEZ Y LA ADOLESCENCIA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08698166" w14:textId="51B795AB" w:rsidR="00BF5BB9" w:rsidRPr="00C3395C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172,501</w:t>
            </w:r>
          </w:p>
        </w:tc>
      </w:tr>
      <w:tr w:rsidR="00C3395C" w:rsidRPr="00C3395C" w14:paraId="18E3512D" w14:textId="77777777" w:rsidTr="00C3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5BE08FE5" w14:textId="6607EBEF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 REHABILITACIÓN DE CIEGOS "EUGENIA DE DUEÑAS"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50FD1A35" w14:textId="0CFB8D63" w:rsidR="00BF5BB9" w:rsidRPr="00C3395C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85,852</w:t>
            </w:r>
          </w:p>
        </w:tc>
      </w:tr>
      <w:tr w:rsidR="00C3395C" w:rsidRPr="00C3395C" w14:paraId="49042369" w14:textId="77777777" w:rsidTr="00C339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63ADF0BB" w14:textId="011995AA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sz w:val="18"/>
                <w:szCs w:val="18"/>
              </w:rPr>
              <w:t>CENTRO DE REHABILITACIÓN PROFESIONAL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22F9176B" w14:textId="241B113A" w:rsidR="00BF5BB9" w:rsidRPr="00C3395C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sz w:val="18"/>
                <w:szCs w:val="18"/>
              </w:rPr>
              <w:t>13,548</w:t>
            </w:r>
          </w:p>
        </w:tc>
      </w:tr>
      <w:tr w:rsidR="00C3395C" w:rsidRPr="00C3395C" w14:paraId="72D8A8FB" w14:textId="77777777" w:rsidTr="00C3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</w:tcPr>
          <w:p w14:paraId="3ECF4E2F" w14:textId="3D70AB9F" w:rsidR="00BF5BB9" w:rsidRPr="00C3395C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C3395C">
              <w:rPr>
                <w:rFonts w:ascii="Calibri" w:hAnsi="Calibri" w:cs="Calibri"/>
                <w:b w:val="0"/>
                <w:bCs w:val="0"/>
                <w:i/>
                <w:iCs/>
                <w:sz w:val="28"/>
                <w:szCs w:val="28"/>
              </w:rPr>
              <w:t xml:space="preserve">TOTAL GENERAL 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31F72F27" w14:textId="2674CC87" w:rsidR="00BF5BB9" w:rsidRPr="00C3395C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3395C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595,281</w:t>
            </w:r>
          </w:p>
        </w:tc>
      </w:tr>
    </w:tbl>
    <w:p w14:paraId="42F2E0FE" w14:textId="77777777" w:rsidR="004A6555" w:rsidRPr="004C1B63" w:rsidRDefault="004A6555" w:rsidP="00E4768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4D4D4D"/>
          <w:sz w:val="14"/>
          <w:szCs w:val="18"/>
          <w:lang w:val="es-ES" w:eastAsia="es-ES"/>
        </w:rPr>
      </w:pPr>
    </w:p>
    <w:p w14:paraId="48AEC199" w14:textId="7968A53B" w:rsidR="005A16AC" w:rsidRDefault="00680968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En total se brindaron </w:t>
      </w:r>
      <w:r w:rsidR="00BF5BB9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595,281</w:t>
      </w:r>
      <w:r w:rsidR="00402D8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</w:t>
      </w: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atenciones de rehabilitación distribuidas según la especialidad de cada Centro de Atención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.</w:t>
      </w:r>
      <w:r w:rsidR="005A16A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 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Estas incluyen los siguientes programas</w:t>
      </w:r>
    </w:p>
    <w:p w14:paraId="1A853DEB" w14:textId="54B04DF3" w:rsidR="005A16AC" w:rsidRPr="00341904" w:rsidRDefault="005A16AC" w:rsidP="00341904">
      <w:pPr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</w:pPr>
      <w:r w:rsidRPr="00406C31">
        <w:rPr>
          <w:rFonts w:ascii="Century Gothic" w:eastAsia="Times New Roman" w:hAnsi="Century Gothic" w:cs="Times New Roman"/>
          <w:b/>
          <w:bCs/>
          <w:noProof/>
          <w:color w:val="000000"/>
          <w:szCs w:val="24"/>
          <w:u w:val="single"/>
          <w:lang w:eastAsia="es-ES"/>
        </w:rPr>
        <w:t>SERVICIOS DE REHABILITACION</w:t>
      </w:r>
      <w:r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: Comunicación Humana</w:t>
      </w: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,</w:t>
      </w:r>
      <w:r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Habilidades Adaptativas, Instructoria Vocacional, Terapia Fisica</w:t>
      </w: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,</w:t>
      </w:r>
      <w:r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Terapia Ocupacional.</w:t>
      </w:r>
    </w:p>
    <w:p w14:paraId="135B6C37" w14:textId="77777777" w:rsidR="00680968" w:rsidRDefault="00680968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</w:pPr>
    </w:p>
    <w:tbl>
      <w:tblPr>
        <w:tblStyle w:val="Tabladecuadrcula4-nfasis5"/>
        <w:tblW w:w="8340" w:type="dxa"/>
        <w:tblLook w:val="04A0" w:firstRow="1" w:lastRow="0" w:firstColumn="1" w:lastColumn="0" w:noHBand="0" w:noVBand="1"/>
      </w:tblPr>
      <w:tblGrid>
        <w:gridCol w:w="5980"/>
        <w:gridCol w:w="2360"/>
      </w:tblGrid>
      <w:tr w:rsidR="006D2A36" w:rsidRPr="006D2A36" w14:paraId="7EA58C24" w14:textId="77777777" w:rsidTr="006D2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hideMark/>
          </w:tcPr>
          <w:p w14:paraId="755D4317" w14:textId="6CC1AA46" w:rsidR="00680968" w:rsidRPr="006D2A36" w:rsidRDefault="00680968" w:rsidP="00680968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 xml:space="preserve">SERVICIOS </w:t>
            </w:r>
            <w:r w:rsidR="00807BDE"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>MÉDICOS</w:t>
            </w:r>
            <w:r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 xml:space="preserve"> </w:t>
            </w:r>
          </w:p>
          <w:p w14:paraId="503833B8" w14:textId="218D1577" w:rsidR="00680968" w:rsidRPr="006D2A36" w:rsidRDefault="00680968" w:rsidP="00680968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 xml:space="preserve">POR CENTRO DE </w:t>
            </w:r>
            <w:r w:rsidR="00807BDE"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>ATENCIÓN</w:t>
            </w:r>
          </w:p>
        </w:tc>
        <w:tc>
          <w:tcPr>
            <w:tcW w:w="2360" w:type="dxa"/>
            <w:shd w:val="clear" w:color="auto" w:fill="auto"/>
            <w:hideMark/>
          </w:tcPr>
          <w:p w14:paraId="1724ED05" w14:textId="5717D875" w:rsidR="00680968" w:rsidRPr="006D2A36" w:rsidRDefault="00680968" w:rsidP="00680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>Atenciones Brindadas</w:t>
            </w:r>
          </w:p>
        </w:tc>
      </w:tr>
      <w:tr w:rsidR="006D2A36" w:rsidRPr="006D2A36" w14:paraId="443BF0A9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2FFE2B2E" w14:textId="540A048B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DEL APARATO LOCOMOTOR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44CB3EFB" w14:textId="70DE24F6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7,884</w:t>
            </w:r>
          </w:p>
        </w:tc>
      </w:tr>
      <w:tr w:rsidR="006D2A36" w:rsidRPr="006D2A36" w14:paraId="3CC82B43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4A8C5631" w14:textId="4D6F7D29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ATENCIÓN A ANCIANOS "SARA ZALDÍVAR"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04D364A1" w14:textId="153CF10C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12,768</w:t>
            </w:r>
          </w:p>
        </w:tc>
      </w:tr>
      <w:tr w:rsidR="006D2A36" w:rsidRPr="006D2A36" w14:paraId="7B01C458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66307AB6" w14:textId="6FDA81D0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AUDICIÓN Y LENGUAJE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6CE07BFF" w14:textId="5DF8209D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4,043</w:t>
            </w:r>
          </w:p>
        </w:tc>
      </w:tr>
      <w:tr w:rsidR="006D2A36" w:rsidRPr="006D2A36" w14:paraId="7ABE8608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0DD65497" w14:textId="69926DE6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DE OCCIDENTE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7277D8A1" w14:textId="13081D46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4,009</w:t>
            </w:r>
          </w:p>
        </w:tc>
      </w:tr>
      <w:tr w:rsidR="006D2A36" w:rsidRPr="006D2A36" w14:paraId="7069304B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7A28D052" w14:textId="560D3078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DE ORIENTE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0ACCDDE4" w14:textId="3957D208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9,064</w:t>
            </w:r>
          </w:p>
        </w:tc>
      </w:tr>
      <w:tr w:rsidR="006D2A36" w:rsidRPr="006D2A36" w14:paraId="48054832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0E6E9D7E" w14:textId="28AD82FC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DE CIEGOS "EUGENIA DE DUEÑAS"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449CA225" w14:textId="7921614F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</w:tr>
      <w:tr w:rsidR="006D2A36" w:rsidRPr="006D2A36" w14:paraId="68890022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0DAF8F71" w14:textId="057DB419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PROFESIONAL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231E9D65" w14:textId="109EFCD4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</w:tr>
      <w:tr w:rsidR="006D2A36" w:rsidRPr="006D2A36" w14:paraId="6ECE08BB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6AD70D63" w14:textId="7E9C8A6B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UNIDAD DE CONSULTA EXTERNA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57298487" w14:textId="3E55FE7F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15,214</w:t>
            </w:r>
          </w:p>
        </w:tc>
      </w:tr>
      <w:tr w:rsidR="006D2A36" w:rsidRPr="006D2A36" w14:paraId="5AD157AF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7131D808" w14:textId="3E8C64EC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TOTAL GENERAL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20398C8A" w14:textId="041131CC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2A3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52,982</w:t>
            </w:r>
          </w:p>
        </w:tc>
      </w:tr>
    </w:tbl>
    <w:p w14:paraId="5D6DB37E" w14:textId="77777777" w:rsidR="00680968" w:rsidRDefault="00680968" w:rsidP="00E47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</w:pPr>
    </w:p>
    <w:p w14:paraId="31848427" w14:textId="555EB1D7" w:rsidR="00680968" w:rsidRDefault="00680968" w:rsidP="00680968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En total se brindaron </w:t>
      </w:r>
      <w:r w:rsidR="00BF5BB9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52,982</w:t>
      </w: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atenciones </w:t>
      </w: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en consulta médica</w:t>
      </w: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distribuidas según la especialidad de cada Centro de Atención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>.</w:t>
      </w:r>
      <w:r w:rsidR="005A16A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  <w:t xml:space="preserve"> 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Estas incluyen los siguientes programas</w:t>
      </w:r>
    </w:p>
    <w:p w14:paraId="3811CE17" w14:textId="77777777" w:rsidR="005A16AC" w:rsidRPr="00406C31" w:rsidRDefault="005A16AC" w:rsidP="005A16AC">
      <w:pPr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</w:pPr>
      <w:r w:rsidRPr="00406C31">
        <w:rPr>
          <w:rFonts w:ascii="Century Gothic" w:eastAsia="Times New Roman" w:hAnsi="Century Gothic" w:cs="Times New Roman"/>
          <w:b/>
          <w:bCs/>
          <w:noProof/>
          <w:color w:val="000000"/>
          <w:szCs w:val="24"/>
          <w:u w:val="single"/>
          <w:lang w:eastAsia="es-ES"/>
        </w:rPr>
        <w:t>SERVICIOS MEDICOS:</w:t>
      </w:r>
      <w:r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</w:t>
      </w: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Evaluacion de Discapacidad, Medicina d</w:t>
      </w:r>
      <w:r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e Especialidad, Medicina General, Otros Servicios Medicos</w:t>
      </w:r>
    </w:p>
    <w:p w14:paraId="43B2FE24" w14:textId="77777777" w:rsidR="00680968" w:rsidRDefault="00680968" w:rsidP="006809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s-ES" w:eastAsia="es-ES"/>
        </w:rPr>
      </w:pPr>
    </w:p>
    <w:tbl>
      <w:tblPr>
        <w:tblStyle w:val="Tabladecuadrcula4-nfasis5"/>
        <w:tblW w:w="8340" w:type="dxa"/>
        <w:tblLook w:val="04A0" w:firstRow="1" w:lastRow="0" w:firstColumn="1" w:lastColumn="0" w:noHBand="0" w:noVBand="1"/>
      </w:tblPr>
      <w:tblGrid>
        <w:gridCol w:w="5980"/>
        <w:gridCol w:w="2360"/>
      </w:tblGrid>
      <w:tr w:rsidR="006D2A36" w:rsidRPr="006D2A36" w14:paraId="0B5E9FEC" w14:textId="77777777" w:rsidTr="006D2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hideMark/>
          </w:tcPr>
          <w:p w14:paraId="6A1BFFB8" w14:textId="77777777" w:rsidR="00680968" w:rsidRPr="006D2A36" w:rsidRDefault="00680968" w:rsidP="00680968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 xml:space="preserve">SERVICIOS DE APOYO </w:t>
            </w:r>
          </w:p>
          <w:p w14:paraId="34602EBE" w14:textId="371E631F" w:rsidR="00680968" w:rsidRPr="006D2A36" w:rsidRDefault="00680968" w:rsidP="00680968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 xml:space="preserve">POR CENTRO DE </w:t>
            </w:r>
            <w:r w:rsidR="00807BDE"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>ATENCIÓN</w:t>
            </w:r>
          </w:p>
        </w:tc>
        <w:tc>
          <w:tcPr>
            <w:tcW w:w="2360" w:type="dxa"/>
            <w:shd w:val="clear" w:color="auto" w:fill="auto"/>
            <w:hideMark/>
          </w:tcPr>
          <w:p w14:paraId="68EDF1B5" w14:textId="32EA9CC9" w:rsidR="00680968" w:rsidRPr="006D2A36" w:rsidRDefault="00680968" w:rsidP="00680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SV"/>
              </w:rPr>
              <w:t>Atenciones Brindadas</w:t>
            </w:r>
          </w:p>
        </w:tc>
      </w:tr>
      <w:tr w:rsidR="006D2A36" w:rsidRPr="006D2A36" w14:paraId="5236811A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4829DB2E" w14:textId="0EA6B96A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DEL APARATO LOCOMOTOR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08CA4144" w14:textId="5CA96E18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3,332</w:t>
            </w:r>
          </w:p>
        </w:tc>
      </w:tr>
      <w:tr w:rsidR="006D2A36" w:rsidRPr="006D2A36" w14:paraId="23C7614C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1003B384" w14:textId="32A74123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ATENCIÓN A ANCIANOS "SARA ZALDÍVAR"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790A8619" w14:textId="6AF16CD4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14,204</w:t>
            </w:r>
          </w:p>
        </w:tc>
      </w:tr>
      <w:tr w:rsidR="006D2A36" w:rsidRPr="006D2A36" w14:paraId="3432AF7A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32EC6FF6" w14:textId="5EA824DC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AUDICIÓN Y LENGUAJE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338FF18E" w14:textId="4AE8E040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19,390</w:t>
            </w:r>
          </w:p>
        </w:tc>
      </w:tr>
      <w:tr w:rsidR="006D2A36" w:rsidRPr="006D2A36" w14:paraId="01732E92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17829B76" w14:textId="1D0206C0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DE OCCIDENTE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0892C3EE" w14:textId="62EFCBFE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2,762</w:t>
            </w:r>
          </w:p>
        </w:tc>
      </w:tr>
      <w:tr w:rsidR="006D2A36" w:rsidRPr="006D2A36" w14:paraId="28422E85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3ACE57DA" w14:textId="6112A2E1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DE ORIENTE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190D249C" w14:textId="2471B9D3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6,202</w:t>
            </w:r>
          </w:p>
        </w:tc>
      </w:tr>
      <w:tr w:rsidR="006D2A36" w:rsidRPr="006D2A36" w14:paraId="467E5594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0DFF607D" w14:textId="436456F1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PARA LA NIÑEZ Y LA ADOLESCENCIA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1925496B" w14:textId="39F2925E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9,288</w:t>
            </w:r>
          </w:p>
        </w:tc>
      </w:tr>
      <w:tr w:rsidR="006D2A36" w:rsidRPr="006D2A36" w14:paraId="5C89A129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77A5E215" w14:textId="776CF23E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DE CIEGOS "EUGENIA DE DUEÑAS"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31DF3F3C" w14:textId="29E5FB43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1,567</w:t>
            </w:r>
          </w:p>
        </w:tc>
      </w:tr>
      <w:tr w:rsidR="006D2A36" w:rsidRPr="006D2A36" w14:paraId="55ABB3D8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26F87CDC" w14:textId="03070E99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PROFESIONAL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25DACB08" w14:textId="76E50E61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688</w:t>
            </w:r>
          </w:p>
        </w:tc>
      </w:tr>
      <w:tr w:rsidR="006D2A36" w:rsidRPr="006D2A36" w14:paraId="000A7DA7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371F3950" w14:textId="697F64AD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UNIDAD DE CONSULTA EXTERNA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43E695B8" w14:textId="4C65A5A9" w:rsidR="00BF5BB9" w:rsidRPr="006D2A36" w:rsidRDefault="00BF5BB9" w:rsidP="00BF5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sz w:val="18"/>
                <w:szCs w:val="18"/>
              </w:rPr>
              <w:t>6,715</w:t>
            </w:r>
          </w:p>
        </w:tc>
      </w:tr>
      <w:tr w:rsidR="006D2A36" w:rsidRPr="006D2A36" w14:paraId="4E84BA43" w14:textId="77777777" w:rsidTr="006D2A3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vAlign w:val="center"/>
            <w:hideMark/>
          </w:tcPr>
          <w:p w14:paraId="2D831FEC" w14:textId="2B0892C5" w:rsidR="00BF5BB9" w:rsidRPr="006D2A36" w:rsidRDefault="00BF5BB9" w:rsidP="00BF5BB9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TOTAL GENERAL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1A6C79AE" w14:textId="72911923" w:rsidR="00BF5BB9" w:rsidRPr="006D2A36" w:rsidRDefault="00BF5BB9" w:rsidP="00BF5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64,148</w:t>
            </w:r>
          </w:p>
        </w:tc>
      </w:tr>
    </w:tbl>
    <w:p w14:paraId="0E4ABCF3" w14:textId="77777777" w:rsidR="005A16AC" w:rsidRDefault="005A16AC" w:rsidP="006809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ES"/>
        </w:rPr>
      </w:pPr>
    </w:p>
    <w:p w14:paraId="56DCBCFC" w14:textId="5D277591" w:rsidR="005A16AC" w:rsidRDefault="00680968" w:rsidP="00680968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En total se brindaron </w:t>
      </w:r>
      <w:r w:rsidR="00BF5BB9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64,148</w:t>
      </w: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atenciones </w:t>
      </w: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en 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las áreas de apoyo</w:t>
      </w: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distribuidas según la especialidad de cada Centro de Atención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. Estas incluyen los siguientes programas</w:t>
      </w:r>
    </w:p>
    <w:p w14:paraId="091354C4" w14:textId="62CEC35E" w:rsidR="005A16AC" w:rsidRDefault="005A16AC" w:rsidP="005A16AC">
      <w:pPr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</w:pPr>
      <w:r w:rsidRPr="00406C31">
        <w:rPr>
          <w:rFonts w:ascii="Century Gothic" w:eastAsia="Times New Roman" w:hAnsi="Century Gothic" w:cs="Times New Roman"/>
          <w:b/>
          <w:bCs/>
          <w:noProof/>
          <w:color w:val="000000"/>
          <w:szCs w:val="24"/>
          <w:u w:val="single"/>
          <w:lang w:eastAsia="es-ES"/>
        </w:rPr>
        <w:t>SERVICIOS DE APOYO:</w:t>
      </w:r>
      <w:r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noProof/>
          <w:color w:val="000000"/>
          <w:sz w:val="20"/>
          <w:szCs w:val="24"/>
          <w:lang w:eastAsia="es-ES"/>
        </w:rPr>
        <w:t>D</w:t>
      </w:r>
      <w:r w:rsidRPr="00406C31">
        <w:rPr>
          <w:rFonts w:ascii="Century Gothic" w:eastAsia="Times New Roman" w:hAnsi="Century Gothic" w:cs="Times New Roman"/>
          <w:b/>
          <w:bCs/>
          <w:i/>
          <w:noProof/>
          <w:color w:val="000000"/>
          <w:sz w:val="20"/>
          <w:szCs w:val="24"/>
          <w:lang w:eastAsia="es-ES"/>
        </w:rPr>
        <w:t>iagnosticos</w:t>
      </w:r>
      <w:r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: Audiologia, Electrofisiológicos Alta Complejidad, Electrofisiológicos Baja Complejidad, Laboratorio, Nasofibrolaringoscopia, Optometria, Radiologia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.</w:t>
      </w:r>
    </w:p>
    <w:p w14:paraId="12CD07E0" w14:textId="77777777" w:rsidR="00D52B4B" w:rsidRDefault="00D52B4B" w:rsidP="005A16AC">
      <w:pPr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</w:pPr>
    </w:p>
    <w:p w14:paraId="5EB3C728" w14:textId="77777777" w:rsidR="00D52B4B" w:rsidRDefault="00D52B4B" w:rsidP="005A16AC">
      <w:pPr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</w:pPr>
    </w:p>
    <w:tbl>
      <w:tblPr>
        <w:tblStyle w:val="Tabladecuadrcula4-nfasis5"/>
        <w:tblW w:w="8340" w:type="dxa"/>
        <w:tblLook w:val="04A0" w:firstRow="1" w:lastRow="0" w:firstColumn="1" w:lastColumn="0" w:noHBand="0" w:noVBand="1"/>
      </w:tblPr>
      <w:tblGrid>
        <w:gridCol w:w="5980"/>
        <w:gridCol w:w="2360"/>
      </w:tblGrid>
      <w:tr w:rsidR="006D2A36" w:rsidRPr="006D2A36" w14:paraId="684D28AD" w14:textId="77777777" w:rsidTr="006D2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hideMark/>
          </w:tcPr>
          <w:p w14:paraId="342C4357" w14:textId="2B252959" w:rsidR="00D52B4B" w:rsidRPr="006D2A36" w:rsidRDefault="00D52B4B" w:rsidP="0004391F">
            <w:pPr>
              <w:jc w:val="center"/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32"/>
                <w:szCs w:val="32"/>
                <w:lang w:eastAsia="es-SV"/>
              </w:rPr>
              <w:t>SERVICIOS ADICIONALES  POR CENTRO DE ATENCIÓN</w:t>
            </w:r>
          </w:p>
        </w:tc>
        <w:tc>
          <w:tcPr>
            <w:tcW w:w="2360" w:type="dxa"/>
            <w:shd w:val="clear" w:color="auto" w:fill="auto"/>
            <w:hideMark/>
          </w:tcPr>
          <w:p w14:paraId="21201EE0" w14:textId="77777777" w:rsidR="00D52B4B" w:rsidRPr="006D2A36" w:rsidRDefault="00D52B4B" w:rsidP="00043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SV"/>
              </w:rPr>
              <w:t>Atenciones Brindadas</w:t>
            </w:r>
          </w:p>
        </w:tc>
      </w:tr>
      <w:tr w:rsidR="006D2A36" w:rsidRPr="006D2A36" w14:paraId="53324BFA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731E629D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DEL APARATO LOCOMOTOR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6FBA2535" w14:textId="5C985177" w:rsidR="00D52B4B" w:rsidRPr="006D2A36" w:rsidRDefault="00D52B4B" w:rsidP="00D5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51,302</w:t>
            </w:r>
          </w:p>
        </w:tc>
      </w:tr>
      <w:tr w:rsidR="006D2A36" w:rsidRPr="006D2A36" w14:paraId="065BFCF3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4B999B0C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ATENCIÓN A ANCIANOS "SARA ZALDÍVAR"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5EDE0468" w14:textId="5A7A1C11" w:rsidR="00D52B4B" w:rsidRPr="006D2A36" w:rsidRDefault="00D52B4B" w:rsidP="00D5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960,666</w:t>
            </w:r>
          </w:p>
        </w:tc>
      </w:tr>
      <w:tr w:rsidR="006D2A36" w:rsidRPr="006D2A36" w14:paraId="2A9BCA3E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1203B0B9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AUDICIÓN Y LENGUAJE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329F76C2" w14:textId="1993B037" w:rsidR="00D52B4B" w:rsidRPr="006D2A36" w:rsidRDefault="00D52B4B" w:rsidP="00D5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24,575</w:t>
            </w:r>
          </w:p>
        </w:tc>
      </w:tr>
      <w:tr w:rsidR="006D2A36" w:rsidRPr="006D2A36" w14:paraId="6ABE26FA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35AA773A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DE OCCIDENTE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67ACC994" w14:textId="51DBE102" w:rsidR="00D52B4B" w:rsidRPr="006D2A36" w:rsidRDefault="00D52B4B" w:rsidP="00D5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16,464</w:t>
            </w:r>
          </w:p>
        </w:tc>
      </w:tr>
      <w:tr w:rsidR="006D2A36" w:rsidRPr="006D2A36" w14:paraId="166BDA01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1BEA3A76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DE ORIENTE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03D17B17" w14:textId="7B53D7F3" w:rsidR="00D52B4B" w:rsidRPr="006D2A36" w:rsidRDefault="00D52B4B" w:rsidP="00D5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25,703</w:t>
            </w:r>
          </w:p>
        </w:tc>
      </w:tr>
      <w:tr w:rsidR="006D2A36" w:rsidRPr="006D2A36" w14:paraId="4FAF69C0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42971821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INTEGRAL PARA LA NIÑEZ Y LA ADOLESCENCIA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39857392" w14:textId="5A907764" w:rsidR="00D52B4B" w:rsidRPr="006D2A36" w:rsidRDefault="00D52B4B" w:rsidP="00D5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1,801</w:t>
            </w:r>
          </w:p>
        </w:tc>
      </w:tr>
      <w:tr w:rsidR="006D2A36" w:rsidRPr="006D2A36" w14:paraId="7488ABB3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1778D00E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DE CIEGOS "EUGENIA DE DUEÑAS"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10D272BE" w14:textId="734129BE" w:rsidR="00D52B4B" w:rsidRPr="006D2A36" w:rsidRDefault="00D52B4B" w:rsidP="00D5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18,923</w:t>
            </w:r>
          </w:p>
        </w:tc>
      </w:tr>
      <w:tr w:rsidR="006D2A36" w:rsidRPr="006D2A36" w14:paraId="034BB55C" w14:textId="77777777" w:rsidTr="006D2A3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3A2FF993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CENTRO DE REHABILITACIÓN PROFESIONAL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5D864681" w14:textId="25EB45E0" w:rsidR="00D52B4B" w:rsidRPr="006D2A36" w:rsidRDefault="00D52B4B" w:rsidP="00D5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600</w:t>
            </w:r>
          </w:p>
        </w:tc>
      </w:tr>
      <w:tr w:rsidR="006D2A36" w:rsidRPr="006D2A36" w14:paraId="4E8314D2" w14:textId="77777777" w:rsidTr="006D2A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0A792C85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UNIDAD DE CONSULTA EXTERNA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65AD903B" w14:textId="4DE472EC" w:rsidR="00D52B4B" w:rsidRPr="006D2A36" w:rsidRDefault="00D52B4B" w:rsidP="00D52B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</w:rPr>
              <w:t>37,402</w:t>
            </w:r>
          </w:p>
        </w:tc>
      </w:tr>
      <w:tr w:rsidR="006D2A36" w:rsidRPr="006D2A36" w14:paraId="6F76C527" w14:textId="77777777" w:rsidTr="006D2A3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0" w:type="dxa"/>
            <w:shd w:val="clear" w:color="auto" w:fill="auto"/>
            <w:noWrap/>
            <w:hideMark/>
          </w:tcPr>
          <w:p w14:paraId="15C28E57" w14:textId="77777777" w:rsidR="00D52B4B" w:rsidRPr="006D2A36" w:rsidRDefault="00D52B4B" w:rsidP="00D52B4B">
            <w:pPr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</w:pPr>
            <w:r w:rsidRPr="006D2A36">
              <w:rPr>
                <w:rFonts w:ascii="Calibri" w:eastAsia="Times New Roman" w:hAnsi="Calibri" w:cs="Calibri"/>
                <w:sz w:val="18"/>
                <w:szCs w:val="18"/>
                <w:lang w:eastAsia="es-SV"/>
              </w:rPr>
              <w:t>TOTAL GENERAL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14:paraId="63DB4F1C" w14:textId="5019ABB0" w:rsidR="00D52B4B" w:rsidRPr="006D2A36" w:rsidRDefault="00D52B4B" w:rsidP="00D52B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s-SV"/>
              </w:rPr>
            </w:pPr>
            <w:r w:rsidRPr="006D2A3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1137,436</w:t>
            </w:r>
          </w:p>
        </w:tc>
      </w:tr>
    </w:tbl>
    <w:p w14:paraId="3B95B05E" w14:textId="0F59F9AC" w:rsidR="005A16AC" w:rsidRDefault="005A16AC" w:rsidP="005A16AC">
      <w:pPr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</w:t>
      </w:r>
    </w:p>
    <w:p w14:paraId="6F112B3E" w14:textId="17F4EF87" w:rsidR="005A16AC" w:rsidRDefault="005A16AC" w:rsidP="005A16AC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En total se brindaron 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1137,436</w:t>
      </w: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atenciones </w:t>
      </w: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en l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as los servicios adicionales</w:t>
      </w:r>
      <w:r w:rsidRPr="00680968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distribuidas según la especialidad de cada Centro de Atención</w:t>
      </w:r>
      <w:r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. Estas incluyen los siguientes programas</w:t>
      </w:r>
    </w:p>
    <w:p w14:paraId="3129DE37" w14:textId="0521CA6F" w:rsidR="00D52B4B" w:rsidRPr="00D52B4B" w:rsidRDefault="009961B3" w:rsidP="005A16AC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/>
          <w:szCs w:val="24"/>
          <w:u w:val="single"/>
          <w:lang w:eastAsia="es-ES"/>
        </w:rPr>
        <w:lastRenderedPageBreak/>
        <w:t>SERVICIOS A</w:t>
      </w:r>
      <w:r w:rsidR="00644C65">
        <w:rPr>
          <w:rFonts w:ascii="Century Gothic" w:eastAsia="Times New Roman" w:hAnsi="Century Gothic" w:cs="Times New Roman"/>
          <w:b/>
          <w:bCs/>
          <w:noProof/>
          <w:color w:val="000000"/>
          <w:szCs w:val="24"/>
          <w:u w:val="single"/>
          <w:lang w:eastAsia="es-ES"/>
        </w:rPr>
        <w:t>D</w:t>
      </w:r>
      <w:bookmarkStart w:id="0" w:name="_GoBack"/>
      <w:bookmarkEnd w:id="0"/>
      <w:r>
        <w:rPr>
          <w:rFonts w:ascii="Century Gothic" w:eastAsia="Times New Roman" w:hAnsi="Century Gothic" w:cs="Times New Roman"/>
          <w:b/>
          <w:bCs/>
          <w:noProof/>
          <w:color w:val="000000"/>
          <w:szCs w:val="24"/>
          <w:u w:val="single"/>
          <w:lang w:eastAsia="es-ES"/>
        </w:rPr>
        <w:t>ICIONALES</w:t>
      </w:r>
      <w:r w:rsidR="005A16AC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u w:val="single"/>
          <w:lang w:eastAsia="es-ES"/>
        </w:rPr>
        <w:t>: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</w:t>
      </w:r>
      <w:r w:rsidR="005A16AC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Alimentacion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, </w:t>
      </w:r>
      <w:r w:rsidR="005A16AC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Roperia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, </w:t>
      </w:r>
      <w:r w:rsidR="005A16AC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Talleres De Produccion: Ayudas Tecnicas</w:t>
      </w:r>
      <w:r w:rsidR="005A16AC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(ortesis y protesis)</w:t>
      </w:r>
      <w:r w:rsidR="005A16AC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, Calzado, Componentes, Sillas Especiales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, t</w:t>
      </w:r>
      <w:r w:rsidR="00D52B4B" w:rsidRP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erapia</w:t>
      </w:r>
      <w:r w:rsidR="00D52B4B" w:rsidRPr="00406C31">
        <w:rPr>
          <w:rFonts w:ascii="Century Gothic" w:eastAsia="Times New Roman" w:hAnsi="Century Gothic" w:cs="Times New Roman"/>
          <w:b/>
          <w:bCs/>
          <w:i/>
          <w:noProof/>
          <w:color w:val="000000"/>
          <w:sz w:val="20"/>
          <w:szCs w:val="24"/>
          <w:lang w:eastAsia="es-ES"/>
        </w:rPr>
        <w:t xml:space="preserve"> </w:t>
      </w:r>
      <w:r w:rsidR="00D52B4B" w:rsidRP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Respiratoria; Atenciones de Enfermeria en consulta externa y servicios de residencia y ulam: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Asignacion de Consulta, Asistencia a</w:t>
      </w:r>
      <w:r w:rsidR="00D52B4B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Usuario, Charlas 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u</w:t>
      </w:r>
      <w:r w:rsidR="00D52B4B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Orientacion, Esterilizaciones, Numero D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e Camas, Procedimientos/ Apoyo a</w:t>
      </w:r>
      <w:r w:rsidR="00D52B4B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Procedimientos, Enfermeria -Se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rvicio Ambulatorio, Asignacion de Consulta, Asistencia a</w:t>
      </w:r>
      <w:r w:rsidR="00D52B4B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Usuario, Enfermeria 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-Servicio Encamamiento, Numero </w:t>
      </w:r>
      <w:r w:rsidR="00D52B4B" w:rsidRP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de Camas; </w:t>
      </w:r>
      <w:r w:rsidR="00D52B4B" w:rsidRPr="00D52B4B">
        <w:rPr>
          <w:rFonts w:ascii="Century Gothic" w:eastAsia="Times New Roman" w:hAnsi="Century Gothic" w:cs="Times New Roman"/>
          <w:bCs/>
          <w:i/>
          <w:noProof/>
          <w:color w:val="000000"/>
          <w:sz w:val="20"/>
          <w:szCs w:val="24"/>
          <w:lang w:eastAsia="es-ES"/>
        </w:rPr>
        <w:t>Insercion Laboral</w:t>
      </w:r>
      <w:r w:rsidR="00D52B4B" w:rsidRP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: Personas Insertadas, Promociones Empresariales, Seguimiento Laboral; </w:t>
      </w:r>
      <w:r w:rsidR="00D52B4B" w:rsidRPr="00D52B4B">
        <w:rPr>
          <w:rFonts w:ascii="Century Gothic" w:eastAsia="Times New Roman" w:hAnsi="Century Gothic" w:cs="Times New Roman"/>
          <w:bCs/>
          <w:i/>
          <w:noProof/>
          <w:color w:val="000000"/>
          <w:sz w:val="20"/>
          <w:szCs w:val="24"/>
          <w:lang w:eastAsia="es-ES"/>
        </w:rPr>
        <w:t xml:space="preserve">Trabajo Social: </w:t>
      </w:r>
      <w:r w:rsidR="00D52B4B" w:rsidRP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Casos, Charlas, Equipos de Trabajo, Escuela para Padres, Estudio</w:t>
      </w:r>
      <w:r w:rsidR="00D52B4B" w:rsidRPr="00406C31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 xml:space="preserve"> Sociofamiliar, Estudio Sociofamiliar/Inventario De Apoyo Social, Opinion Ciudadana, Programa, Visitas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eastAsia="es-ES"/>
        </w:rPr>
        <w:t>.</w:t>
      </w:r>
    </w:p>
    <w:p w14:paraId="75EE7D58" w14:textId="77777777" w:rsidR="005A16AC" w:rsidRDefault="005A16AC" w:rsidP="005A16AC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</w:p>
    <w:p w14:paraId="48B8F234" w14:textId="2BA9D45A" w:rsid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  <w:r w:rsidRPr="00E4768E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Los Centros de Atención </w:t>
      </w:r>
      <w:r w:rsidR="008B2317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brindaron d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urante el periodo un total de 1</w:t>
      </w:r>
      <w:r w:rsidR="000D64CD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,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718</w:t>
      </w:r>
      <w:r w:rsidR="000D64CD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>,</w:t>
      </w:r>
      <w:r w:rsidR="00D52B4B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265 </w:t>
      </w:r>
      <w:r w:rsidR="008B2317"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  <w:t xml:space="preserve"> atenciones a los usuarios del ISRI, en todos los servicios.</w:t>
      </w:r>
    </w:p>
    <w:p w14:paraId="61A90BE4" w14:textId="77777777" w:rsidR="008B2317" w:rsidRDefault="008B2317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</w:p>
    <w:p w14:paraId="7D7D92DC" w14:textId="164F3735" w:rsidR="00D52B4B" w:rsidRDefault="00D52B4B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  <w:r>
        <w:rPr>
          <w:noProof/>
          <w:lang w:eastAsia="es-SV"/>
        </w:rPr>
        <w:drawing>
          <wp:inline distT="0" distB="0" distL="0" distR="0" wp14:anchorId="7805A2A6" wp14:editId="434CF98A">
            <wp:extent cx="5612130" cy="3086100"/>
            <wp:effectExtent l="0" t="0" r="762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D3A0DC9" w14:textId="5D8D1B8D" w:rsidR="008B2317" w:rsidRPr="00E4768E" w:rsidRDefault="008B2317" w:rsidP="00665716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noProof/>
          <w:color w:val="000000"/>
          <w:sz w:val="20"/>
          <w:szCs w:val="24"/>
          <w:lang w:val="es-ES" w:eastAsia="es-ES"/>
        </w:rPr>
      </w:pPr>
    </w:p>
    <w:p w14:paraId="6638B528" w14:textId="77777777" w:rsidR="00014FC1" w:rsidRDefault="00014FC1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2D4445DB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2F38AF23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2CA39D9E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1BE29051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5DC725B4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3BFE3FA9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23DD04FF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711572DD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5EE48C62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00EA6E70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3C9B6234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3013427B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6DEA229A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4A3E5772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54AD80A9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1F2DC1D7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397224E8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6AFE9CEA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44D6A588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79993B3A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068224B2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49C6879F" w14:textId="77777777" w:rsidR="000D64CD" w:rsidRDefault="000D64CD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6D30E552" w14:textId="77777777" w:rsidR="00014FC1" w:rsidRDefault="00014FC1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7A93BADF" w14:textId="30CC5E3C" w:rsidR="00E4768E" w:rsidRPr="00E4768E" w:rsidRDefault="00BE2DF9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  <w:r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>TO</w:t>
      </w:r>
      <w:r w:rsidR="008B2317"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>TAL DE PERSONAS REHABILITADAS EN EL P</w:t>
      </w:r>
      <w:r w:rsidR="00185F3F"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>E</w:t>
      </w:r>
      <w:r w:rsidR="008B2317"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>RIODO</w:t>
      </w:r>
      <w:r w:rsidR="00185F3F"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 xml:space="preserve"> JUNIO </w:t>
      </w:r>
      <w:r w:rsidR="00477A18"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>2018</w:t>
      </w:r>
      <w:r w:rsidR="00185F3F"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 xml:space="preserve"> – MAYO 201</w:t>
      </w:r>
      <w:r w:rsidR="00477A18"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  <w:t>9</w:t>
      </w:r>
    </w:p>
    <w:p w14:paraId="107500D0" w14:textId="77777777" w:rsidR="00E4768E" w:rsidRP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b/>
          <w:color w:val="4D4D4D"/>
          <w:kern w:val="28"/>
          <w:sz w:val="18"/>
          <w:szCs w:val="20"/>
          <w:lang w:val="es-ES" w:eastAsia="es-ES"/>
        </w:rPr>
      </w:pPr>
    </w:p>
    <w:p w14:paraId="73ACF284" w14:textId="015924BB" w:rsidR="00E4768E" w:rsidRP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Los egresos de los programas de atención alcanzan en </w:t>
      </w:r>
      <w:r w:rsidR="00CE44E5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fue de </w:t>
      </w:r>
      <w:r w:rsidR="000D64CD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5,087</w:t>
      </w:r>
      <w:r w:rsidR="002D418F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usuarios de los cuales, </w:t>
      </w:r>
      <w:r w:rsidR="000D64CD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3073</w:t>
      </w:r>
      <w:r w:rsidR="00FE28BB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(60</w:t>
      </w:r>
      <w:r w:rsidR="00111D24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%) fueron rehabilitados, el </w:t>
      </w:r>
      <w:r w:rsidR="000D64CD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27</w:t>
      </w:r>
      <w:r w:rsidR="00111D24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% corresponde a egresos por retiro voluntario de los usuarios, por defunciones, </w:t>
      </w:r>
      <w:r w:rsidR="00166E82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causas médicas o transferencias, y el 13 otros egresos de los cuales no se </w:t>
      </w:r>
      <w:r w:rsidR="00477A18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>registró</w:t>
      </w:r>
      <w:r w:rsidR="00166E82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causa.</w:t>
      </w:r>
    </w:p>
    <w:p w14:paraId="4CE0B2AE" w14:textId="77777777" w:rsidR="00E4768E" w:rsidRPr="00E4768E" w:rsidRDefault="00E4768E" w:rsidP="00E4768E">
      <w:pPr>
        <w:widowControl w:val="0"/>
        <w:spacing w:after="0" w:line="240" w:lineRule="auto"/>
        <w:jc w:val="both"/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</w:pPr>
      <w:r w:rsidRPr="00E4768E">
        <w:rPr>
          <w:rFonts w:ascii="Century Gothic" w:eastAsia="Times New Roman" w:hAnsi="Century Gothic" w:cs="Century Gothic"/>
          <w:color w:val="4D4D4D"/>
          <w:kern w:val="28"/>
          <w:sz w:val="20"/>
          <w:szCs w:val="20"/>
          <w:lang w:val="es-ES" w:eastAsia="es-ES"/>
        </w:rPr>
        <w:t xml:space="preserve">  </w:t>
      </w:r>
    </w:p>
    <w:tbl>
      <w:tblPr>
        <w:tblStyle w:val="Tabladecuadrcula4-nfasis4"/>
        <w:tblW w:w="10673" w:type="dxa"/>
        <w:tblInd w:w="-921" w:type="dxa"/>
        <w:tblLook w:val="04A0" w:firstRow="1" w:lastRow="0" w:firstColumn="1" w:lastColumn="0" w:noHBand="0" w:noVBand="1"/>
      </w:tblPr>
      <w:tblGrid>
        <w:gridCol w:w="1194"/>
        <w:gridCol w:w="1272"/>
        <w:gridCol w:w="1206"/>
        <w:gridCol w:w="1416"/>
        <w:gridCol w:w="1895"/>
        <w:gridCol w:w="1669"/>
        <w:gridCol w:w="2021"/>
      </w:tblGrid>
      <w:tr w:rsidR="00FE28BB" w:rsidRPr="00FE28BB" w14:paraId="37841AE2" w14:textId="77777777" w:rsidTr="00FE2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3" w:type="dxa"/>
            <w:gridSpan w:val="7"/>
            <w:noWrap/>
            <w:hideMark/>
          </w:tcPr>
          <w:p w14:paraId="04E74664" w14:textId="744EC140" w:rsidR="00FE28BB" w:rsidRPr="00FE28BB" w:rsidRDefault="000D64CD" w:rsidP="00FE28B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JUNIO 2018</w:t>
            </w:r>
            <w:r w:rsidR="00FE28BB" w:rsidRPr="00FE28B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A MAYO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2019</w:t>
            </w:r>
          </w:p>
        </w:tc>
      </w:tr>
      <w:tr w:rsidR="00FE28BB" w:rsidRPr="00FE28BB" w14:paraId="705F283B" w14:textId="77777777" w:rsidTr="00FE2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62081E8D" w14:textId="77777777" w:rsidR="00FE28BB" w:rsidRPr="00FE28BB" w:rsidRDefault="00FE28BB" w:rsidP="00FE28BB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E2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CENTROS</w:t>
            </w:r>
          </w:p>
        </w:tc>
        <w:tc>
          <w:tcPr>
            <w:tcW w:w="1272" w:type="dxa"/>
            <w:noWrap/>
            <w:vAlign w:val="center"/>
            <w:hideMark/>
          </w:tcPr>
          <w:p w14:paraId="6C88E7E1" w14:textId="77777777" w:rsidR="00FE28BB" w:rsidRPr="00FE28BB" w:rsidRDefault="00FE28BB" w:rsidP="00FE28B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E2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INGRESOS</w:t>
            </w:r>
          </w:p>
        </w:tc>
        <w:tc>
          <w:tcPr>
            <w:tcW w:w="1206" w:type="dxa"/>
            <w:noWrap/>
            <w:vAlign w:val="center"/>
            <w:hideMark/>
          </w:tcPr>
          <w:p w14:paraId="5B3488B7" w14:textId="77777777" w:rsidR="00FE28BB" w:rsidRPr="00FE28BB" w:rsidRDefault="00FE28BB" w:rsidP="00FE28B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E2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EGRESOS</w:t>
            </w:r>
          </w:p>
        </w:tc>
        <w:tc>
          <w:tcPr>
            <w:tcW w:w="1416" w:type="dxa"/>
            <w:noWrap/>
            <w:vAlign w:val="center"/>
            <w:hideMark/>
          </w:tcPr>
          <w:p w14:paraId="096DB691" w14:textId="71A0D4F5" w:rsidR="00FE28BB" w:rsidRPr="00FE28BB" w:rsidRDefault="00FE28BB" w:rsidP="00FE28B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E2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CONTINÚAN</w:t>
            </w:r>
          </w:p>
        </w:tc>
        <w:tc>
          <w:tcPr>
            <w:tcW w:w="1895" w:type="dxa"/>
            <w:noWrap/>
            <w:vAlign w:val="center"/>
            <w:hideMark/>
          </w:tcPr>
          <w:p w14:paraId="5101833C" w14:textId="77777777" w:rsidR="00FE28BB" w:rsidRPr="00FE28BB" w:rsidRDefault="00FE28BB" w:rsidP="00FE28B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E2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REHABILITADOS</w:t>
            </w:r>
          </w:p>
        </w:tc>
        <w:tc>
          <w:tcPr>
            <w:tcW w:w="1669" w:type="dxa"/>
            <w:noWrap/>
            <w:vAlign w:val="center"/>
            <w:hideMark/>
          </w:tcPr>
          <w:p w14:paraId="4214753B" w14:textId="77777777" w:rsidR="00FE28BB" w:rsidRPr="00FE28BB" w:rsidRDefault="00FE28BB" w:rsidP="00FE28B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E2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VOLUNTARIAS</w:t>
            </w:r>
          </w:p>
        </w:tc>
        <w:tc>
          <w:tcPr>
            <w:tcW w:w="2021" w:type="dxa"/>
            <w:noWrap/>
            <w:vAlign w:val="center"/>
            <w:hideMark/>
          </w:tcPr>
          <w:p w14:paraId="25E22982" w14:textId="77777777" w:rsidR="00FE28BB" w:rsidRPr="00FE28BB" w:rsidRDefault="00FE28BB" w:rsidP="00FE28B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E2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OTROS EGRESOS</w:t>
            </w:r>
          </w:p>
        </w:tc>
      </w:tr>
      <w:tr w:rsidR="000D64CD" w:rsidRPr="00FE28BB" w14:paraId="7FFB506F" w14:textId="77777777" w:rsidTr="007C0F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0D974EA1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ASILO</w:t>
            </w:r>
          </w:p>
        </w:tc>
        <w:tc>
          <w:tcPr>
            <w:tcW w:w="1272" w:type="dxa"/>
            <w:noWrap/>
            <w:vAlign w:val="bottom"/>
          </w:tcPr>
          <w:p w14:paraId="00B03F3F" w14:textId="4BC6E7E1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1206" w:type="dxa"/>
            <w:noWrap/>
            <w:vAlign w:val="bottom"/>
          </w:tcPr>
          <w:p w14:paraId="047715AD" w14:textId="28BA7815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6" w:type="dxa"/>
            <w:noWrap/>
            <w:vAlign w:val="bottom"/>
          </w:tcPr>
          <w:p w14:paraId="678753C1" w14:textId="149D9333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895" w:type="dxa"/>
            <w:noWrap/>
            <w:vAlign w:val="bottom"/>
          </w:tcPr>
          <w:p w14:paraId="4DA50A82" w14:textId="7C24CFA2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69" w:type="dxa"/>
            <w:noWrap/>
            <w:vAlign w:val="bottom"/>
          </w:tcPr>
          <w:p w14:paraId="4F90ED53" w14:textId="2B3E7E54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21" w:type="dxa"/>
            <w:noWrap/>
            <w:vAlign w:val="bottom"/>
          </w:tcPr>
          <w:p w14:paraId="05ED69AA" w14:textId="17811564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0D64CD" w:rsidRPr="00FE28BB" w14:paraId="725ECB69" w14:textId="77777777" w:rsidTr="007C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67499C92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C.EXT</w:t>
            </w:r>
          </w:p>
        </w:tc>
        <w:tc>
          <w:tcPr>
            <w:tcW w:w="1272" w:type="dxa"/>
            <w:noWrap/>
            <w:vAlign w:val="bottom"/>
          </w:tcPr>
          <w:p w14:paraId="0E087CC3" w14:textId="4E1E4BA2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noWrap/>
            <w:vAlign w:val="bottom"/>
          </w:tcPr>
          <w:p w14:paraId="76A6F1A5" w14:textId="7B48696E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noWrap/>
            <w:vAlign w:val="bottom"/>
          </w:tcPr>
          <w:p w14:paraId="7D91389B" w14:textId="24018A2A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5" w:type="dxa"/>
            <w:noWrap/>
            <w:vAlign w:val="bottom"/>
          </w:tcPr>
          <w:p w14:paraId="47358147" w14:textId="6A1E21A1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9" w:type="dxa"/>
            <w:noWrap/>
            <w:vAlign w:val="bottom"/>
          </w:tcPr>
          <w:p w14:paraId="6AAD5B14" w14:textId="20FD1C6B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1" w:type="dxa"/>
            <w:noWrap/>
            <w:vAlign w:val="bottom"/>
          </w:tcPr>
          <w:p w14:paraId="178C09C0" w14:textId="2938032C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64CD" w:rsidRPr="00FE28BB" w14:paraId="3794825E" w14:textId="77777777" w:rsidTr="007C0F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39AE71FB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CAL</w:t>
            </w:r>
          </w:p>
        </w:tc>
        <w:tc>
          <w:tcPr>
            <w:tcW w:w="1272" w:type="dxa"/>
            <w:noWrap/>
            <w:vAlign w:val="bottom"/>
          </w:tcPr>
          <w:p w14:paraId="74578751" w14:textId="64DE81B4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5538</w:t>
            </w:r>
          </w:p>
        </w:tc>
        <w:tc>
          <w:tcPr>
            <w:tcW w:w="1206" w:type="dxa"/>
            <w:noWrap/>
            <w:vAlign w:val="bottom"/>
          </w:tcPr>
          <w:p w14:paraId="5CEF2629" w14:textId="4722C49C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416" w:type="dxa"/>
            <w:noWrap/>
            <w:vAlign w:val="bottom"/>
          </w:tcPr>
          <w:p w14:paraId="5D97D6EC" w14:textId="1BDD75EE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4539</w:t>
            </w:r>
          </w:p>
        </w:tc>
        <w:tc>
          <w:tcPr>
            <w:tcW w:w="1895" w:type="dxa"/>
            <w:noWrap/>
            <w:vAlign w:val="bottom"/>
          </w:tcPr>
          <w:p w14:paraId="251D0862" w14:textId="1A01FC76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1669" w:type="dxa"/>
            <w:noWrap/>
            <w:vAlign w:val="bottom"/>
          </w:tcPr>
          <w:p w14:paraId="65D7599D" w14:textId="593EFBE7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21" w:type="dxa"/>
            <w:noWrap/>
            <w:vAlign w:val="bottom"/>
          </w:tcPr>
          <w:p w14:paraId="1195B6DA" w14:textId="6052C03B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159</w:t>
            </w:r>
          </w:p>
        </w:tc>
      </w:tr>
      <w:tr w:rsidR="000D64CD" w:rsidRPr="00FE28BB" w14:paraId="12FE853C" w14:textId="77777777" w:rsidTr="007C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575A1A54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CALE</w:t>
            </w:r>
          </w:p>
        </w:tc>
        <w:tc>
          <w:tcPr>
            <w:tcW w:w="1272" w:type="dxa"/>
            <w:noWrap/>
            <w:vAlign w:val="bottom"/>
          </w:tcPr>
          <w:p w14:paraId="36B0DB9D" w14:textId="61A5862D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2125</w:t>
            </w:r>
          </w:p>
        </w:tc>
        <w:tc>
          <w:tcPr>
            <w:tcW w:w="1206" w:type="dxa"/>
            <w:noWrap/>
            <w:vAlign w:val="bottom"/>
          </w:tcPr>
          <w:p w14:paraId="39E5DA5F" w14:textId="26195806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1416" w:type="dxa"/>
            <w:noWrap/>
            <w:vAlign w:val="bottom"/>
          </w:tcPr>
          <w:p w14:paraId="41F73B2A" w14:textId="35529255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1448</w:t>
            </w:r>
          </w:p>
        </w:tc>
        <w:tc>
          <w:tcPr>
            <w:tcW w:w="1895" w:type="dxa"/>
            <w:noWrap/>
            <w:vAlign w:val="bottom"/>
          </w:tcPr>
          <w:p w14:paraId="44A58D21" w14:textId="3BC48A8A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492</w:t>
            </w:r>
          </w:p>
        </w:tc>
        <w:tc>
          <w:tcPr>
            <w:tcW w:w="1669" w:type="dxa"/>
            <w:noWrap/>
            <w:vAlign w:val="bottom"/>
          </w:tcPr>
          <w:p w14:paraId="1E2400C9" w14:textId="7E03AACB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21" w:type="dxa"/>
            <w:noWrap/>
            <w:vAlign w:val="bottom"/>
          </w:tcPr>
          <w:p w14:paraId="663ED1AB" w14:textId="6DBC25B4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</w:tr>
      <w:tr w:rsidR="000D64CD" w:rsidRPr="00FE28BB" w14:paraId="0F0C9B68" w14:textId="77777777" w:rsidTr="007C0F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494A08CB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CIEGOS</w:t>
            </w:r>
          </w:p>
        </w:tc>
        <w:tc>
          <w:tcPr>
            <w:tcW w:w="1272" w:type="dxa"/>
            <w:noWrap/>
            <w:vAlign w:val="bottom"/>
          </w:tcPr>
          <w:p w14:paraId="38401DDA" w14:textId="65FF633F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1206" w:type="dxa"/>
            <w:noWrap/>
            <w:vAlign w:val="bottom"/>
          </w:tcPr>
          <w:p w14:paraId="0EC60053" w14:textId="118F67A5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6" w:type="dxa"/>
            <w:noWrap/>
            <w:vAlign w:val="bottom"/>
          </w:tcPr>
          <w:p w14:paraId="5D07389B" w14:textId="4587CCCE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1895" w:type="dxa"/>
            <w:noWrap/>
            <w:vAlign w:val="bottom"/>
          </w:tcPr>
          <w:p w14:paraId="791384F2" w14:textId="05C8C698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69" w:type="dxa"/>
            <w:noWrap/>
            <w:vAlign w:val="bottom"/>
          </w:tcPr>
          <w:p w14:paraId="7CE034AB" w14:textId="02775AD6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21" w:type="dxa"/>
            <w:noWrap/>
            <w:vAlign w:val="bottom"/>
          </w:tcPr>
          <w:p w14:paraId="40516E98" w14:textId="37E47E43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</w:tr>
      <w:tr w:rsidR="000D64CD" w:rsidRPr="00FE28BB" w14:paraId="3100E79D" w14:textId="77777777" w:rsidTr="007C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71B2A49E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CRINA</w:t>
            </w:r>
          </w:p>
        </w:tc>
        <w:tc>
          <w:tcPr>
            <w:tcW w:w="1272" w:type="dxa"/>
            <w:noWrap/>
            <w:vAlign w:val="bottom"/>
          </w:tcPr>
          <w:p w14:paraId="6D62384F" w14:textId="53CCA4DC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4626</w:t>
            </w:r>
          </w:p>
        </w:tc>
        <w:tc>
          <w:tcPr>
            <w:tcW w:w="1206" w:type="dxa"/>
            <w:noWrap/>
            <w:vAlign w:val="bottom"/>
          </w:tcPr>
          <w:p w14:paraId="6C1712BA" w14:textId="6CDD7891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1416" w:type="dxa"/>
            <w:noWrap/>
            <w:vAlign w:val="bottom"/>
          </w:tcPr>
          <w:p w14:paraId="4C36564A" w14:textId="07673B0E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4334</w:t>
            </w:r>
          </w:p>
        </w:tc>
        <w:tc>
          <w:tcPr>
            <w:tcW w:w="1895" w:type="dxa"/>
            <w:noWrap/>
            <w:vAlign w:val="bottom"/>
          </w:tcPr>
          <w:p w14:paraId="5B99444D" w14:textId="1E513C9D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669" w:type="dxa"/>
            <w:noWrap/>
            <w:vAlign w:val="bottom"/>
          </w:tcPr>
          <w:p w14:paraId="21DE1BA3" w14:textId="2D8F132D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21" w:type="dxa"/>
            <w:noWrap/>
            <w:vAlign w:val="bottom"/>
          </w:tcPr>
          <w:p w14:paraId="60D6F1A3" w14:textId="64DF6B67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</w:tr>
      <w:tr w:rsidR="000D64CD" w:rsidRPr="00FE28BB" w14:paraId="34103A8A" w14:textId="77777777" w:rsidTr="007C0F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0AC22D02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CRIO</w:t>
            </w:r>
          </w:p>
        </w:tc>
        <w:tc>
          <w:tcPr>
            <w:tcW w:w="1272" w:type="dxa"/>
            <w:noWrap/>
            <w:vAlign w:val="bottom"/>
          </w:tcPr>
          <w:p w14:paraId="56455754" w14:textId="6A284840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3217</w:t>
            </w:r>
          </w:p>
        </w:tc>
        <w:tc>
          <w:tcPr>
            <w:tcW w:w="1206" w:type="dxa"/>
            <w:noWrap/>
            <w:vAlign w:val="bottom"/>
          </w:tcPr>
          <w:p w14:paraId="3D3414CC" w14:textId="2668A66E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1344</w:t>
            </w:r>
          </w:p>
        </w:tc>
        <w:tc>
          <w:tcPr>
            <w:tcW w:w="1416" w:type="dxa"/>
            <w:noWrap/>
            <w:vAlign w:val="bottom"/>
          </w:tcPr>
          <w:p w14:paraId="120EA370" w14:textId="17C58203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1873</w:t>
            </w:r>
          </w:p>
        </w:tc>
        <w:tc>
          <w:tcPr>
            <w:tcW w:w="1895" w:type="dxa"/>
            <w:noWrap/>
            <w:vAlign w:val="bottom"/>
          </w:tcPr>
          <w:p w14:paraId="56A0C48C" w14:textId="0F195B79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669" w:type="dxa"/>
            <w:noWrap/>
            <w:vAlign w:val="bottom"/>
          </w:tcPr>
          <w:p w14:paraId="70A105EC" w14:textId="5AD6F524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2021" w:type="dxa"/>
            <w:noWrap/>
            <w:vAlign w:val="bottom"/>
          </w:tcPr>
          <w:p w14:paraId="6C6D317B" w14:textId="03874B29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0D64CD" w:rsidRPr="00FE28BB" w14:paraId="3080E4A4" w14:textId="77777777" w:rsidTr="007C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6DA28789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CRIOR</w:t>
            </w:r>
          </w:p>
        </w:tc>
        <w:tc>
          <w:tcPr>
            <w:tcW w:w="1272" w:type="dxa"/>
            <w:noWrap/>
            <w:vAlign w:val="bottom"/>
          </w:tcPr>
          <w:p w14:paraId="0F3696F2" w14:textId="785B18A4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4173</w:t>
            </w:r>
          </w:p>
        </w:tc>
        <w:tc>
          <w:tcPr>
            <w:tcW w:w="1206" w:type="dxa"/>
            <w:noWrap/>
            <w:vAlign w:val="bottom"/>
          </w:tcPr>
          <w:p w14:paraId="3C498546" w14:textId="59CD46FC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1517</w:t>
            </w:r>
          </w:p>
        </w:tc>
        <w:tc>
          <w:tcPr>
            <w:tcW w:w="1416" w:type="dxa"/>
            <w:noWrap/>
            <w:vAlign w:val="bottom"/>
          </w:tcPr>
          <w:p w14:paraId="6B8AB395" w14:textId="332911AE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2656</w:t>
            </w:r>
          </w:p>
        </w:tc>
        <w:tc>
          <w:tcPr>
            <w:tcW w:w="1895" w:type="dxa"/>
            <w:noWrap/>
            <w:vAlign w:val="bottom"/>
          </w:tcPr>
          <w:p w14:paraId="43183D36" w14:textId="49981BC6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968</w:t>
            </w:r>
          </w:p>
        </w:tc>
        <w:tc>
          <w:tcPr>
            <w:tcW w:w="1669" w:type="dxa"/>
            <w:noWrap/>
            <w:vAlign w:val="bottom"/>
          </w:tcPr>
          <w:p w14:paraId="13F1119E" w14:textId="6B6E536B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2021" w:type="dxa"/>
            <w:noWrap/>
            <w:vAlign w:val="bottom"/>
          </w:tcPr>
          <w:p w14:paraId="223D9B70" w14:textId="02831D92" w:rsidR="000D64CD" w:rsidRPr="00FE28BB" w:rsidRDefault="000D64CD" w:rsidP="000D64CD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139</w:t>
            </w:r>
          </w:p>
        </w:tc>
      </w:tr>
      <w:tr w:rsidR="000D64CD" w:rsidRPr="00FE28BB" w14:paraId="2D712D1A" w14:textId="77777777" w:rsidTr="007C0FF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5BD02FF5" w14:textId="77777777" w:rsidR="000D64CD" w:rsidRPr="00FE28BB" w:rsidRDefault="000D64CD" w:rsidP="000D64CD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RP</w:t>
            </w:r>
          </w:p>
        </w:tc>
        <w:tc>
          <w:tcPr>
            <w:tcW w:w="1272" w:type="dxa"/>
            <w:noWrap/>
            <w:vAlign w:val="bottom"/>
          </w:tcPr>
          <w:p w14:paraId="5CCCB5AD" w14:textId="7B121A84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1206" w:type="dxa"/>
            <w:noWrap/>
            <w:vAlign w:val="bottom"/>
          </w:tcPr>
          <w:p w14:paraId="3462885D" w14:textId="009027CE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6" w:type="dxa"/>
            <w:noWrap/>
            <w:vAlign w:val="bottom"/>
          </w:tcPr>
          <w:p w14:paraId="43161B72" w14:textId="3553B8F8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895" w:type="dxa"/>
            <w:noWrap/>
            <w:vAlign w:val="bottom"/>
          </w:tcPr>
          <w:p w14:paraId="4227BF14" w14:textId="67EBBF3C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69" w:type="dxa"/>
            <w:noWrap/>
            <w:vAlign w:val="bottom"/>
          </w:tcPr>
          <w:p w14:paraId="09DA33DE" w14:textId="5A144E87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21" w:type="dxa"/>
            <w:noWrap/>
            <w:vAlign w:val="bottom"/>
          </w:tcPr>
          <w:p w14:paraId="130477B6" w14:textId="58157E96" w:rsidR="000D64CD" w:rsidRPr="00FE28BB" w:rsidRDefault="000D64CD" w:rsidP="000D64CD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</w:tr>
      <w:tr w:rsidR="000D64CD" w:rsidRPr="00FE28BB" w14:paraId="332B543C" w14:textId="77777777" w:rsidTr="00866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69DC09D2" w14:textId="77777777" w:rsidR="000D64CD" w:rsidRPr="00FE28BB" w:rsidRDefault="000D64CD" w:rsidP="000D64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 w:rsidRPr="00FE28BB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TOTAL</w:t>
            </w:r>
          </w:p>
        </w:tc>
        <w:tc>
          <w:tcPr>
            <w:tcW w:w="1272" w:type="dxa"/>
            <w:noWrap/>
            <w:vAlign w:val="bottom"/>
          </w:tcPr>
          <w:p w14:paraId="3971B327" w14:textId="19B4D13D" w:rsidR="000D64CD" w:rsidRPr="00FE28BB" w:rsidRDefault="000D64CD" w:rsidP="000D6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20503</w:t>
            </w:r>
          </w:p>
        </w:tc>
        <w:tc>
          <w:tcPr>
            <w:tcW w:w="1206" w:type="dxa"/>
            <w:noWrap/>
            <w:vAlign w:val="bottom"/>
          </w:tcPr>
          <w:p w14:paraId="59F2AE4A" w14:textId="48CBD6EB" w:rsidR="000D64CD" w:rsidRPr="00FE28BB" w:rsidRDefault="000D64CD" w:rsidP="000D6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5087</w:t>
            </w:r>
          </w:p>
        </w:tc>
        <w:tc>
          <w:tcPr>
            <w:tcW w:w="1416" w:type="dxa"/>
            <w:noWrap/>
            <w:vAlign w:val="bottom"/>
          </w:tcPr>
          <w:p w14:paraId="4E1545E4" w14:textId="4F00D355" w:rsidR="000D64CD" w:rsidRPr="00FE28BB" w:rsidRDefault="000D64CD" w:rsidP="000D6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15416</w:t>
            </w:r>
          </w:p>
        </w:tc>
        <w:tc>
          <w:tcPr>
            <w:tcW w:w="1895" w:type="dxa"/>
            <w:noWrap/>
            <w:vAlign w:val="bottom"/>
          </w:tcPr>
          <w:p w14:paraId="21272315" w14:textId="6DB8352C" w:rsidR="000D64CD" w:rsidRPr="00FE28BB" w:rsidRDefault="000D64CD" w:rsidP="000D6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3073</w:t>
            </w:r>
          </w:p>
        </w:tc>
        <w:tc>
          <w:tcPr>
            <w:tcW w:w="1669" w:type="dxa"/>
            <w:noWrap/>
            <w:vAlign w:val="bottom"/>
          </w:tcPr>
          <w:p w14:paraId="75799BA4" w14:textId="4EDCDC42" w:rsidR="000D64CD" w:rsidRPr="00FE28BB" w:rsidRDefault="000D64CD" w:rsidP="000D6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1365</w:t>
            </w:r>
          </w:p>
        </w:tc>
        <w:tc>
          <w:tcPr>
            <w:tcW w:w="2021" w:type="dxa"/>
            <w:noWrap/>
            <w:vAlign w:val="bottom"/>
          </w:tcPr>
          <w:p w14:paraId="5554D990" w14:textId="09FAB2D0" w:rsidR="000D64CD" w:rsidRPr="00FE28BB" w:rsidRDefault="000D64CD" w:rsidP="000D64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color w:val="000000"/>
                <w:sz w:val="16"/>
                <w:szCs w:val="16"/>
              </w:rPr>
              <w:t>649</w:t>
            </w:r>
          </w:p>
        </w:tc>
      </w:tr>
      <w:tr w:rsidR="00FE28BB" w:rsidRPr="00FE28BB" w14:paraId="613491DB" w14:textId="77777777" w:rsidTr="000D64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noWrap/>
            <w:vAlign w:val="center"/>
            <w:hideMark/>
          </w:tcPr>
          <w:p w14:paraId="204B635B" w14:textId="71AA7913" w:rsidR="00FE28BB" w:rsidRPr="00FE28BB" w:rsidRDefault="000D64CD" w:rsidP="00FE28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es-SV"/>
              </w:rPr>
              <w:t>%</w:t>
            </w:r>
          </w:p>
        </w:tc>
        <w:tc>
          <w:tcPr>
            <w:tcW w:w="1272" w:type="dxa"/>
            <w:noWrap/>
            <w:vAlign w:val="center"/>
            <w:hideMark/>
          </w:tcPr>
          <w:p w14:paraId="072F6092" w14:textId="77777777" w:rsidR="00FE28BB" w:rsidRPr="00FE28BB" w:rsidRDefault="00FE28BB" w:rsidP="00FE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F987198" w14:textId="77777777" w:rsidR="00FE28BB" w:rsidRPr="00FE28BB" w:rsidRDefault="00FE28BB" w:rsidP="00FE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564AA2AB" w14:textId="77777777" w:rsidR="00FE28BB" w:rsidRPr="00FE28BB" w:rsidRDefault="00FE28BB" w:rsidP="00FE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95" w:type="dxa"/>
            <w:noWrap/>
            <w:vAlign w:val="center"/>
          </w:tcPr>
          <w:p w14:paraId="084F5AC8" w14:textId="33F3D1DA" w:rsidR="00FE28BB" w:rsidRPr="00FE28BB" w:rsidRDefault="000D64CD" w:rsidP="00FE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es-SV"/>
              </w:rPr>
              <w:t>60%</w:t>
            </w:r>
          </w:p>
        </w:tc>
        <w:tc>
          <w:tcPr>
            <w:tcW w:w="1669" w:type="dxa"/>
            <w:noWrap/>
            <w:vAlign w:val="center"/>
          </w:tcPr>
          <w:p w14:paraId="675A6A45" w14:textId="2BC66D17" w:rsidR="00FE28BB" w:rsidRPr="00FE28BB" w:rsidRDefault="000D64CD" w:rsidP="00FE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es-SV"/>
              </w:rPr>
              <w:t>27%</w:t>
            </w:r>
          </w:p>
        </w:tc>
        <w:tc>
          <w:tcPr>
            <w:tcW w:w="2021" w:type="dxa"/>
            <w:noWrap/>
            <w:vAlign w:val="center"/>
          </w:tcPr>
          <w:p w14:paraId="12ABBB13" w14:textId="7653DD79" w:rsidR="00FE28BB" w:rsidRPr="00FE28BB" w:rsidRDefault="000D64CD" w:rsidP="00FE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es-SV"/>
              </w:rPr>
              <w:t>13%</w:t>
            </w:r>
          </w:p>
        </w:tc>
      </w:tr>
    </w:tbl>
    <w:p w14:paraId="20A431FE" w14:textId="77777777" w:rsidR="009871EC" w:rsidRDefault="009871EC" w:rsidP="00FE28BB"/>
    <w:sectPr w:rsidR="009871EC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7764C" w14:textId="77777777" w:rsidR="00941BAF" w:rsidRDefault="00941BAF" w:rsidP="00D26323">
      <w:pPr>
        <w:spacing w:after="0" w:line="240" w:lineRule="auto"/>
      </w:pPr>
      <w:r>
        <w:separator/>
      </w:r>
    </w:p>
  </w:endnote>
  <w:endnote w:type="continuationSeparator" w:id="0">
    <w:p w14:paraId="545C8C9D" w14:textId="77777777" w:rsidR="00941BAF" w:rsidRDefault="00941BAF" w:rsidP="00D2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B60CD" w14:textId="77777777" w:rsidR="00941BAF" w:rsidRDefault="00941BAF" w:rsidP="00D26323">
      <w:pPr>
        <w:spacing w:after="0" w:line="240" w:lineRule="auto"/>
      </w:pPr>
      <w:r>
        <w:separator/>
      </w:r>
    </w:p>
  </w:footnote>
  <w:footnote w:type="continuationSeparator" w:id="0">
    <w:p w14:paraId="64B277E6" w14:textId="77777777" w:rsidR="00941BAF" w:rsidRDefault="00941BAF" w:rsidP="00D2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B9E6" w14:textId="1AA94970" w:rsidR="008F3D11" w:rsidRDefault="008F3D11">
    <w:pPr>
      <w:pStyle w:val="Encabezado"/>
    </w:pPr>
    <w:r w:rsidRPr="005F39F6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C53B16C" wp14:editId="2D835163">
          <wp:simplePos x="0" y="0"/>
          <wp:positionH relativeFrom="column">
            <wp:posOffset>-800100</wp:posOffset>
          </wp:positionH>
          <wp:positionV relativeFrom="paragraph">
            <wp:posOffset>-252095</wp:posOffset>
          </wp:positionV>
          <wp:extent cx="1184044" cy="547255"/>
          <wp:effectExtent l="0" t="0" r="0" b="5715"/>
          <wp:wrapSquare wrapText="bothSides"/>
          <wp:docPr id="21" name="Imagen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044" cy="54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D60124" w14:textId="77777777" w:rsidR="008F3D11" w:rsidRDefault="008F3D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427E7"/>
    <w:multiLevelType w:val="multilevel"/>
    <w:tmpl w:val="17D2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8075D"/>
    <w:multiLevelType w:val="multilevel"/>
    <w:tmpl w:val="5CC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8E"/>
    <w:rsid w:val="00000784"/>
    <w:rsid w:val="00003BF6"/>
    <w:rsid w:val="00007FAE"/>
    <w:rsid w:val="00014FC1"/>
    <w:rsid w:val="000155E5"/>
    <w:rsid w:val="00023D77"/>
    <w:rsid w:val="000325A2"/>
    <w:rsid w:val="00056936"/>
    <w:rsid w:val="00065281"/>
    <w:rsid w:val="00075579"/>
    <w:rsid w:val="0007788E"/>
    <w:rsid w:val="00087DED"/>
    <w:rsid w:val="000A058B"/>
    <w:rsid w:val="000B05DE"/>
    <w:rsid w:val="000B1887"/>
    <w:rsid w:val="000D39E9"/>
    <w:rsid w:val="000D64CD"/>
    <w:rsid w:val="000D7D81"/>
    <w:rsid w:val="000F3388"/>
    <w:rsid w:val="001059CF"/>
    <w:rsid w:val="001111F8"/>
    <w:rsid w:val="00111D24"/>
    <w:rsid w:val="001139CA"/>
    <w:rsid w:val="00113BC8"/>
    <w:rsid w:val="00127527"/>
    <w:rsid w:val="00133D2E"/>
    <w:rsid w:val="00145F06"/>
    <w:rsid w:val="00166E82"/>
    <w:rsid w:val="00173E89"/>
    <w:rsid w:val="00185F3F"/>
    <w:rsid w:val="00193663"/>
    <w:rsid w:val="001B338A"/>
    <w:rsid w:val="001C5B19"/>
    <w:rsid w:val="001E0A29"/>
    <w:rsid w:val="002053BB"/>
    <w:rsid w:val="002135EF"/>
    <w:rsid w:val="00213F50"/>
    <w:rsid w:val="00221831"/>
    <w:rsid w:val="00234CFE"/>
    <w:rsid w:val="002460BA"/>
    <w:rsid w:val="002540F9"/>
    <w:rsid w:val="00257C54"/>
    <w:rsid w:val="0026233C"/>
    <w:rsid w:val="002645DF"/>
    <w:rsid w:val="00266D70"/>
    <w:rsid w:val="00285E7C"/>
    <w:rsid w:val="0029127D"/>
    <w:rsid w:val="002948E6"/>
    <w:rsid w:val="002D2EF9"/>
    <w:rsid w:val="002D418F"/>
    <w:rsid w:val="002F65F9"/>
    <w:rsid w:val="00330ACF"/>
    <w:rsid w:val="00341904"/>
    <w:rsid w:val="00342586"/>
    <w:rsid w:val="00351DC2"/>
    <w:rsid w:val="00376181"/>
    <w:rsid w:val="0039636C"/>
    <w:rsid w:val="003A4DFD"/>
    <w:rsid w:val="003C0381"/>
    <w:rsid w:val="003C643D"/>
    <w:rsid w:val="003C6997"/>
    <w:rsid w:val="003C7328"/>
    <w:rsid w:val="003C7453"/>
    <w:rsid w:val="003D2C2F"/>
    <w:rsid w:val="003F46D1"/>
    <w:rsid w:val="00402D8C"/>
    <w:rsid w:val="00404B58"/>
    <w:rsid w:val="004159B3"/>
    <w:rsid w:val="00417C22"/>
    <w:rsid w:val="004718F4"/>
    <w:rsid w:val="00474DA3"/>
    <w:rsid w:val="00477A18"/>
    <w:rsid w:val="004A5977"/>
    <w:rsid w:val="004A6555"/>
    <w:rsid w:val="004C1B63"/>
    <w:rsid w:val="004E2631"/>
    <w:rsid w:val="0052210D"/>
    <w:rsid w:val="00525EA2"/>
    <w:rsid w:val="00537C56"/>
    <w:rsid w:val="00572855"/>
    <w:rsid w:val="005738FC"/>
    <w:rsid w:val="0057643D"/>
    <w:rsid w:val="00584D1B"/>
    <w:rsid w:val="00592E80"/>
    <w:rsid w:val="005A16AC"/>
    <w:rsid w:val="005A615B"/>
    <w:rsid w:val="005B0A3D"/>
    <w:rsid w:val="005B720E"/>
    <w:rsid w:val="005E3132"/>
    <w:rsid w:val="005E78C1"/>
    <w:rsid w:val="00627322"/>
    <w:rsid w:val="006357E5"/>
    <w:rsid w:val="00635C04"/>
    <w:rsid w:val="006412C7"/>
    <w:rsid w:val="00643906"/>
    <w:rsid w:val="00644C65"/>
    <w:rsid w:val="00651442"/>
    <w:rsid w:val="00665716"/>
    <w:rsid w:val="00677175"/>
    <w:rsid w:val="00680968"/>
    <w:rsid w:val="006C3F06"/>
    <w:rsid w:val="006D2A36"/>
    <w:rsid w:val="006D604C"/>
    <w:rsid w:val="006E538D"/>
    <w:rsid w:val="00737372"/>
    <w:rsid w:val="0074622B"/>
    <w:rsid w:val="00782ED5"/>
    <w:rsid w:val="00784930"/>
    <w:rsid w:val="00786DCC"/>
    <w:rsid w:val="007917C0"/>
    <w:rsid w:val="00793DFA"/>
    <w:rsid w:val="00797A2E"/>
    <w:rsid w:val="007A79F3"/>
    <w:rsid w:val="007B4FB6"/>
    <w:rsid w:val="007B4FFC"/>
    <w:rsid w:val="007B65AF"/>
    <w:rsid w:val="007C37E3"/>
    <w:rsid w:val="007C7E24"/>
    <w:rsid w:val="007F1B5A"/>
    <w:rsid w:val="00807BDE"/>
    <w:rsid w:val="00823194"/>
    <w:rsid w:val="00826A7B"/>
    <w:rsid w:val="00840C3F"/>
    <w:rsid w:val="008565AE"/>
    <w:rsid w:val="008567DA"/>
    <w:rsid w:val="00872468"/>
    <w:rsid w:val="00893FC4"/>
    <w:rsid w:val="00897BCA"/>
    <w:rsid w:val="008A3388"/>
    <w:rsid w:val="008B2317"/>
    <w:rsid w:val="008D2116"/>
    <w:rsid w:val="008E5609"/>
    <w:rsid w:val="008F3D11"/>
    <w:rsid w:val="0092202C"/>
    <w:rsid w:val="0092668D"/>
    <w:rsid w:val="00933862"/>
    <w:rsid w:val="00937245"/>
    <w:rsid w:val="00941BAF"/>
    <w:rsid w:val="0098016C"/>
    <w:rsid w:val="00982D9D"/>
    <w:rsid w:val="00984AEA"/>
    <w:rsid w:val="009871EC"/>
    <w:rsid w:val="009961B3"/>
    <w:rsid w:val="009A66B3"/>
    <w:rsid w:val="009B3B16"/>
    <w:rsid w:val="009B5D2C"/>
    <w:rsid w:val="009E4EC2"/>
    <w:rsid w:val="00A35F76"/>
    <w:rsid w:val="00A46F16"/>
    <w:rsid w:val="00A53192"/>
    <w:rsid w:val="00A56445"/>
    <w:rsid w:val="00A64526"/>
    <w:rsid w:val="00A875F2"/>
    <w:rsid w:val="00A87FD8"/>
    <w:rsid w:val="00A94D75"/>
    <w:rsid w:val="00AB46E5"/>
    <w:rsid w:val="00AE50A7"/>
    <w:rsid w:val="00AE7787"/>
    <w:rsid w:val="00AF3731"/>
    <w:rsid w:val="00AF5FD5"/>
    <w:rsid w:val="00B11F5A"/>
    <w:rsid w:val="00B12D81"/>
    <w:rsid w:val="00B158EB"/>
    <w:rsid w:val="00B1627C"/>
    <w:rsid w:val="00B25CE4"/>
    <w:rsid w:val="00B5764D"/>
    <w:rsid w:val="00B6071A"/>
    <w:rsid w:val="00B65AB1"/>
    <w:rsid w:val="00B7338E"/>
    <w:rsid w:val="00B82AE6"/>
    <w:rsid w:val="00B956FD"/>
    <w:rsid w:val="00B95B08"/>
    <w:rsid w:val="00BA222D"/>
    <w:rsid w:val="00BA7538"/>
    <w:rsid w:val="00BE2DF9"/>
    <w:rsid w:val="00BE7E20"/>
    <w:rsid w:val="00BF2B91"/>
    <w:rsid w:val="00BF5BB9"/>
    <w:rsid w:val="00C035E0"/>
    <w:rsid w:val="00C06DE6"/>
    <w:rsid w:val="00C14FBF"/>
    <w:rsid w:val="00C215C2"/>
    <w:rsid w:val="00C3395C"/>
    <w:rsid w:val="00C73D84"/>
    <w:rsid w:val="00C76C47"/>
    <w:rsid w:val="00CE17EB"/>
    <w:rsid w:val="00CE3C5D"/>
    <w:rsid w:val="00CE44E5"/>
    <w:rsid w:val="00D13E65"/>
    <w:rsid w:val="00D217CA"/>
    <w:rsid w:val="00D21C00"/>
    <w:rsid w:val="00D26323"/>
    <w:rsid w:val="00D31FD0"/>
    <w:rsid w:val="00D52B4B"/>
    <w:rsid w:val="00D63A1F"/>
    <w:rsid w:val="00D66CDA"/>
    <w:rsid w:val="00D95359"/>
    <w:rsid w:val="00DA6BA2"/>
    <w:rsid w:val="00DB08C5"/>
    <w:rsid w:val="00DC6871"/>
    <w:rsid w:val="00E13A2E"/>
    <w:rsid w:val="00E22339"/>
    <w:rsid w:val="00E339E1"/>
    <w:rsid w:val="00E4768E"/>
    <w:rsid w:val="00E50009"/>
    <w:rsid w:val="00E56AD5"/>
    <w:rsid w:val="00ED1759"/>
    <w:rsid w:val="00ED3446"/>
    <w:rsid w:val="00ED5B71"/>
    <w:rsid w:val="00EF5C68"/>
    <w:rsid w:val="00F007FD"/>
    <w:rsid w:val="00F0429C"/>
    <w:rsid w:val="00F32A06"/>
    <w:rsid w:val="00F35DE1"/>
    <w:rsid w:val="00F42D3C"/>
    <w:rsid w:val="00F71045"/>
    <w:rsid w:val="00F851F3"/>
    <w:rsid w:val="00F96DE9"/>
    <w:rsid w:val="00F972F5"/>
    <w:rsid w:val="00FA363B"/>
    <w:rsid w:val="00FA407E"/>
    <w:rsid w:val="00FB2370"/>
    <w:rsid w:val="00FB5D00"/>
    <w:rsid w:val="00FC4236"/>
    <w:rsid w:val="00FE28BB"/>
    <w:rsid w:val="00FF2FC3"/>
    <w:rsid w:val="00FF3522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14F0"/>
  <w15:docId w15:val="{4067F1A6-553F-4F7C-850F-EE17F959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6AC"/>
  </w:style>
  <w:style w:type="paragraph" w:styleId="Ttulo1">
    <w:name w:val="heading 1"/>
    <w:basedOn w:val="Normal"/>
    <w:next w:val="Normal"/>
    <w:link w:val="Ttulo1Car"/>
    <w:uiPriority w:val="9"/>
    <w:qFormat/>
    <w:rsid w:val="00AB4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6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476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768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68E"/>
    <w:rPr>
      <w:rFonts w:ascii="Tahoma" w:hAnsi="Tahoma" w:cs="Tahoma"/>
      <w:sz w:val="16"/>
      <w:szCs w:val="16"/>
    </w:rPr>
  </w:style>
  <w:style w:type="table" w:customStyle="1" w:styleId="Tabladecuadrcula4-nfasis31">
    <w:name w:val="Tabla de cuadrícula 4 - Énfasis 31"/>
    <w:basedOn w:val="Tablanormal"/>
    <w:uiPriority w:val="49"/>
    <w:rsid w:val="004A6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DC68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decuadrcula4-nfasis5">
    <w:name w:val="Grid Table 4 Accent 5"/>
    <w:basedOn w:val="Tablanormal"/>
    <w:uiPriority w:val="49"/>
    <w:rsid w:val="008565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263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323"/>
  </w:style>
  <w:style w:type="paragraph" w:styleId="Piedepgina">
    <w:name w:val="footer"/>
    <w:basedOn w:val="Normal"/>
    <w:link w:val="PiedepginaCar"/>
    <w:uiPriority w:val="99"/>
    <w:unhideWhenUsed/>
    <w:rsid w:val="00D263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323"/>
  </w:style>
  <w:style w:type="table" w:styleId="Tabladecuadrcula4-nfasis4">
    <w:name w:val="Grid Table 4 Accent 4"/>
    <w:basedOn w:val="Tablanormal"/>
    <w:uiPriority w:val="49"/>
    <w:rsid w:val="00FE28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Prrafodelista">
    <w:name w:val="List Paragraph"/>
    <w:basedOn w:val="Normal"/>
    <w:uiPriority w:val="34"/>
    <w:qFormat/>
    <w:rsid w:val="00AB46E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B4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6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9961B3"/>
    <w:pPr>
      <w:spacing w:line="259" w:lineRule="auto"/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9961B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961B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96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POBLACION%202015-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TABLA%20DE%20RENDIMIENTO%20CENTROS%20Y%20GLOBAL%202018-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POBLACION%202015-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POBLACION%202015-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efe.estadistica\Documents\2019\ESTADISTICA\07%20ISRI%20RENDICION%20DE%20CUENTAS%20ANUALES\RENDICION%20DE%20CUENTAS%202018-2019\Procedencia.xlsx" TargetMode="External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TABLA%20DE%20DISCAPACIDADES%202018-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TABLA%20DE%20DISCAPACIDADES%202018-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TABLA%20DE%20DISCAPACIDADES%202018-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TABLA%20DE%20DISCAPACIDADES%202018-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fe.estadistica\Documents\2019\ESTADISTICA\07%20ISRI%20RENDICION%20DE%20CUENTAS%20ANUALES\RENDICION%20DE%20CUENTAS%202018-2019\TABLA%20DE%20RENDIMIENTO%20CENTROS%20Y%20GLOBAL%202018-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Grafico 1. ISRI POBLACION TOTAL 2015-2019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'Poblacion Total'!$B$4</c:f>
              <c:strCache>
                <c:ptCount val="1"/>
                <c:pt idx="0">
                  <c:v>ISRI POBLACION 2015-2019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6944444444444469E-2"/>
                  <c:y val="-6.018518518518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27777777777778E-2"/>
                  <c:y val="-6.944444444444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8055555555555555E-2"/>
                  <c:y val="-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611111111111215E-2"/>
                  <c:y val="-4.1666666666666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'Poblacion Total'!$A$5:$A$8</c:f>
              <c:strCache>
                <c:ptCount val="4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'Poblacion Total'!$B$5:$B$8</c:f>
              <c:numCache>
                <c:formatCode>General</c:formatCode>
                <c:ptCount val="4"/>
                <c:pt idx="0">
                  <c:v>29962</c:v>
                </c:pt>
                <c:pt idx="1">
                  <c:v>26422</c:v>
                </c:pt>
                <c:pt idx="2">
                  <c:v>30335</c:v>
                </c:pt>
                <c:pt idx="3">
                  <c:v>32193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16972496"/>
        <c:axId val="516973280"/>
      </c:lineChart>
      <c:catAx>
        <c:axId val="516972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973280"/>
        <c:crosses val="autoZero"/>
        <c:auto val="1"/>
        <c:lblAlgn val="ctr"/>
        <c:lblOffset val="100"/>
        <c:noMultiLvlLbl val="0"/>
      </c:catAx>
      <c:valAx>
        <c:axId val="51697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97249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1.1428571428571411E-2"/>
                  <c:y val="-0.111780841209076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142857142857109E-2"/>
                  <c:y val="-0.26301374402135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8.2191795006673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9840463038281107E-17"/>
                  <c:y val="-9.8630154008008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619047619047619E-3"/>
                  <c:y val="-8.8767138607207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9840463038281107E-17"/>
                  <c:y val="-7.8904123206406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5238095238095247E-3"/>
                  <c:y val="-9.8630154008008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9.8630154008008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142857142858539E-3"/>
                  <c:y val="-6.5753436005338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D27-4075-8FD2-CA5F969A5207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9047619047619189E-2"/>
                  <c:y val="-0.351780882628563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D27-4075-8FD2-CA5F969A520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'RESUMEN POR SERVICIO'!$B$162:$B$171</c:f>
              <c:strCache>
                <c:ptCount val="10"/>
                <c:pt idx="0">
                  <c:v>CENTRO DEL APARATO LOCOMOTOR</c:v>
                </c:pt>
                <c:pt idx="1">
                  <c:v>CENTRO DE ATENCION A ANCIANOS "SARA ZALDIVAR"</c:v>
                </c:pt>
                <c:pt idx="2">
                  <c:v>CENTRO DE AUDICION Y LENGUAJE</c:v>
                </c:pt>
                <c:pt idx="3">
                  <c:v>CENTRO DE REHABILITACION INTEGRAL DE OCCIDENTE</c:v>
                </c:pt>
                <c:pt idx="4">
                  <c:v>CENTRO DE REHABILITACION INTEGRAL DE ORIENTE</c:v>
                </c:pt>
                <c:pt idx="5">
                  <c:v>CENTRO DE REHABILITACION INTEGRAL PARA LA NIÑEZ Y LA ADOLECENCIA</c:v>
                </c:pt>
                <c:pt idx="6">
                  <c:v>CENTRO DE REHABILITACION DE CIEGOS "EUGENIA DE DUEÑAS"</c:v>
                </c:pt>
                <c:pt idx="7">
                  <c:v>CENTRO DE REHABILITACION PROFESIONAL</c:v>
                </c:pt>
                <c:pt idx="8">
                  <c:v>UNIDAD DE CONSULTA EXTERNA</c:v>
                </c:pt>
                <c:pt idx="9">
                  <c:v>TOTAL GENERAL </c:v>
                </c:pt>
              </c:strCache>
            </c:strRef>
          </c:cat>
          <c:val>
            <c:numRef>
              <c:f>'RESUMEN POR SERVICIO'!$D$162:$D$171</c:f>
              <c:numCache>
                <c:formatCode>#,##0</c:formatCode>
                <c:ptCount val="10"/>
                <c:pt idx="0">
                  <c:v>150047</c:v>
                </c:pt>
                <c:pt idx="1">
                  <c:v>1012413</c:v>
                </c:pt>
                <c:pt idx="2">
                  <c:v>91298</c:v>
                </c:pt>
                <c:pt idx="3">
                  <c:v>93539</c:v>
                </c:pt>
                <c:pt idx="4">
                  <c:v>83469</c:v>
                </c:pt>
                <c:pt idx="5">
                  <c:v>155663</c:v>
                </c:pt>
                <c:pt idx="6">
                  <c:v>64342</c:v>
                </c:pt>
                <c:pt idx="7">
                  <c:v>8163</c:v>
                </c:pt>
                <c:pt idx="8">
                  <c:v>59331</c:v>
                </c:pt>
                <c:pt idx="9">
                  <c:v>1718265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D27-4075-8FD2-CA5F969A5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6791704"/>
        <c:axId val="356792096"/>
        <c:axId val="0"/>
      </c:bar3DChart>
      <c:catAx>
        <c:axId val="356791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792096"/>
        <c:crosses val="autoZero"/>
        <c:auto val="1"/>
        <c:lblAlgn val="ctr"/>
        <c:lblOffset val="100"/>
        <c:noMultiLvlLbl val="0"/>
      </c:catAx>
      <c:valAx>
        <c:axId val="35679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791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Grafico 2 población, Edad y Sexo 2018-2019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'Edad y SExo'!$A$7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'Edad y SExo'!$B$6:$J$6</c:f>
              <c:strCache>
                <c:ptCount val="9"/>
                <c:pt idx="0">
                  <c:v>Mneor de 1 año</c:v>
                </c:pt>
                <c:pt idx="1">
                  <c:v>1 a 4 </c:v>
                </c:pt>
                <c:pt idx="2">
                  <c:v>5 a 11</c:v>
                </c:pt>
                <c:pt idx="3">
                  <c:v>12 a 17</c:v>
                </c:pt>
                <c:pt idx="4">
                  <c:v>18 a 29</c:v>
                </c:pt>
                <c:pt idx="5">
                  <c:v>30 a 39</c:v>
                </c:pt>
                <c:pt idx="6">
                  <c:v>40 a49</c:v>
                </c:pt>
                <c:pt idx="7">
                  <c:v>50 a 59</c:v>
                </c:pt>
                <c:pt idx="8">
                  <c:v>Mayor de 60</c:v>
                </c:pt>
              </c:strCache>
            </c:strRef>
          </c:cat>
          <c:val>
            <c:numRef>
              <c:f>'Edad y SExo'!$B$7:$J$7</c:f>
              <c:numCache>
                <c:formatCode>General</c:formatCode>
                <c:ptCount val="9"/>
                <c:pt idx="0">
                  <c:v>1537</c:v>
                </c:pt>
                <c:pt idx="1">
                  <c:v>4281</c:v>
                </c:pt>
                <c:pt idx="2">
                  <c:v>3426</c:v>
                </c:pt>
                <c:pt idx="3">
                  <c:v>2728</c:v>
                </c:pt>
                <c:pt idx="4">
                  <c:v>1114</c:v>
                </c:pt>
                <c:pt idx="5">
                  <c:v>676</c:v>
                </c:pt>
                <c:pt idx="6">
                  <c:v>753</c:v>
                </c:pt>
                <c:pt idx="7">
                  <c:v>738</c:v>
                </c:pt>
                <c:pt idx="8">
                  <c:v>1783</c:v>
                </c:pt>
              </c:numCache>
            </c:numRef>
          </c:val>
        </c:ser>
        <c:ser>
          <c:idx val="1"/>
          <c:order val="1"/>
          <c:tx>
            <c:strRef>
              <c:f>'Edad y SExo'!$A$8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'Edad y SExo'!$B$6:$J$6</c:f>
              <c:strCache>
                <c:ptCount val="9"/>
                <c:pt idx="0">
                  <c:v>Mneor de 1 año</c:v>
                </c:pt>
                <c:pt idx="1">
                  <c:v>1 a 4 </c:v>
                </c:pt>
                <c:pt idx="2">
                  <c:v>5 a 11</c:v>
                </c:pt>
                <c:pt idx="3">
                  <c:v>12 a 17</c:v>
                </c:pt>
                <c:pt idx="4">
                  <c:v>18 a 29</c:v>
                </c:pt>
                <c:pt idx="5">
                  <c:v>30 a 39</c:v>
                </c:pt>
                <c:pt idx="6">
                  <c:v>40 a49</c:v>
                </c:pt>
                <c:pt idx="7">
                  <c:v>50 a 59</c:v>
                </c:pt>
                <c:pt idx="8">
                  <c:v>Mayor de 60</c:v>
                </c:pt>
              </c:strCache>
            </c:strRef>
          </c:cat>
          <c:val>
            <c:numRef>
              <c:f>'Edad y SExo'!$B$8:$J$8</c:f>
              <c:numCache>
                <c:formatCode>General</c:formatCode>
                <c:ptCount val="9"/>
                <c:pt idx="0">
                  <c:v>1372</c:v>
                </c:pt>
                <c:pt idx="1">
                  <c:v>2511</c:v>
                </c:pt>
                <c:pt idx="2">
                  <c:v>1684</c:v>
                </c:pt>
                <c:pt idx="3">
                  <c:v>1558</c:v>
                </c:pt>
                <c:pt idx="4">
                  <c:v>878</c:v>
                </c:pt>
                <c:pt idx="5">
                  <c:v>724</c:v>
                </c:pt>
                <c:pt idx="6">
                  <c:v>1136</c:v>
                </c:pt>
                <c:pt idx="7">
                  <c:v>1789</c:v>
                </c:pt>
                <c:pt idx="8">
                  <c:v>3505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6974064"/>
        <c:axId val="516974456"/>
      </c:barChart>
      <c:catAx>
        <c:axId val="51697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974456"/>
        <c:crosses val="autoZero"/>
        <c:auto val="1"/>
        <c:lblAlgn val="ctr"/>
        <c:lblOffset val="100"/>
        <c:noMultiLvlLbl val="0"/>
      </c:catAx>
      <c:valAx>
        <c:axId val="516974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97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Grafico</a:t>
            </a:r>
            <a:r>
              <a:rPr lang="es-SV" sz="1100" baseline="0"/>
              <a:t> 3 Niñez y Adolescencia 2018-2019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'Edad y SExo'!$A$7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'Edad y SExo'!$B$6:$E$6</c:f>
              <c:strCache>
                <c:ptCount val="4"/>
                <c:pt idx="0">
                  <c:v>Mneor de 1 año</c:v>
                </c:pt>
                <c:pt idx="1">
                  <c:v>1 a 4 </c:v>
                </c:pt>
                <c:pt idx="2">
                  <c:v>5 a 11</c:v>
                </c:pt>
                <c:pt idx="3">
                  <c:v>12 a 17</c:v>
                </c:pt>
              </c:strCache>
            </c:strRef>
          </c:cat>
          <c:val>
            <c:numRef>
              <c:f>'Edad y SExo'!$B$7:$E$7</c:f>
              <c:numCache>
                <c:formatCode>General</c:formatCode>
                <c:ptCount val="4"/>
                <c:pt idx="0">
                  <c:v>1537</c:v>
                </c:pt>
                <c:pt idx="1">
                  <c:v>4281</c:v>
                </c:pt>
                <c:pt idx="2">
                  <c:v>3426</c:v>
                </c:pt>
                <c:pt idx="3">
                  <c:v>2728</c:v>
                </c:pt>
              </c:numCache>
            </c:numRef>
          </c:val>
        </c:ser>
        <c:ser>
          <c:idx val="1"/>
          <c:order val="1"/>
          <c:tx>
            <c:strRef>
              <c:f>'Edad y SExo'!$A$8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'Edad y SExo'!$B$6:$E$6</c:f>
              <c:strCache>
                <c:ptCount val="4"/>
                <c:pt idx="0">
                  <c:v>Mneor de 1 año</c:v>
                </c:pt>
                <c:pt idx="1">
                  <c:v>1 a 4 </c:v>
                </c:pt>
                <c:pt idx="2">
                  <c:v>5 a 11</c:v>
                </c:pt>
                <c:pt idx="3">
                  <c:v>12 a 17</c:v>
                </c:pt>
              </c:strCache>
            </c:strRef>
          </c:cat>
          <c:val>
            <c:numRef>
              <c:f>'Edad y SExo'!$B$8:$E$8</c:f>
              <c:numCache>
                <c:formatCode>General</c:formatCode>
                <c:ptCount val="4"/>
                <c:pt idx="0">
                  <c:v>1372</c:v>
                </c:pt>
                <c:pt idx="1">
                  <c:v>2511</c:v>
                </c:pt>
                <c:pt idx="2">
                  <c:v>1684</c:v>
                </c:pt>
                <c:pt idx="3">
                  <c:v>1558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6975240"/>
        <c:axId val="516975632"/>
      </c:barChart>
      <c:catAx>
        <c:axId val="516975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975632"/>
        <c:crosses val="autoZero"/>
        <c:auto val="1"/>
        <c:lblAlgn val="ctr"/>
        <c:lblOffset val="100"/>
        <c:noMultiLvlLbl val="0"/>
      </c:catAx>
      <c:valAx>
        <c:axId val="516975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6975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'Procedencia depto'!$B$5</c:f>
              <c:strCache>
                <c:ptCount val="1"/>
                <c:pt idx="0">
                  <c:v>AHUACHAPAN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depto'!$C$5</c:f>
              <c:numCache>
                <c:formatCode>General</c:formatCode>
                <c:ptCount val="1"/>
                <c:pt idx="0">
                  <c:v>502</c:v>
                </c:pt>
              </c:numCache>
            </c:numRef>
          </c:val>
        </c:ser>
        <c:ser>
          <c:idx val="1"/>
          <c:order val="1"/>
          <c:tx>
            <c:strRef>
              <c:f>'Procedencia depto'!$B$6</c:f>
              <c:strCache>
                <c:ptCount val="1"/>
                <c:pt idx="0">
                  <c:v>CABAÑAS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depto'!$C$6</c:f>
              <c:numCache>
                <c:formatCode>General</c:formatCode>
                <c:ptCount val="1"/>
                <c:pt idx="0">
                  <c:v>226</c:v>
                </c:pt>
              </c:numCache>
            </c:numRef>
          </c:val>
        </c:ser>
        <c:ser>
          <c:idx val="2"/>
          <c:order val="2"/>
          <c:tx>
            <c:strRef>
              <c:f>'Procedencia depto'!$B$7</c:f>
              <c:strCache>
                <c:ptCount val="1"/>
                <c:pt idx="0">
                  <c:v>CHALATENANGO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depto'!$C$7</c:f>
              <c:numCache>
                <c:formatCode>General</c:formatCode>
                <c:ptCount val="1"/>
                <c:pt idx="0">
                  <c:v>317</c:v>
                </c:pt>
              </c:numCache>
            </c:numRef>
          </c:val>
        </c:ser>
        <c:ser>
          <c:idx val="3"/>
          <c:order val="3"/>
          <c:tx>
            <c:strRef>
              <c:f>'Procedencia depto'!$B$8</c:f>
              <c:strCache>
                <c:ptCount val="1"/>
                <c:pt idx="0">
                  <c:v>CUSCATLAN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depto'!$C$8</c:f>
              <c:numCache>
                <c:formatCode>General</c:formatCode>
                <c:ptCount val="1"/>
                <c:pt idx="0">
                  <c:v>570</c:v>
                </c:pt>
              </c:numCache>
            </c:numRef>
          </c:val>
        </c:ser>
        <c:ser>
          <c:idx val="4"/>
          <c:order val="4"/>
          <c:tx>
            <c:strRef>
              <c:f>'Procedencia depto'!$B$9</c:f>
              <c:strCache>
                <c:ptCount val="1"/>
                <c:pt idx="0">
                  <c:v>LA LIBERTAD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depto'!$C$9</c:f>
              <c:numCache>
                <c:formatCode>General</c:formatCode>
                <c:ptCount val="1"/>
                <c:pt idx="0">
                  <c:v>1683</c:v>
                </c:pt>
              </c:numCache>
            </c:numRef>
          </c:val>
        </c:ser>
        <c:ser>
          <c:idx val="5"/>
          <c:order val="5"/>
          <c:tx>
            <c:strRef>
              <c:f>'Procedencia depto'!$B$10</c:f>
              <c:strCache>
                <c:ptCount val="1"/>
                <c:pt idx="0">
                  <c:v>LA PAZ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depto'!$C$10</c:f>
              <c:numCache>
                <c:formatCode>General</c:formatCode>
                <c:ptCount val="1"/>
                <c:pt idx="0">
                  <c:v>823</c:v>
                </c:pt>
              </c:numCache>
            </c:numRef>
          </c:val>
        </c:ser>
        <c:ser>
          <c:idx val="6"/>
          <c:order val="6"/>
          <c:tx>
            <c:strRef>
              <c:f>'Procedencia depto'!$B$11</c:f>
              <c:strCache>
                <c:ptCount val="1"/>
                <c:pt idx="0">
                  <c:v>LA UNION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depto'!$C$11</c:f>
              <c:numCache>
                <c:formatCode>General</c:formatCode>
                <c:ptCount val="1"/>
                <c:pt idx="0">
                  <c:v>427</c:v>
                </c:pt>
              </c:numCache>
            </c:numRef>
          </c:val>
        </c:ser>
        <c:ser>
          <c:idx val="7"/>
          <c:order val="7"/>
          <c:tx>
            <c:strRef>
              <c:f>'Procedencia depto'!$B$12</c:f>
              <c:strCache>
                <c:ptCount val="1"/>
                <c:pt idx="0">
                  <c:v>MORAZAN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depto'!$C$12</c:f>
              <c:numCache>
                <c:formatCode>General</c:formatCode>
                <c:ptCount val="1"/>
                <c:pt idx="0">
                  <c:v>321</c:v>
                </c:pt>
              </c:numCache>
            </c:numRef>
          </c:val>
        </c:ser>
        <c:ser>
          <c:idx val="8"/>
          <c:order val="8"/>
          <c:tx>
            <c:strRef>
              <c:f>'Procedencia depto'!$B$13</c:f>
              <c:strCache>
                <c:ptCount val="1"/>
                <c:pt idx="0">
                  <c:v>SAN MIGUEL.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depto'!$C$13</c:f>
              <c:numCache>
                <c:formatCode>General</c:formatCode>
                <c:ptCount val="1"/>
                <c:pt idx="0">
                  <c:v>2581</c:v>
                </c:pt>
              </c:numCache>
            </c:numRef>
          </c:val>
        </c:ser>
        <c:ser>
          <c:idx val="9"/>
          <c:order val="9"/>
          <c:tx>
            <c:strRef>
              <c:f>'Procedencia depto'!$B$14</c:f>
              <c:strCache>
                <c:ptCount val="1"/>
                <c:pt idx="0">
                  <c:v>SAN SALVADOR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depto'!$C$14</c:f>
              <c:numCache>
                <c:formatCode>General</c:formatCode>
                <c:ptCount val="1"/>
                <c:pt idx="0">
                  <c:v>8411</c:v>
                </c:pt>
              </c:numCache>
            </c:numRef>
          </c:val>
        </c:ser>
        <c:ser>
          <c:idx val="10"/>
          <c:order val="10"/>
          <c:tx>
            <c:strRef>
              <c:f>'Procedencia depto'!$B$15</c:f>
              <c:strCache>
                <c:ptCount val="1"/>
                <c:pt idx="0">
                  <c:v>SAN VICENTE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depto'!$C$15</c:f>
              <c:numCache>
                <c:formatCode>General</c:formatCode>
                <c:ptCount val="1"/>
                <c:pt idx="0">
                  <c:v>209</c:v>
                </c:pt>
              </c:numCache>
            </c:numRef>
          </c:val>
        </c:ser>
        <c:ser>
          <c:idx val="11"/>
          <c:order val="11"/>
          <c:tx>
            <c:strRef>
              <c:f>'Procedencia depto'!$B$16</c:f>
              <c:strCache>
                <c:ptCount val="1"/>
                <c:pt idx="0">
                  <c:v>SANTA ANA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depto'!$C$16</c:f>
              <c:numCache>
                <c:formatCode>General</c:formatCode>
                <c:ptCount val="1"/>
                <c:pt idx="0">
                  <c:v>2937</c:v>
                </c:pt>
              </c:numCache>
            </c:numRef>
          </c:val>
        </c:ser>
        <c:ser>
          <c:idx val="12"/>
          <c:order val="12"/>
          <c:tx>
            <c:strRef>
              <c:f>'Procedencia depto'!$B$17</c:f>
              <c:strCache>
                <c:ptCount val="1"/>
                <c:pt idx="0">
                  <c:v>SONSONATE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depto'!$C$17</c:f>
              <c:numCache>
                <c:formatCode>General</c:formatCode>
                <c:ptCount val="1"/>
                <c:pt idx="0">
                  <c:v>547</c:v>
                </c:pt>
              </c:numCache>
            </c:numRef>
          </c:val>
        </c:ser>
        <c:ser>
          <c:idx val="13"/>
          <c:order val="13"/>
          <c:tx>
            <c:strRef>
              <c:f>'Procedencia depto'!$B$18</c:f>
              <c:strCache>
                <c:ptCount val="1"/>
                <c:pt idx="0">
                  <c:v>USULUTAN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'Procedencia depto'!$C$18</c:f>
              <c:numCache>
                <c:formatCode>General</c:formatCode>
                <c:ptCount val="1"/>
                <c:pt idx="0">
                  <c:v>314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33883360"/>
        <c:axId val="433877088"/>
      </c:barChart>
      <c:catAx>
        <c:axId val="4338833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33877088"/>
        <c:crosses val="autoZero"/>
        <c:auto val="1"/>
        <c:lblAlgn val="ctr"/>
        <c:lblOffset val="100"/>
        <c:noMultiLvlLbl val="0"/>
      </c:catAx>
      <c:valAx>
        <c:axId val="433877088"/>
        <c:scaling>
          <c:orientation val="minMax"/>
        </c:scaling>
        <c:delete val="0"/>
        <c:axPos val="t"/>
        <c:majorGridlines/>
        <c:numFmt formatCode="General" sourceLinked="1"/>
        <c:majorTickMark val="none"/>
        <c:minorTickMark val="none"/>
        <c:tickLblPos val="nextTo"/>
        <c:crossAx val="433883360"/>
        <c:crosses val="max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7.2631097657247151E-2"/>
          <c:y val="0.86539810524521266"/>
          <c:w val="0.89155260793743063"/>
          <c:h val="0.13460197533111828"/>
        </c:manualLayout>
      </c:layout>
      <c:overlay val="0"/>
      <c:txPr>
        <a:bodyPr/>
        <a:lstStyle/>
        <a:p>
          <a:pPr>
            <a:defRPr sz="1000"/>
          </a:pPr>
          <a:endParaRPr lang="es-SV"/>
        </a:p>
      </c:txPr>
    </c:legend>
    <c:plotVisOnly val="1"/>
    <c:dispBlanksAs val="gap"/>
    <c:showDLblsOverMax val="0"/>
  </c:chart>
  <c:spPr>
    <a:noFill/>
    <a:ln>
      <a:noFill/>
    </a:ln>
    <a:effectLst>
      <a:outerShdw blurRad="50800" dist="50800" sx="1000" sy="1000" algn="ctr" rotWithShape="0">
        <a:srgbClr val="000000"/>
      </a:outerShdw>
    </a:effectLst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  </a:t>
            </a:r>
            <a:r>
              <a:rPr lang="en-US" sz="1100"/>
              <a:t>Grafico 5,</a:t>
            </a:r>
            <a:r>
              <a:rPr lang="en-US" sz="1100" baseline="0"/>
              <a:t> R</a:t>
            </a:r>
            <a:r>
              <a:rPr lang="en-US" sz="1100"/>
              <a:t>eporte de  discapacidades atendidas por primera vez en el ISRI en cada especialidad que comprende todos los grupos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3211658472083383"/>
          <c:y val="9.3993694861158494E-2"/>
          <c:w val="0.56009562106196376"/>
          <c:h val="0.7470423741012769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4314721107389854E-3"/>
                  <c:y val="2.09412791691819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825719338807301E-4"/>
                  <c:y val="-2.09412791691834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37338049554486E-3"/>
                  <c:y val="-7.678380327395286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908629480985364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DISCAPACIDAD!$B$5:$B$15</c:f>
              <c:strCache>
                <c:ptCount val="9"/>
                <c:pt idx="0">
                  <c:v>Funciones Mentales</c:v>
                </c:pt>
                <c:pt idx="1">
                  <c:v>Funciones Neuromusculoesquelèticas y  
 Relacionadas con el Movimiento
</c:v>
                </c:pt>
                <c:pt idx="2">
                  <c:v>Funciones Sensoriales y Dolor</c:v>
                </c:pt>
                <c:pt idx="3">
                  <c:v>Funciones de la Voz y el Habla</c:v>
                </c:pt>
                <c:pt idx="4">
                  <c:v>Funciones de los Sistema Digestivo, Metabòlico y </c:v>
                </c:pt>
                <c:pt idx="5">
                  <c:v>Endòcrino</c:v>
                </c:pt>
                <c:pt idx="6">
                  <c:v>Funciones de los Sistemas Cardiovascular, </c:v>
                </c:pt>
                <c:pt idx="7">
                  <c:v>Funciones Genitourinarias y Reproductoras</c:v>
                </c:pt>
                <c:pt idx="8">
                  <c:v>Funciones de la Piel y Estructuras Relacionadas</c:v>
                </c:pt>
              </c:strCache>
            </c:strRef>
          </c:cat>
          <c:val>
            <c:numRef>
              <c:f>DISCAPACIDAD!$C$5:$C$15</c:f>
              <c:numCache>
                <c:formatCode>General</c:formatCode>
                <c:ptCount val="11"/>
                <c:pt idx="0">
                  <c:v>4674</c:v>
                </c:pt>
                <c:pt idx="1">
                  <c:v>3512</c:v>
                </c:pt>
                <c:pt idx="2">
                  <c:v>1621</c:v>
                </c:pt>
                <c:pt idx="3">
                  <c:v>566</c:v>
                </c:pt>
                <c:pt idx="4">
                  <c:v>21</c:v>
                </c:pt>
                <c:pt idx="6">
                  <c:v>8</c:v>
                </c:pt>
                <c:pt idx="7">
                  <c:v>7</c:v>
                </c:pt>
                <c:pt idx="8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58"/>
        <c:axId val="433884144"/>
        <c:axId val="289275824"/>
      </c:barChart>
      <c:catAx>
        <c:axId val="43388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9275824"/>
        <c:crosses val="autoZero"/>
        <c:auto val="1"/>
        <c:lblAlgn val="ctr"/>
        <c:lblOffset val="100"/>
        <c:noMultiLvlLbl val="0"/>
      </c:catAx>
      <c:valAx>
        <c:axId val="289275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38841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9045977195824048"/>
          <c:y val="4.8518454340668864E-2"/>
          <c:w val="0.47079843125515625"/>
          <c:h val="0.881482350661807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DIAGNOSTICOS!$B$2:$B$11</c:f>
              <c:strCache>
                <c:ptCount val="10"/>
                <c:pt idx="0">
                  <c:v>TRASTORNO DEL LENGUAJE EXPRESIVO</c:v>
                </c:pt>
                <c:pt idx="1">
                  <c:v>RETARDO DEL DESARROLLO</c:v>
                </c:pt>
                <c:pt idx="2">
                  <c:v>RETRASO METAL </c:v>
                </c:pt>
                <c:pt idx="3">
                  <c:v>LUMBAGO NO ESPECIFICADO</c:v>
                </c:pt>
                <c:pt idx="4">
                  <c:v>ANORMALIDADES DE LA MARCHA Y DE LA MOVILIDAD</c:v>
                </c:pt>
                <c:pt idx="5">
                  <c:v>HISTORIA PERSONAL DE OTROS FACTORES DE RIESGO, NO CLASIFICADOS EN OTRA PARTE</c:v>
                </c:pt>
                <c:pt idx="6">
                  <c:v>HEMIPLEJIA, NO ESPECIFICADA</c:v>
                </c:pt>
                <c:pt idx="7">
                  <c:v>CONTRACTURA ARTICULAR</c:v>
                </c:pt>
                <c:pt idx="8">
                  <c:v>TRASTORNOS ESPECIFICOS DEL DESARROLLO DEL HABLA Y DEL LENGUAJE</c:v>
                </c:pt>
                <c:pt idx="9">
                  <c:v>EPISODIO DEPRESIVO</c:v>
                </c:pt>
              </c:strCache>
            </c:strRef>
          </c:cat>
          <c:val>
            <c:numRef>
              <c:f>DIAGNOSTICOS!$C$2:$C$11</c:f>
              <c:numCache>
                <c:formatCode>General</c:formatCode>
                <c:ptCount val="10"/>
                <c:pt idx="0">
                  <c:v>2037</c:v>
                </c:pt>
                <c:pt idx="1">
                  <c:v>1336</c:v>
                </c:pt>
                <c:pt idx="2">
                  <c:v>843</c:v>
                </c:pt>
                <c:pt idx="3">
                  <c:v>650</c:v>
                </c:pt>
                <c:pt idx="4">
                  <c:v>545</c:v>
                </c:pt>
                <c:pt idx="5">
                  <c:v>468</c:v>
                </c:pt>
                <c:pt idx="6">
                  <c:v>462</c:v>
                </c:pt>
                <c:pt idx="7">
                  <c:v>455</c:v>
                </c:pt>
                <c:pt idx="8">
                  <c:v>377</c:v>
                </c:pt>
                <c:pt idx="9">
                  <c:v>237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289275432"/>
        <c:axId val="518376400"/>
        <c:axId val="0"/>
      </c:bar3DChart>
      <c:catAx>
        <c:axId val="2892754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8376400"/>
        <c:crosses val="autoZero"/>
        <c:auto val="1"/>
        <c:lblAlgn val="ctr"/>
        <c:lblOffset val="100"/>
        <c:noMultiLvlLbl val="0"/>
      </c:catAx>
      <c:valAx>
        <c:axId val="518376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9275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9045977195824048"/>
          <c:y val="4.8518454340668864E-2"/>
          <c:w val="0.47079843125515625"/>
          <c:h val="0.881482350661807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CAUSAS!$B$6:$B$15</c:f>
              <c:strCache>
                <c:ptCount val="10"/>
                <c:pt idx="0">
                  <c:v>CAUSAS DE MORBILIDAD DESCONOCIDAS Y NO ESPECIFICADAS</c:v>
                </c:pt>
                <c:pt idx="1">
                  <c:v>OTROS RECIEN NACIDOS PRETERMINO</c:v>
                </c:pt>
                <c:pt idx="2">
                  <c:v>CAIDA NO ESPECIFICADA</c:v>
                </c:pt>
                <c:pt idx="3">
                  <c:v>SECUELAS DE ENFERMEDAD CEREBROVASCULAR, NO ESPECIFICADA COMO HEMORRAGICA U </c:v>
                </c:pt>
                <c:pt idx="4">
                  <c:v>OTRAS OTITIS MEDIAS CRONICAS NO SUPURATIVAS</c:v>
                </c:pt>
                <c:pt idx="5">
                  <c:v>POSTURA ANORMAL</c:v>
                </c:pt>
                <c:pt idx="6">
                  <c:v>PIE PLANO (PES PLANUS) (ADQUIRIDO)</c:v>
                </c:pt>
                <c:pt idx="7">
                  <c:v>ARTROSIS PRIMARIA DE OTRAS ARTICULACIONES</c:v>
                </c:pt>
                <c:pt idx="8">
                  <c:v>RETARDO DEL DESARROLLO</c:v>
                </c:pt>
                <c:pt idx="9">
                  <c:v>SECUELAS DE OTRAS CAUSAS EXTERNAS</c:v>
                </c:pt>
              </c:strCache>
            </c:strRef>
          </c:cat>
          <c:val>
            <c:numRef>
              <c:f>CAUSAS!$C$6:$C$15</c:f>
              <c:numCache>
                <c:formatCode>General</c:formatCode>
                <c:ptCount val="10"/>
                <c:pt idx="0">
                  <c:v>4953</c:v>
                </c:pt>
                <c:pt idx="1">
                  <c:v>951</c:v>
                </c:pt>
                <c:pt idx="2">
                  <c:v>600</c:v>
                </c:pt>
                <c:pt idx="3">
                  <c:v>472</c:v>
                </c:pt>
                <c:pt idx="4">
                  <c:v>389</c:v>
                </c:pt>
                <c:pt idx="5">
                  <c:v>333</c:v>
                </c:pt>
                <c:pt idx="6">
                  <c:v>265</c:v>
                </c:pt>
                <c:pt idx="7">
                  <c:v>225</c:v>
                </c:pt>
                <c:pt idx="8">
                  <c:v>168</c:v>
                </c:pt>
                <c:pt idx="9">
                  <c:v>138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356788960"/>
        <c:axId val="356789352"/>
        <c:axId val="0"/>
      </c:bar3DChart>
      <c:catAx>
        <c:axId val="3567889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789352"/>
        <c:crosses val="autoZero"/>
        <c:auto val="1"/>
        <c:lblAlgn val="ctr"/>
        <c:lblOffset val="100"/>
        <c:noMultiLvlLbl val="0"/>
      </c:catAx>
      <c:valAx>
        <c:axId val="356789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78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SV" sz="900" b="1" i="0" u="none" strike="noStrike" kern="1200" baseline="0">
                <a:solidFill>
                  <a:schemeClr val="tx1"/>
                </a:solidFill>
                <a:latin typeface="+mn-lt"/>
                <a:ea typeface="Verdana"/>
                <a:cs typeface="Verdana"/>
              </a:defRPr>
            </a:pPr>
            <a:r>
              <a:rPr lang="es-SV" sz="900">
                <a:latin typeface="+mn-lt"/>
              </a:rPr>
              <a:t>Grafico 8 Distribucion porcentual de Referencias</a:t>
            </a:r>
          </a:p>
        </c:rich>
      </c:tx>
      <c:layout>
        <c:manualLayout>
          <c:xMode val="edge"/>
          <c:yMode val="edge"/>
          <c:x val="0.11527377521613852"/>
          <c:y val="2.1276595744680847E-2"/>
        </c:manualLayout>
      </c:layout>
      <c:overlay val="0"/>
      <c:spPr>
        <a:noFill/>
        <a:ln w="14187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SV" sz="900" b="1" i="0" u="none" strike="noStrike" kern="1200" baseline="0">
              <a:solidFill>
                <a:schemeClr val="tx1"/>
              </a:solidFill>
              <a:latin typeface="+mn-lt"/>
              <a:ea typeface="Verdana"/>
              <a:cs typeface="Verdana"/>
            </a:defRPr>
          </a:pPr>
          <a:endParaRPr lang="es-SV"/>
        </a:p>
      </c:txPr>
    </c:title>
    <c:autoTitleDeleted val="0"/>
    <c:view3D>
      <c:rotX val="20"/>
      <c:rotY val="20"/>
      <c:rAngAx val="0"/>
      <c:perspective val="20"/>
    </c:view3D>
    <c:floor>
      <c:thickness val="0"/>
      <c:spPr>
        <a:noFill/>
        <a:ln w="12700" cap="rnd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1270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211334248356569"/>
          <c:y val="0.15367996172338039"/>
          <c:w val="0.75327186410353175"/>
          <c:h val="0.7244850045590576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p3d/>
            </c:spPr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-1.8055696019648921E-2"/>
                  <c:y val="0.2887651834218396"/>
                </c:manualLayout>
              </c:layout>
              <c:spPr>
                <a:solidFill>
                  <a:prstClr val="white"/>
                </a:solidFill>
                <a:ln w="9525" cap="flat" cmpd="sng" algn="ctr">
                  <a:solidFill>
                    <a:prstClr val="black">
                      <a:lumMod val="65000"/>
                      <a:lumOff val="35000"/>
                    </a:prst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tx1"/>
                      </a:solidFill>
                      <a:latin typeface="Verdana"/>
                      <a:ea typeface="Verdana"/>
                      <a:cs typeface="Verdana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27463"/>
                        <a:gd name="adj2" fmla="val -369679"/>
                      </a:avLst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199010394597978E-3"/>
                  <c:y val="-3.343977619857598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5248762993247554E-2"/>
                  <c:y val="-9.77470381189143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2375722910487433"/>
                  <c:y val="-3.343977619857596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994560764738679"/>
                  <c:y val="-0.1071478922881714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prstClr val="white"/>
              </a:solidFill>
              <a:ln>
                <a:solidFill>
                  <a:prstClr val="black">
                    <a:lumMod val="65000"/>
                    <a:lumOff val="35000"/>
                  </a:prst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/>
                    </a:solidFill>
                    <a:latin typeface="Verdana"/>
                    <a:ea typeface="Verdana"/>
                    <a:cs typeface="Verdana"/>
                  </a:defRPr>
                </a:pPr>
                <a:endParaRPr lang="es-S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'Refrencia 2'!$B$3:$B$10</c:f>
              <c:strCache>
                <c:ptCount val="8"/>
                <c:pt idx="0">
                  <c:v>HOSPITAL MINSAL</c:v>
                </c:pt>
                <c:pt idx="1">
                  <c:v>ISSS</c:v>
                </c:pt>
                <c:pt idx="2">
                  <c:v>NO REFERIDO</c:v>
                </c:pt>
                <c:pt idx="3">
                  <c:v>OTRA ENTIDAD EXTERNA</c:v>
                </c:pt>
                <c:pt idx="4">
                  <c:v>MÉDICO PARTICULAR</c:v>
                </c:pt>
                <c:pt idx="5">
                  <c:v>UNIDADES DE SALUD</c:v>
                </c:pt>
                <c:pt idx="6">
                  <c:v>ISRI</c:v>
                </c:pt>
                <c:pt idx="7">
                  <c:v>BIENESTAR MAGISTERIAL</c:v>
                </c:pt>
              </c:strCache>
            </c:strRef>
          </c:cat>
          <c:val>
            <c:numRef>
              <c:f>'Refrencia 2'!$C$3:$C$10</c:f>
              <c:numCache>
                <c:formatCode>General</c:formatCode>
                <c:ptCount val="8"/>
                <c:pt idx="0">
                  <c:v>3331</c:v>
                </c:pt>
                <c:pt idx="1">
                  <c:v>1947</c:v>
                </c:pt>
                <c:pt idx="2">
                  <c:v>1770</c:v>
                </c:pt>
                <c:pt idx="3">
                  <c:v>998</c:v>
                </c:pt>
                <c:pt idx="4">
                  <c:v>980</c:v>
                </c:pt>
                <c:pt idx="5">
                  <c:v>979</c:v>
                </c:pt>
                <c:pt idx="6">
                  <c:v>458</c:v>
                </c:pt>
                <c:pt idx="7">
                  <c:v>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14187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474" b="1" i="0" u="none" strike="noStrike" baseline="0">
          <a:solidFill>
            <a:schemeClr val="tx1"/>
          </a:solidFill>
          <a:latin typeface="Verdana"/>
          <a:ea typeface="Verdana"/>
          <a:cs typeface="Verdana"/>
        </a:defRPr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ES" sz="1400" dirty="0">
                <a:solidFill>
                  <a:schemeClr val="tx1"/>
                </a:solidFill>
              </a:rPr>
              <a:t>Grafico 9, ISRI - PRODUCTIVIDAD POR SERVICIO </a:t>
            </a:r>
            <a:r>
              <a:rPr lang="es-ES" sz="1400" b="1" i="0" u="none" strike="noStrike" kern="1200" baseline="0" dirty="0">
                <a:solidFill>
                  <a:schemeClr val="tx1"/>
                </a:solidFill>
                <a:latin typeface="+mn-lt"/>
                <a:ea typeface="+mn-ea"/>
                <a:cs typeface="+mn-cs"/>
              </a:rPr>
              <a:t>JUNIO 2018 A MAYO 2019</a:t>
            </a:r>
            <a:endParaRPr lang="es-ES" sz="1400" dirty="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dk1">
            <a:tint val="95000"/>
          </a:schemeClr>
        </a:solidFill>
        <a:ln>
          <a:noFill/>
        </a:ln>
        <a:effectLst/>
        <a:sp3d/>
      </c:spPr>
    </c:floor>
    <c:sideWall>
      <c:thickness val="0"/>
      <c:spPr>
        <a:solidFill>
          <a:schemeClr val="bg1"/>
        </a:solidFill>
        <a:ln>
          <a:noFill/>
        </a:ln>
        <a:effectLst/>
        <a:sp3d/>
      </c:spPr>
    </c:sideWall>
    <c:backWall>
      <c:thickness val="0"/>
      <c:spPr>
        <a:solidFill>
          <a:schemeClr val="bg1"/>
        </a:solidFill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PROGRAMADO</c:v>
          </c:tx>
          <c:spPr>
            <a:solidFill>
              <a:schemeClr val="accent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1314777098891152E-2"/>
                  <c:y val="-3.4246575342465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903383698659288E-3"/>
                  <c:y val="-3.6574654583271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544011544011615E-2"/>
                  <c:y val="-6.1538461538461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211449244520112E-2"/>
                  <c:y val="-5.8442232456792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255160672475578E-4"/>
                  <c:y val="-6.4937750705690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'CONSOLIDADO-CENTRO-SERVICIO'!$A$3:$A$6</c:f>
              <c:strCache>
                <c:ptCount val="4"/>
                <c:pt idx="0">
                  <c:v>SERVICIOS DE REHABILITACION</c:v>
                </c:pt>
                <c:pt idx="1">
                  <c:v>SERVICIOS DE APOYO</c:v>
                </c:pt>
                <c:pt idx="2">
                  <c:v>SERVICIOS MEDICOS</c:v>
                </c:pt>
                <c:pt idx="3">
                  <c:v>SERVICIOS ADICIONALES</c:v>
                </c:pt>
              </c:strCache>
            </c:strRef>
          </c:cat>
          <c:val>
            <c:numRef>
              <c:f>'CONSOLIDADO-CENTRO-SERVICIO'!$B$3:$B$6</c:f>
              <c:numCache>
                <c:formatCode>#,##0</c:formatCode>
                <c:ptCount val="4"/>
                <c:pt idx="0">
                  <c:v>595281</c:v>
                </c:pt>
                <c:pt idx="1">
                  <c:v>75944</c:v>
                </c:pt>
                <c:pt idx="2">
                  <c:v>65964</c:v>
                </c:pt>
                <c:pt idx="3">
                  <c:v>1232709</c:v>
                </c:pt>
              </c:numCache>
            </c:numRef>
          </c:val>
          <c:extLst/>
        </c:ser>
        <c:ser>
          <c:idx val="1"/>
          <c:order val="1"/>
          <c:tx>
            <c:v>REALIZADO</c:v>
          </c:tx>
          <c:spPr>
            <a:solidFill>
              <a:schemeClr val="accent3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7057837220449235E-2"/>
                  <c:y val="-6.0954319922338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961183230474533E-2"/>
                  <c:y val="-5.5080869608280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544158331559825E-2"/>
                  <c:y val="-2.2376467092556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953011278995531E-2"/>
                  <c:y val="-2.5039568167186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1305128750798045E-2"/>
                  <c:y val="-3.299876194720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918918918918917E-2"/>
                  <c:y val="-1.5094339622641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lt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'CONSOLIDADO-CENTRO-SERVICIO'!$A$3:$A$6</c:f>
              <c:strCache>
                <c:ptCount val="4"/>
                <c:pt idx="0">
                  <c:v>SERVICIOS DE REHABILITACION</c:v>
                </c:pt>
                <c:pt idx="1">
                  <c:v>SERVICIOS DE APOYO</c:v>
                </c:pt>
                <c:pt idx="2">
                  <c:v>SERVICIOS MEDICOS</c:v>
                </c:pt>
                <c:pt idx="3">
                  <c:v>SERVICIOS ADICIONALES</c:v>
                </c:pt>
              </c:strCache>
            </c:strRef>
          </c:cat>
          <c:val>
            <c:numRef>
              <c:f>'CONSOLIDADO-CENTRO-SERVICIO'!$C$3:$C$6</c:f>
              <c:numCache>
                <c:formatCode>#,##0</c:formatCode>
                <c:ptCount val="4"/>
                <c:pt idx="0">
                  <c:v>463699</c:v>
                </c:pt>
                <c:pt idx="1">
                  <c:v>64148</c:v>
                </c:pt>
                <c:pt idx="2">
                  <c:v>52982</c:v>
                </c:pt>
                <c:pt idx="3">
                  <c:v>1137436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790528"/>
        <c:axId val="356790920"/>
        <c:axId val="0"/>
        <c:extLst/>
      </c:bar3DChart>
      <c:catAx>
        <c:axId val="35679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790920"/>
        <c:crosses val="autoZero"/>
        <c:auto val="1"/>
        <c:lblAlgn val="ctr"/>
        <c:lblOffset val="100"/>
        <c:noMultiLvlLbl val="0"/>
      </c:catAx>
      <c:valAx>
        <c:axId val="356790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79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1800"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44">
  <cs:axisTitle>
    <cs:lnRef idx="0"/>
    <cs:fillRef idx="0"/>
    <cs:effectRef idx="0"/>
    <cs:fontRef idx="minor">
      <a:schemeClr val="lt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lt1"/>
    </cs:fontRef>
    <cs:spPr>
      <a:ln>
        <a:round/>
      </a:ln>
    </cs:spPr>
    <cs:defRPr sz="1000" kern="1200"/>
  </cs:categoryAxis>
  <cs:chartArea>
    <cs:lnRef idx="0"/>
    <cs:fillRef idx="1">
      <a:schemeClr val="dk1"/>
    </cs:fillRef>
    <cs:effectRef idx="0"/>
    <cs:fontRef idx="minor">
      <a:schemeClr val="lt1"/>
    </cs:fontRef>
    <cs:defRPr sz="1000" kern="1200"/>
  </cs:chartArea>
  <cs:dataLabel>
    <cs:lnRef idx="0"/>
    <cs:fillRef idx="0"/>
    <cs:effectRef idx="0"/>
    <cs:fontRef idx="minor">
      <a:schemeClr val="lt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dk1"/>
    </cs:fontRef>
  </cs:dataPoint>
  <cs:dataPoint3D>
    <cs:lnRef idx="0"/>
    <cs:fillRef idx="1">
      <cs:styleClr val="auto"/>
    </cs:fillRef>
    <cs:effectRef idx="3">
      <a:schemeClr val="dk1"/>
    </cs:effectRef>
    <cs:fontRef idx="minor">
      <a:schemeClr val="dk1"/>
    </cs:fontRef>
  </cs:dataPoint3D>
  <cs:dataPointLine>
    <cs:lnRef idx="1">
      <cs:styleClr val="auto"/>
    </cs:lnRef>
    <cs:lineWidthScale>5</cs:lineWidthScale>
    <cs:fillRef idx="0"/>
    <cs:effectRef idx="0"/>
    <cs:fontRef idx="minor">
      <a:schemeClr val="dk2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2"/>
    </cs:fontRef>
    <cs:spPr>
      <a:ln>
        <a:round/>
      </a:ln>
    </cs:spPr>
  </cs:dataPointWireframe>
  <cs:dataTable>
    <cs:lnRef idx="1">
      <a:schemeClr val="lt1"/>
    </cs:lnRef>
    <cs:fillRef idx="0"/>
    <cs:effectRef idx="0"/>
    <cs:fontRef idx="minor">
      <a:schemeClr val="lt1"/>
    </cs:fontRef>
    <cs:spPr>
      <a:ln>
        <a:round/>
      </a:ln>
    </cs:spPr>
    <cs:defRPr sz="1000" kern="1200"/>
  </cs:dataTable>
  <cs:downBar>
    <cs:lnRef idx="0"/>
    <cs:fillRef idx="3" mods="ignoreCSTransforms">
      <cs:styleClr val="0">
        <a:shade val="25000"/>
      </cs:styleClr>
    </cs:fillRef>
    <cs:effectRef idx="3">
      <a:schemeClr val="dk1"/>
    </cs:effectRef>
    <cs:fontRef idx="minor">
      <a:schemeClr val="lt1"/>
    </cs:fontRef>
  </cs:downBar>
  <cs:dropLine>
    <cs:lnRef idx="1">
      <a:schemeClr val="lt1"/>
    </cs:lnRef>
    <cs:fillRef idx="0"/>
    <cs:effectRef idx="0"/>
    <cs:fontRef idx="minor">
      <a:schemeClr val="lt1"/>
    </cs:fontRef>
    <cs:spPr>
      <a:ln>
        <a:round/>
      </a:ln>
    </cs:spPr>
  </cs:dropLine>
  <cs:errorBar>
    <cs:lnRef idx="1">
      <a:schemeClr val="lt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errorBar>
  <cs:floor>
    <cs:lnRef idx="0"/>
    <cs:fillRef idx="1">
      <a:schemeClr val="dk1">
        <a:tint val="95000"/>
      </a:schemeClr>
    </cs:fillRef>
    <cs:effectRef idx="0"/>
    <cs:fontRef idx="minor">
      <a:schemeClr val="lt1"/>
    </cs:fontRef>
  </cs:floor>
  <cs:gridlineMajor>
    <cs:lnRef idx="1">
      <a:schemeClr val="dk1">
        <a:tint val="75000"/>
      </a:schemeClr>
    </cs:lnRef>
    <cs:fillRef idx="0"/>
    <cs:effectRef idx="0"/>
    <cs:fontRef idx="minor">
      <a:schemeClr val="dk2"/>
    </cs:fontRef>
    <cs:spPr>
      <a:ln>
        <a:round/>
      </a:ln>
    </cs:spPr>
  </cs:gridlineMajor>
  <cs:gridlineMinor>
    <cs:lnRef idx="1">
      <a:schemeClr val="dk1">
        <a:tint val="90000"/>
      </a:schemeClr>
    </cs:lnRef>
    <cs:fillRef idx="0"/>
    <cs:effectRef idx="0"/>
    <cs:fontRef idx="minor">
      <a:schemeClr val="dk2"/>
    </cs:fontRef>
    <cs:spPr>
      <a:ln>
        <a:round/>
      </a:ln>
    </cs:spPr>
  </cs:gridlineMinor>
  <cs:hiLoLine>
    <cs:lnRef idx="1">
      <a:schemeClr val="lt1"/>
    </cs:lnRef>
    <cs:fillRef idx="0"/>
    <cs:effectRef idx="0"/>
    <cs:fontRef idx="minor">
      <a:schemeClr val="lt1"/>
    </cs:fontRef>
    <cs:spPr>
      <a:ln>
        <a:round/>
      </a:ln>
    </cs:spPr>
  </cs:hiLoLine>
  <cs:leaderLine>
    <cs:lnRef idx="1">
      <a:schemeClr val="lt1"/>
    </cs:lnRef>
    <cs:fillRef idx="0"/>
    <cs:effectRef idx="0"/>
    <cs:fontRef idx="minor">
      <a:schemeClr val="lt1"/>
    </cs:fontRef>
    <cs:spPr>
      <a:ln>
        <a:round/>
      </a:ln>
    </cs:spPr>
  </cs:leaderLine>
  <cs:legend>
    <cs:lnRef idx="0"/>
    <cs:fillRef idx="0"/>
    <cs:effectRef idx="0"/>
    <cs:fontRef idx="minor">
      <a:schemeClr val="lt1"/>
    </cs:fontRef>
    <cs:defRPr sz="1000" kern="1200"/>
  </cs:legend>
  <cs:plotArea>
    <cs:lnRef idx="0"/>
    <cs:fillRef idx="1">
      <a:schemeClr val="dk1">
        <a:tint val="95000"/>
      </a:schemeClr>
    </cs:fillRef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lt1"/>
    </cs:fontRef>
    <cs:spPr>
      <a:ln>
        <a:round/>
      </a:ln>
    </cs:spPr>
    <cs:defRPr sz="1000" kern="1200"/>
  </cs:seriesAxis>
  <cs:seriesLine>
    <cs:lnRef idx="1">
      <a:schemeClr val="lt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lt1"/>
    </cs:fontRef>
    <cs:defRPr sz="1800" b="1" kern="1200"/>
  </cs:title>
  <cs:trendline>
    <cs:lnRef idx="1">
      <a:schemeClr val="lt1"/>
    </cs:lnRef>
    <cs:fillRef idx="0"/>
    <cs:effectRef idx="0"/>
    <cs:fontRef idx="minor">
      <a:schemeClr val="lt1"/>
    </cs:fontRef>
    <cs:spPr>
      <a:ln cap="rnd">
        <a:round/>
      </a:ln>
    </cs:spPr>
  </cs:trendline>
  <cs:trendlineLabel>
    <cs:lnRef idx="0"/>
    <cs:fillRef idx="0"/>
    <cs:effectRef idx="0"/>
    <cs:fontRef idx="minor">
      <a:schemeClr val="lt1"/>
    </cs:fontRef>
    <cs:defRPr sz="1000" kern="1200"/>
  </cs:trendlineLabel>
  <cs:upBar>
    <cs:lnRef idx="0"/>
    <cs:fillRef idx="3" mods="ignoreCSTransforms">
      <cs:styleClr val="0">
        <a:tint val="25000"/>
      </cs:styleClr>
    </cs:fillRef>
    <cs:effectRef idx="3">
      <a:schemeClr val="dk1"/>
    </cs:effectRef>
    <cs:fontRef idx="minor">
      <a:schemeClr val="lt1"/>
    </cs:fontRef>
  </cs:upBar>
  <cs:valueAxis>
    <cs:lnRef idx="1">
      <a:schemeClr val="dk1">
        <a:tint val="75000"/>
      </a:schemeClr>
    </cs:lnRef>
    <cs:fillRef idx="0"/>
    <cs:effectRef idx="0"/>
    <cs:fontRef idx="minor">
      <a:schemeClr val="lt1"/>
    </cs:fontRef>
    <cs:spPr>
      <a:ln>
        <a:round/>
      </a:ln>
    </cs:spPr>
    <cs:defRPr sz="1000" kern="1200"/>
  </cs:valueAxis>
  <cs:wall>
    <cs:lnRef idx="0"/>
    <cs:fillRef idx="1">
      <a:schemeClr val="dk1">
        <a:tint val="95000"/>
      </a:schemeClr>
    </cs:fillRef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7AFC-0087-4E31-99CF-A0E0D0CA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16</Pages>
  <Words>2192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Margarita Alfaro Ticas</dc:creator>
  <cp:lastModifiedBy>Jefe Unidad Estadistica y Epidemiologia</cp:lastModifiedBy>
  <cp:revision>20</cp:revision>
  <cp:lastPrinted>2019-10-07T21:13:00Z</cp:lastPrinted>
  <dcterms:created xsi:type="dcterms:W3CDTF">2019-10-07T13:08:00Z</dcterms:created>
  <dcterms:modified xsi:type="dcterms:W3CDTF">2019-10-07T21:15:00Z</dcterms:modified>
</cp:coreProperties>
</file>