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7D227A" w:rsidTr="002F6FC0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A" w:rsidRDefault="00DA35D4" w:rsidP="002F6FC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8F1F82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" fillcolor="#0070c0" stroked="f" strokeweight="2pt"/>
                    </v:group>
                  </w:pict>
                </mc:Fallback>
              </mc:AlternateContent>
            </w:r>
          </w:p>
          <w:p w:rsidR="007D227A" w:rsidRDefault="007D227A" w:rsidP="002F6FC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</w:p>
          <w:p w:rsidR="007D227A" w:rsidRDefault="007D227A" w:rsidP="002F6FC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A" w:rsidRDefault="007D227A" w:rsidP="002F6FC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7D227A" w:rsidRDefault="007D227A" w:rsidP="002F6FC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7D227A" w:rsidTr="002F6FC0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227A" w:rsidRDefault="007D227A" w:rsidP="002F6FC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ACTA:</w:t>
            </w:r>
            <w:r w:rsidR="00CE6160">
              <w:rPr>
                <w:rFonts w:ascii="Arial" w:hAnsi="Arial" w:cs="Arial"/>
              </w:rPr>
              <w:t xml:space="preserve"> 2639</w:t>
            </w:r>
          </w:p>
          <w:p w:rsidR="007D227A" w:rsidRDefault="007D227A" w:rsidP="002F6FC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FECHA:</w:t>
            </w:r>
            <w:r w:rsidR="000C2C93">
              <w:rPr>
                <w:rFonts w:ascii="Arial" w:hAnsi="Arial" w:cs="Arial"/>
                <w:b/>
              </w:rPr>
              <w:t xml:space="preserve"> jueves</w:t>
            </w:r>
            <w:r>
              <w:rPr>
                <w:rFonts w:ascii="Arial" w:hAnsi="Arial" w:cs="Arial"/>
              </w:rPr>
              <w:t xml:space="preserve"> </w:t>
            </w:r>
            <w:r w:rsidR="00CE616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 DE ABRIL DE 2017.</w:t>
            </w:r>
          </w:p>
          <w:p w:rsidR="007D227A" w:rsidRDefault="007D227A" w:rsidP="002F6FC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</w:t>
            </w:r>
            <w:r w:rsidR="00CE616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:5</w:t>
            </w:r>
            <w:r w:rsidR="00CE616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HORAS</w:t>
            </w:r>
          </w:p>
          <w:p w:rsidR="007D227A" w:rsidRDefault="007D227A" w:rsidP="00CE616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</w:rPr>
              <w:t xml:space="preserve"> </w:t>
            </w:r>
            <w:r w:rsidR="00CE6160">
              <w:rPr>
                <w:rFonts w:ascii="Arial" w:hAnsi="Arial" w:cs="Arial"/>
              </w:rPr>
              <w:t>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A" w:rsidRDefault="007D227A" w:rsidP="002F6FC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ASISTENTES:</w:t>
            </w:r>
          </w:p>
          <w:p w:rsidR="007D227A" w:rsidRDefault="007D227A" w:rsidP="00CE6160">
            <w:pPr>
              <w:spacing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Dr. Alex Francisco González Menjívar, Presidente;</w:t>
            </w:r>
            <w:r w:rsidRPr="00B852D2">
              <w:rPr>
                <w:rFonts w:ascii="Arial" w:eastAsia="Times New Roman" w:hAnsi="Arial" w:cs="Arial"/>
                <w:lang w:eastAsia="es-ES"/>
              </w:rPr>
              <w:t xml:space="preserve"> Sra. Darling Azucena Mejía Pineda y Licda. Carmen Elizabeth Quintanilla Espinoza, Representantes Propietaria y Suplente del Ministerio de Relaciones Exteriores; Licda. María Marta C</w:t>
            </w:r>
            <w:r>
              <w:rPr>
                <w:rFonts w:ascii="Arial" w:eastAsia="Times New Roman" w:hAnsi="Arial" w:cs="Arial"/>
                <w:lang w:eastAsia="es-ES"/>
              </w:rPr>
              <w:t xml:space="preserve">añas de </w:t>
            </w:r>
            <w:r w:rsidR="00344E31">
              <w:rPr>
                <w:rFonts w:ascii="Arial" w:eastAsia="Times New Roman" w:hAnsi="Arial" w:cs="Arial"/>
                <w:lang w:eastAsia="es-ES"/>
              </w:rPr>
              <w:t xml:space="preserve">Herrera, y Licda. Sara María Mendoza Acosta </w:t>
            </w:r>
            <w:r>
              <w:rPr>
                <w:rFonts w:ascii="Arial" w:eastAsia="Times New Roman" w:hAnsi="Arial" w:cs="Arial"/>
                <w:lang w:eastAsia="es-ES"/>
              </w:rPr>
              <w:t xml:space="preserve">  Representante</w:t>
            </w:r>
            <w:r w:rsidR="00344E31">
              <w:rPr>
                <w:rFonts w:ascii="Arial" w:eastAsia="Times New Roman" w:hAnsi="Arial" w:cs="Arial"/>
                <w:lang w:eastAsia="es-ES"/>
              </w:rPr>
              <w:t xml:space="preserve"> Propietaria y</w:t>
            </w:r>
            <w:r w:rsidRPr="00B852D2">
              <w:rPr>
                <w:rFonts w:ascii="Arial" w:eastAsia="Times New Roman" w:hAnsi="Arial" w:cs="Arial"/>
                <w:lang w:eastAsia="es-ES"/>
              </w:rPr>
              <w:t xml:space="preserve">   Suplente del M</w:t>
            </w:r>
            <w:r>
              <w:rPr>
                <w:rFonts w:ascii="Arial" w:eastAsia="Times New Roman" w:hAnsi="Arial" w:cs="Arial"/>
                <w:lang w:eastAsia="es-ES"/>
              </w:rPr>
              <w:t>inisterio de Trabajo;  Dr. Miguel Ángel Martínez Salmerón Representante suplente del Ministerio de Salud; Licda. Nora Elizabeth Abrego de Amado, Representante Propietaria de la Universidad de El Salvador;</w:t>
            </w:r>
            <w:r w:rsidR="00344E31">
              <w:rPr>
                <w:rFonts w:ascii="Arial" w:eastAsia="Times New Roman" w:hAnsi="Arial" w:cs="Arial"/>
                <w:lang w:eastAsia="es-ES"/>
              </w:rPr>
              <w:t xml:space="preserve"> Licda. Nora Lizeth Pérez Martínez Representante suplente del Ministerio de Hacienda,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Lic. Joselito Tobar Recinos, Gerente y Secretario de Junta Directiva y Licda. Verónica Langlois,  Asesor Ad-Honorem de Junta Directiva.</w:t>
            </w:r>
          </w:p>
        </w:tc>
      </w:tr>
      <w:tr w:rsidR="007D227A" w:rsidTr="002F6FC0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A" w:rsidRPr="002E695D" w:rsidRDefault="007D227A" w:rsidP="002F6FC0">
            <w:pPr>
              <w:spacing w:after="200" w:line="240" w:lineRule="auto"/>
              <w:jc w:val="both"/>
              <w:rPr>
                <w:rFonts w:ascii="Arial" w:hAnsi="Arial" w:cs="Arial"/>
                <w:b/>
              </w:rPr>
            </w:pPr>
            <w:r w:rsidRPr="002E695D">
              <w:rPr>
                <w:rFonts w:ascii="Arial" w:hAnsi="Arial" w:cs="Arial"/>
                <w:b/>
              </w:rPr>
              <w:t xml:space="preserve">AGENDA PROPUESTA: </w:t>
            </w:r>
          </w:p>
          <w:p w:rsidR="007D227A" w:rsidRDefault="007D227A" w:rsidP="002F6FC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1-Establecimiento de quórum y aprobación de agenda.</w:t>
            </w:r>
          </w:p>
          <w:p w:rsidR="007D227A" w:rsidRDefault="007D227A" w:rsidP="002F6FC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2-Lectura, discusión y aprobación de acta anterior.</w:t>
            </w:r>
          </w:p>
          <w:p w:rsidR="007D227A" w:rsidRDefault="007D227A" w:rsidP="002F6FC0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3-Ratificación de Acuerdos.</w:t>
            </w:r>
          </w:p>
          <w:p w:rsidR="007D227A" w:rsidRDefault="007D227A" w:rsidP="002F6FC0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4-Correspondencia recibida de Centros de Atención.</w:t>
            </w:r>
          </w:p>
          <w:p w:rsidR="00CE6160" w:rsidRDefault="007D227A" w:rsidP="002F6FC0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7D227A" w:rsidRDefault="007D227A" w:rsidP="002F6FC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:rsidR="007D227A" w:rsidRDefault="007D227A" w:rsidP="002F6FC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7-Informes de Presidencia.</w:t>
            </w:r>
          </w:p>
          <w:p w:rsidR="007D227A" w:rsidRDefault="007D227A" w:rsidP="002F6FC0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8-Asuntos varios.</w:t>
            </w:r>
          </w:p>
        </w:tc>
      </w:tr>
    </w:tbl>
    <w:p w:rsidR="007D227A" w:rsidRDefault="007D227A" w:rsidP="007D227A">
      <w:pPr>
        <w:spacing w:after="200" w:line="276" w:lineRule="auto"/>
        <w:jc w:val="both"/>
        <w:rPr>
          <w:rFonts w:ascii="Arial" w:hAnsi="Arial" w:cs="Arial"/>
          <w:b/>
          <w:u w:val="single"/>
        </w:rPr>
      </w:pPr>
    </w:p>
    <w:p w:rsidR="007D227A" w:rsidRDefault="007D227A" w:rsidP="007D227A">
      <w:pPr>
        <w:spacing w:line="259" w:lineRule="auto"/>
        <w:rPr>
          <w:rFonts w:ascii="Arial" w:hAnsi="Arial" w:cs="Arial"/>
          <w:b/>
          <w:u w:val="single"/>
          <w:lang w:val="es-ES"/>
        </w:rPr>
      </w:pPr>
      <w:r w:rsidRPr="00BE6424">
        <w:rPr>
          <w:rFonts w:ascii="Arial" w:hAnsi="Arial" w:cs="Arial"/>
        </w:rPr>
        <w:br w:type="page"/>
      </w:r>
      <w:r>
        <w:rPr>
          <w:rFonts w:ascii="Arial" w:hAnsi="Arial" w:cs="Arial"/>
          <w:b/>
          <w:u w:val="single"/>
          <w:lang w:val="es-ES"/>
        </w:rPr>
        <w:lastRenderedPageBreak/>
        <w:t>DESARROLLO DE LA SESION.</w:t>
      </w:r>
    </w:p>
    <w:p w:rsidR="007D227A" w:rsidRDefault="007D227A" w:rsidP="007D227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ESTABLECIMIENTO DE QUORUM</w:t>
      </w:r>
    </w:p>
    <w:p w:rsidR="007D227A" w:rsidRDefault="007D227A" w:rsidP="007D227A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7D227A" w:rsidRDefault="007D227A" w:rsidP="007D227A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36665D">
        <w:rPr>
          <w:rFonts w:ascii="Arial" w:hAnsi="Arial" w:cs="Arial"/>
          <w:lang w:val="es-ES"/>
        </w:rPr>
        <w:t xml:space="preserve">El presidente de la Junta Directiva Doctor </w:t>
      </w:r>
      <w:r w:rsidRPr="0036665D">
        <w:rPr>
          <w:rFonts w:ascii="Arial" w:eastAsia="Times New Roman" w:hAnsi="Arial" w:cs="Arial"/>
          <w:lang w:val="es-ES" w:eastAsia="es-ES"/>
        </w:rPr>
        <w:t>Alex Francisco González M</w:t>
      </w:r>
      <w:r w:rsidRPr="00DA4BA7">
        <w:rPr>
          <w:rFonts w:ascii="Arial" w:eastAsia="Times New Roman" w:hAnsi="Arial" w:cs="Arial"/>
          <w:lang w:val="es-ES" w:eastAsia="es-ES"/>
        </w:rPr>
        <w:t>enjíva</w:t>
      </w:r>
      <w:r w:rsidRPr="0036665D">
        <w:rPr>
          <w:rFonts w:ascii="Arial" w:eastAsia="Times New Roman" w:hAnsi="Arial" w:cs="Arial"/>
          <w:lang w:val="es-ES" w:eastAsia="es-ES"/>
        </w:rPr>
        <w:t xml:space="preserve">r, </w:t>
      </w:r>
      <w:r w:rsidRPr="0036665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7D227A" w:rsidRPr="00EA7827" w:rsidRDefault="007D227A" w:rsidP="007D227A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7D227A" w:rsidRDefault="007D227A" w:rsidP="007D227A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F15C4">
        <w:rPr>
          <w:rFonts w:ascii="Arial" w:eastAsia="Times New Roman" w:hAnsi="Arial" w:cs="Arial"/>
          <w:bCs/>
          <w:lang w:val="es-ES" w:eastAsia="es-ES"/>
        </w:rPr>
        <w:t>Se procedió a la</w:t>
      </w:r>
      <w:r>
        <w:rPr>
          <w:rFonts w:ascii="Arial" w:eastAsia="Times New Roman" w:hAnsi="Arial" w:cs="Arial"/>
          <w:bCs/>
          <w:lang w:val="es-ES" w:eastAsia="es-ES"/>
        </w:rPr>
        <w:t xml:space="preserve"> lectura al Acta No. 263</w:t>
      </w:r>
      <w:r w:rsidR="00CE6160">
        <w:rPr>
          <w:rFonts w:ascii="Arial" w:eastAsia="Times New Roman" w:hAnsi="Arial" w:cs="Arial"/>
          <w:bCs/>
          <w:lang w:val="es-ES" w:eastAsia="es-ES"/>
        </w:rPr>
        <w:t>8</w:t>
      </w:r>
      <w:r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7D227A" w:rsidRDefault="007D227A" w:rsidP="007D227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Establecimiento de quórum y aprobación de agenda.</w:t>
      </w:r>
    </w:p>
    <w:p w:rsidR="007D227A" w:rsidRDefault="007D227A" w:rsidP="007D227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eastAsia="es-ES"/>
        </w:rPr>
        <w:t>L</w:t>
      </w:r>
      <w:r>
        <w:rPr>
          <w:rFonts w:ascii="Arial" w:hAnsi="Arial" w:cs="Arial"/>
          <w:lang w:val="es-ES" w:eastAsia="es-ES"/>
        </w:rPr>
        <w:t>ectura, discusión y aprobación de acta anterior.</w:t>
      </w:r>
    </w:p>
    <w:p w:rsidR="007D227A" w:rsidRDefault="007D227A" w:rsidP="007D227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Ratificación de Acuerdos.</w:t>
      </w:r>
    </w:p>
    <w:p w:rsidR="007D227A" w:rsidRDefault="007D227A" w:rsidP="007D227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Correspondencia recibida de Centros de Atención.</w:t>
      </w:r>
    </w:p>
    <w:p w:rsidR="007D227A" w:rsidRDefault="007D227A" w:rsidP="007D227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7D227A" w:rsidRDefault="007D227A" w:rsidP="007D227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7D227A" w:rsidRDefault="007D227A" w:rsidP="007D227A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Informes de Presidencia.</w:t>
      </w:r>
    </w:p>
    <w:p w:rsidR="007D227A" w:rsidRDefault="007D227A" w:rsidP="007D227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hAnsi="Arial" w:cs="Arial"/>
          <w:lang w:val="es-ES" w:eastAsia="es-ES"/>
        </w:rPr>
        <w:t>Asuntos varios.</w:t>
      </w:r>
    </w:p>
    <w:p w:rsidR="007D227A" w:rsidRDefault="007D227A" w:rsidP="007D227A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D227A" w:rsidRDefault="00CE6160" w:rsidP="007D227A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2638</w:t>
      </w:r>
      <w:r w:rsidR="007D227A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7D227A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7D227A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7D227A" w:rsidRDefault="007D227A" w:rsidP="007D227A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7D227A" w:rsidRDefault="007D227A" w:rsidP="007D227A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7D227A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7D227A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7D227A" w:rsidRPr="00CC0EE7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7D227A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4.- Correspondencia recibida de Centros de Atención.</w:t>
      </w:r>
    </w:p>
    <w:p w:rsidR="007D227A" w:rsidRPr="007A0FAF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7D227A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7D227A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7D227A" w:rsidRPr="00895269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7D227A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5.- Correspondencia recibida de la administración superior.</w:t>
      </w:r>
    </w:p>
    <w:p w:rsidR="007D227A" w:rsidRDefault="007D227A" w:rsidP="007D227A">
      <w:pPr>
        <w:pStyle w:val="Prrafodelista"/>
        <w:spacing w:after="0" w:line="360" w:lineRule="auto"/>
        <w:ind w:left="480"/>
        <w:jc w:val="both"/>
        <w:rPr>
          <w:rFonts w:ascii="Arial" w:eastAsia="Calibri" w:hAnsi="Arial" w:cs="Arial"/>
        </w:rPr>
      </w:pPr>
    </w:p>
    <w:p w:rsidR="00234241" w:rsidRDefault="00234241" w:rsidP="00CE61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Se recibió correo de la tesorería del ISRI </w:t>
      </w:r>
      <w:r w:rsidR="004221B3">
        <w:rPr>
          <w:rFonts w:ascii="Arial" w:hAnsi="Arial" w:cs="Arial"/>
        </w:rPr>
        <w:t xml:space="preserve">para informar a los miembros de la Junta Directiva sobre la POLITICA </w:t>
      </w:r>
      <w:r w:rsidR="00DA35D4" w:rsidRPr="00DA35D4">
        <w:rPr>
          <w:rFonts w:ascii="Arial" w:hAnsi="Arial" w:cs="Arial"/>
          <w:color w:val="000000" w:themeColor="text1"/>
        </w:rPr>
        <w:t>GUB</w:t>
      </w:r>
      <w:r w:rsidR="004221B3" w:rsidRPr="00DA35D4">
        <w:rPr>
          <w:rFonts w:ascii="Arial" w:hAnsi="Arial" w:cs="Arial"/>
          <w:color w:val="000000" w:themeColor="text1"/>
        </w:rPr>
        <w:t>ERNAMENTA</w:t>
      </w:r>
      <w:r w:rsidR="004221B3">
        <w:rPr>
          <w:rFonts w:ascii="Arial" w:hAnsi="Arial" w:cs="Arial"/>
        </w:rPr>
        <w:t>L PARA EL PAGO DE OBLIGACIONES INSTITUCIONALES DEL ORGANO EJECUTIVO.</w:t>
      </w:r>
    </w:p>
    <w:p w:rsidR="004221B3" w:rsidRPr="00CE6160" w:rsidRDefault="004221B3" w:rsidP="00925B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Se recibió oficio presidencia 2017-080 para informar a los miembros de la Junta </w:t>
      </w:r>
      <w:r w:rsidR="00A12FE4">
        <w:rPr>
          <w:rFonts w:ascii="Arial" w:hAnsi="Arial" w:cs="Arial"/>
        </w:rPr>
        <w:t>Directiva de</w:t>
      </w:r>
      <w:r>
        <w:rPr>
          <w:rFonts w:ascii="Arial" w:hAnsi="Arial" w:cs="Arial"/>
        </w:rPr>
        <w:t xml:space="preserve"> la misión fuera del país del presidente del Instituto Salvadoreño de Rehabilitación Integral ISRI.</w:t>
      </w:r>
    </w:p>
    <w:p w:rsidR="007D227A" w:rsidRDefault="007D227A" w:rsidP="00925B7A">
      <w:pPr>
        <w:spacing w:line="360" w:lineRule="auto"/>
        <w:rPr>
          <w:rFonts w:ascii="Arial" w:eastAsia="Calibri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eastAsia="Calibri" w:hAnsi="Arial" w:cs="Arial"/>
          <w:b/>
        </w:rPr>
        <w:lastRenderedPageBreak/>
        <w:t>6.- Participación de miembros de Junta Directiva, ponencias solicitadas a Jefaturas Directores de Centros de Atención de la institución o invitados.</w:t>
      </w:r>
    </w:p>
    <w:p w:rsidR="007D227A" w:rsidRPr="00BE6424" w:rsidRDefault="007D227A" w:rsidP="00925B7A">
      <w:pPr>
        <w:spacing w:line="360" w:lineRule="auto"/>
        <w:jc w:val="both"/>
        <w:rPr>
          <w:rFonts w:ascii="Arial" w:hAnsi="Arial" w:cs="Arial"/>
        </w:rPr>
      </w:pPr>
      <w:r w:rsidRPr="00BE6424">
        <w:rPr>
          <w:rFonts w:ascii="Arial" w:eastAsia="Calibri" w:hAnsi="Arial" w:cs="Arial"/>
          <w:b/>
        </w:rPr>
        <w:t xml:space="preserve">6.1. </w:t>
      </w:r>
      <w:r w:rsidRPr="00BE6424">
        <w:rPr>
          <w:rFonts w:ascii="Arial" w:hAnsi="Arial" w:cs="Arial"/>
          <w:b/>
        </w:rPr>
        <w:t xml:space="preserve">Informe de </w:t>
      </w:r>
      <w:r w:rsidR="009B6D36">
        <w:rPr>
          <w:rFonts w:ascii="Arial" w:hAnsi="Arial" w:cs="Arial"/>
          <w:b/>
        </w:rPr>
        <w:t xml:space="preserve">caso de la </w:t>
      </w:r>
      <w:r w:rsidR="003D4494">
        <w:rPr>
          <w:rFonts w:ascii="Arial" w:hAnsi="Arial" w:cs="Arial"/>
          <w:b/>
        </w:rPr>
        <w:t>XXXXXXX</w:t>
      </w:r>
      <w:r w:rsidR="00CE6160">
        <w:rPr>
          <w:rFonts w:ascii="Arial" w:hAnsi="Arial" w:cs="Arial"/>
          <w:b/>
        </w:rPr>
        <w:t>, presentado por Licenciada Patricia Coto de Pino.</w:t>
      </w:r>
    </w:p>
    <w:p w:rsidR="00A62FB8" w:rsidRPr="00E27394" w:rsidRDefault="00E27394" w:rsidP="00925B7A">
      <w:pPr>
        <w:spacing w:line="360" w:lineRule="auto"/>
        <w:jc w:val="both"/>
        <w:rPr>
          <w:rFonts w:ascii="Arial" w:eastAsia="Calibri" w:hAnsi="Arial" w:cs="Arial"/>
          <w:highlight w:val="black"/>
        </w:rPr>
      </w:pPr>
      <w:r>
        <w:rPr>
          <w:rFonts w:ascii="Arial" w:hAnsi="Arial" w:cs="Arial"/>
        </w:rPr>
        <w:t>XXXXXXXXXX</w:t>
      </w:r>
      <w:r>
        <w:rPr>
          <w:rFonts w:ascii="Arial" w:hAnsi="Arial" w:cs="Arial"/>
        </w:rPr>
        <w:t>XXXXXXXXXXXXXXXXXXXXXXXXXXXXXXXXXXXXXXXXXXXXXXXXX</w:t>
      </w:r>
      <w:r w:rsidRPr="00E27394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XXXXXXXXXXXXXXXXXXXXXXXXXXXXXXXXXXXXXXXXXXXXXXXXXXXXXXXXXXX</w:t>
      </w:r>
      <w:r w:rsidR="00CC5625" w:rsidRPr="00E27394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XXXXXXXXXXXXXXXXXXXXXXXXXXXXXXXXXXXXXXXXXXXXXXXXXXXXXXXXXXX</w:t>
      </w:r>
      <w:r w:rsidR="00CC5625" w:rsidRPr="00E27394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DD01C0" w:rsidRPr="00E27394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E27394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E27394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</w:p>
    <w:p w:rsidR="00A62FB8" w:rsidRPr="009F690A" w:rsidRDefault="00E27394" w:rsidP="00925B7A">
      <w:pPr>
        <w:spacing w:line="360" w:lineRule="auto"/>
        <w:jc w:val="both"/>
        <w:rPr>
          <w:rFonts w:ascii="Arial" w:eastAsia="Calibri" w:hAnsi="Arial" w:cs="Arial"/>
          <w:highlight w:val="black"/>
        </w:rPr>
      </w:pPr>
      <w:r>
        <w:rPr>
          <w:rFonts w:ascii="Arial" w:hAnsi="Arial" w:cs="Arial"/>
        </w:rPr>
        <w:t>XXXXXXXXXXXXXXXXXXXXXXXXXXXXXXXXXXXXXXXXXXXXXXXXXXXXXXXXXXX</w:t>
      </w:r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13124F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</w:p>
    <w:p w:rsidR="0013124F" w:rsidRPr="009F690A" w:rsidRDefault="00E27394" w:rsidP="00925B7A">
      <w:pPr>
        <w:spacing w:line="360" w:lineRule="auto"/>
        <w:jc w:val="both"/>
        <w:rPr>
          <w:rFonts w:ascii="Arial" w:eastAsia="Calibri" w:hAnsi="Arial" w:cs="Arial"/>
          <w:highlight w:val="black"/>
        </w:rPr>
      </w:pPr>
      <w:r>
        <w:rPr>
          <w:rFonts w:ascii="Arial" w:hAnsi="Arial" w:cs="Arial"/>
        </w:rPr>
        <w:t>XXXXXXXXXXXXXXXXXXXXXXXXXXXXXXXXXXXXXXXXXXXXXXXXXXXXXXXXXXX</w:t>
      </w:r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A62FB8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13124F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13124F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13124F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DD54AE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13124F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13124F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  <w:r w:rsidR="0013124F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</w:p>
    <w:p w:rsidR="00ED4823" w:rsidRPr="009F690A" w:rsidRDefault="00E27394" w:rsidP="00925B7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XXXXXXXXXXXXXXXXXXXXXXXXXXXXXXXXXXXXXXXXXXXXXXXXXXXXXXXXXXX</w:t>
      </w:r>
      <w:r w:rsidR="00ED4823" w:rsidRPr="009F690A">
        <w:rPr>
          <w:rFonts w:ascii="Arial" w:eastAsia="Calibri" w:hAnsi="Arial" w:cs="Arial"/>
          <w:highlight w:val="black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XXXXXXXXXXXXXXXXXXXXXXXXXXXXXXXXXXXXXXXXXXXXXXXXXXXXXXXXXXX</w:t>
      </w:r>
      <w:proofErr w:type="spellEnd"/>
    </w:p>
    <w:p w:rsidR="00CC5625" w:rsidRPr="00CC5625" w:rsidRDefault="00A62FB8" w:rsidP="00925B7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</w:p>
    <w:p w:rsidR="0003712F" w:rsidRPr="00BE6424" w:rsidRDefault="0003712F" w:rsidP="00925B7A">
      <w:pPr>
        <w:spacing w:line="360" w:lineRule="auto"/>
        <w:jc w:val="both"/>
        <w:rPr>
          <w:rFonts w:ascii="Arial" w:hAnsi="Arial" w:cs="Arial"/>
        </w:rPr>
      </w:pPr>
      <w:r w:rsidRPr="00BE6424">
        <w:rPr>
          <w:rFonts w:ascii="Arial" w:eastAsia="Calibri" w:hAnsi="Arial" w:cs="Arial"/>
          <w:b/>
        </w:rPr>
        <w:t>6.</w:t>
      </w:r>
      <w:r w:rsidR="00C82C82">
        <w:rPr>
          <w:rFonts w:ascii="Arial" w:eastAsia="Calibri" w:hAnsi="Arial" w:cs="Arial"/>
          <w:b/>
        </w:rPr>
        <w:t>2</w:t>
      </w:r>
      <w:r w:rsidRPr="00BE6424">
        <w:rPr>
          <w:rFonts w:ascii="Arial" w:eastAsia="Calibri" w:hAnsi="Arial" w:cs="Arial"/>
          <w:b/>
        </w:rPr>
        <w:t xml:space="preserve">. </w:t>
      </w:r>
      <w:r w:rsidRPr="00BE6424">
        <w:rPr>
          <w:rFonts w:ascii="Arial" w:hAnsi="Arial" w:cs="Arial"/>
          <w:b/>
        </w:rPr>
        <w:t xml:space="preserve">Informe de </w:t>
      </w:r>
      <w:r w:rsidR="00C82C82">
        <w:rPr>
          <w:rFonts w:ascii="Arial" w:hAnsi="Arial" w:cs="Arial"/>
          <w:b/>
        </w:rPr>
        <w:t xml:space="preserve">la situación de inmueble ocupado por </w:t>
      </w:r>
      <w:r w:rsidR="003E2E03">
        <w:rPr>
          <w:rFonts w:ascii="Arial" w:hAnsi="Arial" w:cs="Arial"/>
          <w:b/>
        </w:rPr>
        <w:t>AISCIEPRO, por</w:t>
      </w:r>
      <w:r w:rsidR="00C82C82">
        <w:rPr>
          <w:rFonts w:ascii="Arial" w:hAnsi="Arial" w:cs="Arial"/>
          <w:b/>
        </w:rPr>
        <w:t xml:space="preserve"> parte del Licenciado Carlos Atilio Paniagua, encargado del Control y Resguardo de Activo Fijo Institucional</w:t>
      </w:r>
      <w:r>
        <w:rPr>
          <w:rFonts w:ascii="Arial" w:hAnsi="Arial" w:cs="Arial"/>
          <w:b/>
        </w:rPr>
        <w:t>.</w:t>
      </w:r>
    </w:p>
    <w:p w:rsidR="00654907" w:rsidRPr="00932B6E" w:rsidRDefault="00654907" w:rsidP="00925B7A">
      <w:pPr>
        <w:spacing w:line="360" w:lineRule="auto"/>
        <w:jc w:val="both"/>
        <w:rPr>
          <w:rFonts w:ascii="Arial" w:hAnsi="Arial" w:cs="Arial"/>
        </w:rPr>
      </w:pPr>
      <w:r w:rsidRPr="00932B6E">
        <w:rPr>
          <w:rFonts w:ascii="Arial" w:hAnsi="Arial" w:cs="Arial"/>
        </w:rPr>
        <w:lastRenderedPageBreak/>
        <w:t xml:space="preserve">El inmueble fue donado por el Señor Alfredo Novoa Arciniegas, en noviembre de 1982, a favor del Centro de </w:t>
      </w:r>
      <w:r w:rsidR="003E2E03" w:rsidRPr="00932B6E">
        <w:rPr>
          <w:rFonts w:ascii="Arial" w:hAnsi="Arial" w:cs="Arial"/>
        </w:rPr>
        <w:t>Rehabilitación de</w:t>
      </w:r>
      <w:r w:rsidRPr="00932B6E">
        <w:rPr>
          <w:rFonts w:ascii="Arial" w:hAnsi="Arial" w:cs="Arial"/>
        </w:rPr>
        <w:t xml:space="preserve"> Ciegos.</w:t>
      </w:r>
    </w:p>
    <w:p w:rsidR="00654907" w:rsidRPr="00932B6E" w:rsidRDefault="00654907" w:rsidP="00925B7A">
      <w:pPr>
        <w:spacing w:line="360" w:lineRule="auto"/>
        <w:jc w:val="both"/>
        <w:rPr>
          <w:rFonts w:ascii="Arial" w:hAnsi="Arial" w:cs="Arial"/>
        </w:rPr>
      </w:pPr>
      <w:r w:rsidRPr="00932B6E">
        <w:rPr>
          <w:rFonts w:ascii="Arial" w:hAnsi="Arial" w:cs="Arial"/>
        </w:rPr>
        <w:t xml:space="preserve">En mayo del año 1989, el ISRI suscribe convenio de comodato con la </w:t>
      </w:r>
      <w:r>
        <w:rPr>
          <w:rFonts w:ascii="Arial" w:hAnsi="Arial" w:cs="Arial"/>
        </w:rPr>
        <w:t>Asociación Independiente Salvadoreña d</w:t>
      </w:r>
      <w:r w:rsidRPr="00932B6E">
        <w:rPr>
          <w:rFonts w:ascii="Arial" w:hAnsi="Arial" w:cs="Arial"/>
        </w:rPr>
        <w:t>e Ciegos Progresistas (AISCIEPRO) para un periodo de 50 años.</w:t>
      </w:r>
    </w:p>
    <w:p w:rsidR="00654907" w:rsidRPr="00932B6E" w:rsidRDefault="00654907" w:rsidP="00925B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del año 2005 </w:t>
      </w:r>
      <w:r w:rsidRPr="00932B6E">
        <w:rPr>
          <w:rFonts w:ascii="Arial" w:hAnsi="Arial" w:cs="Arial"/>
        </w:rPr>
        <w:t xml:space="preserve">se creó la Unidad de Control de Bienes Institucionales, se le ha </w:t>
      </w:r>
      <w:r>
        <w:rPr>
          <w:rFonts w:ascii="Arial" w:hAnsi="Arial" w:cs="Arial"/>
        </w:rPr>
        <w:t>da</w:t>
      </w:r>
      <w:r w:rsidRPr="00932B6E">
        <w:rPr>
          <w:rFonts w:ascii="Arial" w:hAnsi="Arial" w:cs="Arial"/>
        </w:rPr>
        <w:t xml:space="preserve">do seguimiento </w:t>
      </w:r>
      <w:r>
        <w:rPr>
          <w:rFonts w:ascii="Arial" w:hAnsi="Arial" w:cs="Arial"/>
        </w:rPr>
        <w:t xml:space="preserve">al inmueble entregado en calidad de comodato a AISCIEPRO, </w:t>
      </w:r>
      <w:r w:rsidRPr="00932B6E">
        <w:rPr>
          <w:rFonts w:ascii="Arial" w:hAnsi="Arial" w:cs="Arial"/>
        </w:rPr>
        <w:t>informando a las diferentes autoridades</w:t>
      </w:r>
      <w:r>
        <w:rPr>
          <w:rFonts w:ascii="Arial" w:hAnsi="Arial" w:cs="Arial"/>
        </w:rPr>
        <w:t xml:space="preserve">, </w:t>
      </w:r>
      <w:r w:rsidRPr="00932B6E">
        <w:rPr>
          <w:rFonts w:ascii="Arial" w:hAnsi="Arial" w:cs="Arial"/>
        </w:rPr>
        <w:t xml:space="preserve">las condiciones de </w:t>
      </w:r>
      <w:r>
        <w:rPr>
          <w:rFonts w:ascii="Arial" w:hAnsi="Arial" w:cs="Arial"/>
        </w:rPr>
        <w:t>abandono en la que se encuentra</w:t>
      </w:r>
      <w:r w:rsidRPr="00932B6E">
        <w:rPr>
          <w:rFonts w:ascii="Arial" w:hAnsi="Arial" w:cs="Arial"/>
        </w:rPr>
        <w:t xml:space="preserve"> el inmueble</w:t>
      </w:r>
      <w:r>
        <w:rPr>
          <w:rFonts w:ascii="Arial" w:hAnsi="Arial" w:cs="Arial"/>
        </w:rPr>
        <w:t>,</w:t>
      </w:r>
      <w:r w:rsidRPr="00932B6E">
        <w:rPr>
          <w:rFonts w:ascii="Arial" w:hAnsi="Arial" w:cs="Arial"/>
        </w:rPr>
        <w:t xml:space="preserve"> </w:t>
      </w:r>
      <w:r w:rsidR="00DD54AE" w:rsidRPr="00DA35D4">
        <w:rPr>
          <w:rFonts w:ascii="Arial" w:hAnsi="Arial" w:cs="Arial"/>
          <w:color w:val="000000" w:themeColor="text1"/>
        </w:rPr>
        <w:t>el cual</w:t>
      </w:r>
      <w:r w:rsidR="00DD5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ha deteriora</w:t>
      </w:r>
      <w:r w:rsidRPr="00932B6E">
        <w:rPr>
          <w:rFonts w:ascii="Arial" w:hAnsi="Arial" w:cs="Arial"/>
        </w:rPr>
        <w:t>do con el paso de los años por fal</w:t>
      </w:r>
      <w:r>
        <w:rPr>
          <w:rFonts w:ascii="Arial" w:hAnsi="Arial" w:cs="Arial"/>
        </w:rPr>
        <w:t>ta de un adecuado mantenimiento;</w:t>
      </w:r>
      <w:r w:rsidRPr="00932B6E">
        <w:rPr>
          <w:rFonts w:ascii="Arial" w:hAnsi="Arial" w:cs="Arial"/>
        </w:rPr>
        <w:t xml:space="preserve"> adicionalmente en las supervisiones no se encontraba abierto</w:t>
      </w:r>
      <w:r w:rsidR="00925B7A">
        <w:rPr>
          <w:rFonts w:ascii="Arial" w:hAnsi="Arial" w:cs="Arial"/>
        </w:rPr>
        <w:t>, ya que</w:t>
      </w:r>
      <w:r w:rsidRPr="00932B6E">
        <w:rPr>
          <w:rFonts w:ascii="Arial" w:hAnsi="Arial" w:cs="Arial"/>
        </w:rPr>
        <w:t xml:space="preserve"> solo por las tardes atendían brindando servicios de masajes.</w:t>
      </w:r>
    </w:p>
    <w:p w:rsidR="00654907" w:rsidRPr="00654907" w:rsidRDefault="00654907" w:rsidP="00925B7A">
      <w:pPr>
        <w:spacing w:line="360" w:lineRule="auto"/>
        <w:jc w:val="both"/>
        <w:rPr>
          <w:rFonts w:ascii="Arial" w:hAnsi="Arial" w:cs="Arial"/>
        </w:rPr>
      </w:pPr>
      <w:r w:rsidRPr="00654907">
        <w:rPr>
          <w:rFonts w:ascii="Arial" w:hAnsi="Arial" w:cs="Arial"/>
        </w:rPr>
        <w:t>A lo largo de las inspecciones que se han realizado se ha detectado que las habitaciones del inmueble son utilizadas para otros fines, diferentes a los que dieron origen al convenio mencionado, según informe anexo a la presente acta. Anexo 1.</w:t>
      </w:r>
    </w:p>
    <w:p w:rsidR="00654907" w:rsidRPr="00654907" w:rsidRDefault="00654907" w:rsidP="00925B7A">
      <w:pPr>
        <w:spacing w:line="360" w:lineRule="auto"/>
        <w:jc w:val="both"/>
        <w:rPr>
          <w:rFonts w:ascii="Arial" w:hAnsi="Arial" w:cs="Arial"/>
        </w:rPr>
      </w:pPr>
      <w:r w:rsidRPr="00654907">
        <w:rPr>
          <w:rFonts w:ascii="Arial" w:hAnsi="Arial" w:cs="Arial"/>
        </w:rPr>
        <w:t>Cabe resaltar que a la fecha dicha Asociación, no cue</w:t>
      </w:r>
      <w:r w:rsidR="00DA35D4">
        <w:rPr>
          <w:rFonts w:ascii="Arial" w:hAnsi="Arial" w:cs="Arial"/>
        </w:rPr>
        <w:t xml:space="preserve">nta con credenciales y permisos </w:t>
      </w:r>
      <w:r w:rsidRPr="00654907">
        <w:rPr>
          <w:rFonts w:ascii="Arial" w:hAnsi="Arial" w:cs="Arial"/>
        </w:rPr>
        <w:t xml:space="preserve">respectivos; así mismo que el día nueve de abril </w:t>
      </w:r>
      <w:r w:rsidR="00925B7A" w:rsidRPr="00DA35D4">
        <w:rPr>
          <w:rFonts w:ascii="Arial" w:hAnsi="Arial" w:cs="Arial"/>
          <w:color w:val="000000" w:themeColor="text1"/>
        </w:rPr>
        <w:t>de este año</w:t>
      </w:r>
      <w:r w:rsidR="00925B7A">
        <w:rPr>
          <w:rFonts w:ascii="Arial" w:hAnsi="Arial" w:cs="Arial"/>
        </w:rPr>
        <w:t xml:space="preserve">, </w:t>
      </w:r>
      <w:r w:rsidRPr="00654907">
        <w:rPr>
          <w:rFonts w:ascii="Arial" w:hAnsi="Arial" w:cs="Arial"/>
        </w:rPr>
        <w:t xml:space="preserve">llevaron a cabo la Asamblea General de sus asociados, los cuales no superan las doce personas, ya que la mayoría han sido expulsados por malos comportamientos. </w:t>
      </w:r>
      <w:r>
        <w:rPr>
          <w:rFonts w:ascii="Arial" w:hAnsi="Arial" w:cs="Arial"/>
        </w:rPr>
        <w:t>Anexo 1.</w:t>
      </w:r>
    </w:p>
    <w:p w:rsidR="00C82C82" w:rsidRDefault="00C82C82" w:rsidP="00925B7A">
      <w:pPr>
        <w:spacing w:line="360" w:lineRule="auto"/>
        <w:jc w:val="both"/>
        <w:rPr>
          <w:rFonts w:ascii="Arial" w:hAnsi="Arial" w:cs="Arial"/>
        </w:rPr>
      </w:pPr>
    </w:p>
    <w:p w:rsidR="007D227A" w:rsidRDefault="007D227A" w:rsidP="00925B7A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7.- Informes de Presidencia.</w:t>
      </w:r>
    </w:p>
    <w:p w:rsidR="007D227A" w:rsidRDefault="00CC5625" w:rsidP="00925B7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7D227A" w:rsidRDefault="007D227A" w:rsidP="00925B7A">
      <w:pPr>
        <w:spacing w:line="360" w:lineRule="auto"/>
        <w:jc w:val="both"/>
        <w:rPr>
          <w:rFonts w:ascii="Arial" w:eastAsia="Calibri" w:hAnsi="Arial" w:cs="Arial"/>
          <w:b/>
        </w:rPr>
      </w:pPr>
      <w:r w:rsidRPr="00AF262C">
        <w:rPr>
          <w:rFonts w:ascii="Arial" w:eastAsia="Calibri" w:hAnsi="Arial" w:cs="Arial"/>
        </w:rPr>
        <w:t xml:space="preserve"> </w:t>
      </w:r>
    </w:p>
    <w:p w:rsidR="007D227A" w:rsidRPr="00AF262C" w:rsidRDefault="007D227A" w:rsidP="00925B7A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AF262C">
        <w:rPr>
          <w:rFonts w:ascii="Arial" w:eastAsia="Calibri" w:hAnsi="Arial" w:cs="Arial"/>
          <w:b/>
        </w:rPr>
        <w:t>8.- Asuntos Varios.</w:t>
      </w:r>
    </w:p>
    <w:p w:rsidR="007D227A" w:rsidRPr="00AF262C" w:rsidRDefault="007D227A" w:rsidP="00925B7A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377753" w:rsidRDefault="0003712F" w:rsidP="00925B7A">
      <w:pPr>
        <w:spacing w:line="360" w:lineRule="auto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</w:rPr>
        <w:t xml:space="preserve">Participación </w:t>
      </w:r>
      <w:r w:rsidR="00654907">
        <w:rPr>
          <w:rFonts w:ascii="Arial" w:eastAsia="Calibri" w:hAnsi="Arial" w:cs="Arial"/>
        </w:rPr>
        <w:t>de Licenciada Blanca de Somoza J</w:t>
      </w:r>
      <w:r>
        <w:rPr>
          <w:rFonts w:ascii="Arial" w:eastAsia="Calibri" w:hAnsi="Arial" w:cs="Arial"/>
        </w:rPr>
        <w:t>efe UACI</w:t>
      </w:r>
      <w:r w:rsidR="00C82C82">
        <w:rPr>
          <w:rFonts w:ascii="Arial" w:eastAsia="Calibri" w:hAnsi="Arial" w:cs="Arial"/>
        </w:rPr>
        <w:t xml:space="preserve"> en relación a </w:t>
      </w:r>
      <w:r w:rsidR="00654907">
        <w:rPr>
          <w:rFonts w:ascii="Arial" w:eastAsia="Calibri" w:hAnsi="Arial" w:cs="Arial"/>
        </w:rPr>
        <w:t>“</w:t>
      </w:r>
      <w:r w:rsidR="00CA4983" w:rsidRPr="00654907">
        <w:rPr>
          <w:rFonts w:ascii="Arial" w:eastAsia="Calibri" w:hAnsi="Arial" w:cs="Arial"/>
          <w:lang w:val="es-ES_tradnl"/>
        </w:rPr>
        <w:t>SUMINISTRO DE INSUMOS PARA LA PREPARACIÓN DE ALIMENTOS PARA PERSONAS DE LAS DIFERENTES DEPENDENCIAS DEL ISRI”</w:t>
      </w:r>
      <w:r w:rsidR="00654907">
        <w:rPr>
          <w:rFonts w:ascii="Arial" w:eastAsia="Calibri" w:hAnsi="Arial" w:cs="Arial"/>
          <w:lang w:val="es-ES_tradnl"/>
        </w:rPr>
        <w:t>.</w:t>
      </w:r>
    </w:p>
    <w:p w:rsidR="00377753" w:rsidRPr="00654907" w:rsidRDefault="00654907" w:rsidP="00925B7A">
      <w:pPr>
        <w:tabs>
          <w:tab w:val="num" w:pos="720"/>
        </w:tabs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es-ES_tradnl"/>
        </w:rPr>
        <w:t xml:space="preserve">Licenciada de Somoza, explica que, </w:t>
      </w:r>
      <w:r w:rsidR="009B6D36" w:rsidRPr="00654907">
        <w:rPr>
          <w:rFonts w:ascii="Arial" w:eastAsia="Calibri" w:hAnsi="Arial" w:cs="Arial"/>
        </w:rPr>
        <w:t>mediante</w:t>
      </w:r>
      <w:r w:rsidR="00CA4983" w:rsidRPr="00654907">
        <w:rPr>
          <w:rFonts w:ascii="Arial" w:eastAsia="Calibri" w:hAnsi="Arial" w:cs="Arial"/>
        </w:rPr>
        <w:t xml:space="preserve"> acuerdo JD 08/2017, ratificado en fecha 21 de marzo de 2017 Junta Directiva del ISRI adjudica, el SUMINISTRO DE INSUMOS PARA LA PREPARACION DE ALIMENTOS PARA PERSONAS DE LAS D</w:t>
      </w:r>
      <w:r>
        <w:rPr>
          <w:rFonts w:ascii="Arial" w:eastAsia="Calibri" w:hAnsi="Arial" w:cs="Arial"/>
        </w:rPr>
        <w:t xml:space="preserve">IFERENTES DEPENDENCIAS DEL ISRI, por un monto </w:t>
      </w:r>
      <w:r>
        <w:rPr>
          <w:rFonts w:ascii="Arial" w:eastAsia="Calibri" w:hAnsi="Arial" w:cs="Arial"/>
          <w:lang w:val="es-ES"/>
        </w:rPr>
        <w:t xml:space="preserve">adjudicado de </w:t>
      </w:r>
      <w:r w:rsidR="00CA4983" w:rsidRPr="00654907">
        <w:rPr>
          <w:rFonts w:ascii="Arial" w:eastAsia="Calibri" w:hAnsi="Arial" w:cs="Arial"/>
          <w:b/>
          <w:bCs/>
          <w:lang w:val="es-ES"/>
        </w:rPr>
        <w:t>$124,869.30</w:t>
      </w:r>
      <w:r w:rsidR="00CA4983" w:rsidRPr="00654907">
        <w:rPr>
          <w:rFonts w:ascii="Arial" w:eastAsia="Calibri" w:hAnsi="Arial" w:cs="Arial"/>
          <w:lang w:val="es-ES"/>
        </w:rPr>
        <w:t xml:space="preserve"> </w:t>
      </w:r>
    </w:p>
    <w:p w:rsidR="00654907" w:rsidRPr="00654907" w:rsidRDefault="00CA4983" w:rsidP="00925B7A">
      <w:pPr>
        <w:tabs>
          <w:tab w:val="num" w:pos="720"/>
        </w:tabs>
        <w:spacing w:line="360" w:lineRule="auto"/>
        <w:jc w:val="both"/>
        <w:rPr>
          <w:rFonts w:ascii="Arial" w:eastAsia="Calibri" w:hAnsi="Arial" w:cs="Arial"/>
        </w:rPr>
      </w:pPr>
      <w:r w:rsidRPr="00654907">
        <w:rPr>
          <w:rFonts w:ascii="Arial" w:eastAsia="Calibri" w:hAnsi="Arial" w:cs="Arial"/>
        </w:rPr>
        <w:t xml:space="preserve">Según RESOLUCIÒN RAZONADA DE EXTINCIÒN DE CONTRATO LG 60/2016, emitida el día trece de marzo de dos mil diecisiete, </w:t>
      </w:r>
      <w:r w:rsidR="00925B7A" w:rsidRPr="00DA35D4">
        <w:rPr>
          <w:rFonts w:ascii="Arial" w:eastAsia="Calibri" w:hAnsi="Arial" w:cs="Arial"/>
          <w:color w:val="000000" w:themeColor="text1"/>
        </w:rPr>
        <w:t>por caducidad al mismo</w:t>
      </w:r>
      <w:r w:rsidR="00925B7A">
        <w:rPr>
          <w:rFonts w:ascii="Arial" w:eastAsia="Calibri" w:hAnsi="Arial" w:cs="Arial"/>
        </w:rPr>
        <w:t xml:space="preserve">, </w:t>
      </w:r>
      <w:r w:rsidR="00654907" w:rsidRPr="00654907">
        <w:rPr>
          <w:rFonts w:ascii="Arial" w:eastAsia="Calibri" w:hAnsi="Arial" w:cs="Arial"/>
        </w:rPr>
        <w:t xml:space="preserve">ya no se podrá contratar, razón por la cual los bienes que se le habían adjudicado se tuvo que adjudicar al </w:t>
      </w:r>
      <w:r w:rsidR="00654907" w:rsidRPr="00654907">
        <w:rPr>
          <w:rFonts w:ascii="Arial" w:eastAsia="Calibri" w:hAnsi="Arial" w:cs="Arial"/>
        </w:rPr>
        <w:lastRenderedPageBreak/>
        <w:t>resto de oferentes participantes en</w:t>
      </w:r>
      <w:r w:rsidR="009B6D36">
        <w:rPr>
          <w:rFonts w:ascii="Arial" w:eastAsia="Calibri" w:hAnsi="Arial" w:cs="Arial"/>
        </w:rPr>
        <w:t xml:space="preserve"> la licitación pública 01/2017, debido a la extinción del contrato prorrogado LG 60/2016, con la persona natural </w:t>
      </w:r>
      <w:bookmarkStart w:id="0" w:name="_GoBack"/>
      <w:r w:rsidR="003D4494" w:rsidRPr="003D4494">
        <w:rPr>
          <w:rFonts w:ascii="Arial" w:hAnsi="Arial" w:cs="Arial"/>
        </w:rPr>
        <w:t>XXXXXXX</w:t>
      </w:r>
      <w:bookmarkEnd w:id="0"/>
      <w:r w:rsidR="009B6D36">
        <w:rPr>
          <w:rFonts w:ascii="Arial" w:eastAsia="Calibri" w:hAnsi="Arial" w:cs="Arial"/>
        </w:rPr>
        <w:t>.</w:t>
      </w:r>
    </w:p>
    <w:p w:rsidR="00654907" w:rsidRPr="00654907" w:rsidRDefault="00654907" w:rsidP="00925B7A">
      <w:pPr>
        <w:tabs>
          <w:tab w:val="num" w:pos="720"/>
        </w:tabs>
        <w:spacing w:line="360" w:lineRule="auto"/>
        <w:jc w:val="both"/>
        <w:rPr>
          <w:rFonts w:ascii="Arial" w:eastAsia="Calibri" w:hAnsi="Arial" w:cs="Arial"/>
        </w:rPr>
      </w:pPr>
      <w:r w:rsidRPr="00654907">
        <w:rPr>
          <w:rFonts w:ascii="Arial" w:eastAsia="Calibri" w:hAnsi="Arial" w:cs="Arial"/>
        </w:rPr>
        <w:t>Que el periodo para adjudicar venció el 18 de abril de 2017, por lo que fue necesario prorrogar por 30 días adicionales la adjudicación, por lo excepcional del caso</w:t>
      </w:r>
      <w:r w:rsidR="00925B7A">
        <w:rPr>
          <w:rFonts w:ascii="Arial" w:eastAsia="Calibri" w:hAnsi="Arial" w:cs="Arial"/>
        </w:rPr>
        <w:t xml:space="preserve">, de conformidad a </w:t>
      </w:r>
      <w:r w:rsidRPr="00654907">
        <w:rPr>
          <w:rFonts w:ascii="Arial" w:eastAsia="Calibri" w:hAnsi="Arial" w:cs="Arial"/>
        </w:rPr>
        <w:t xml:space="preserve">lo </w:t>
      </w:r>
      <w:r w:rsidR="00925B7A">
        <w:rPr>
          <w:rFonts w:ascii="Arial" w:eastAsia="Calibri" w:hAnsi="Arial" w:cs="Arial"/>
        </w:rPr>
        <w:t xml:space="preserve">que </w:t>
      </w:r>
      <w:r w:rsidRPr="00654907">
        <w:rPr>
          <w:rFonts w:ascii="Arial" w:eastAsia="Calibri" w:hAnsi="Arial" w:cs="Arial"/>
        </w:rPr>
        <w:t>establece el artículo 44, literal l) de LACAP y el romano III, literal f) de la base de la presente licitación, tiempo que servirá para modificar la adjudicación y concluir con la contratación.</w:t>
      </w:r>
    </w:p>
    <w:p w:rsidR="00654907" w:rsidRDefault="00654907" w:rsidP="00925B7A">
      <w:pPr>
        <w:spacing w:line="360" w:lineRule="auto"/>
        <w:jc w:val="both"/>
        <w:rPr>
          <w:rFonts w:ascii="Arial" w:eastAsia="Calibri" w:hAnsi="Arial" w:cs="Arial"/>
          <w:lang w:val="es-ES"/>
        </w:rPr>
      </w:pPr>
      <w:r w:rsidRPr="00654907">
        <w:rPr>
          <w:rFonts w:ascii="Arial" w:eastAsia="Calibri" w:hAnsi="Arial" w:cs="Arial"/>
        </w:rPr>
        <w:t>Los ofertantes manifestaron por escrit</w:t>
      </w:r>
      <w:r w:rsidRPr="00DA35D4">
        <w:rPr>
          <w:rFonts w:ascii="Arial" w:eastAsia="Calibri" w:hAnsi="Arial" w:cs="Arial"/>
          <w:color w:val="000000" w:themeColor="text1"/>
        </w:rPr>
        <w:t>o</w:t>
      </w:r>
      <w:r w:rsidR="00925B7A" w:rsidRPr="00DA35D4">
        <w:rPr>
          <w:rFonts w:ascii="Arial" w:eastAsia="Calibri" w:hAnsi="Arial" w:cs="Arial"/>
          <w:color w:val="000000" w:themeColor="text1"/>
        </w:rPr>
        <w:t>,</w:t>
      </w:r>
      <w:r w:rsidRPr="00654907">
        <w:rPr>
          <w:rFonts w:ascii="Arial" w:eastAsia="Calibri" w:hAnsi="Arial" w:cs="Arial"/>
        </w:rPr>
        <w:t xml:space="preserve"> estar de acuerdo en ampliar por 30 días adicionales la vigencia de las ofertas presentadas en </w:t>
      </w:r>
      <w:r w:rsidR="007D5F70">
        <w:rPr>
          <w:rFonts w:ascii="Arial" w:eastAsia="Calibri" w:hAnsi="Arial" w:cs="Arial"/>
          <w:lang w:val="es-ES"/>
        </w:rPr>
        <w:t>la Licitación Pú</w:t>
      </w:r>
      <w:r w:rsidRPr="00654907">
        <w:rPr>
          <w:rFonts w:ascii="Arial" w:eastAsia="Calibri" w:hAnsi="Arial" w:cs="Arial"/>
          <w:lang w:val="es-ES"/>
        </w:rPr>
        <w:t>blica 01/2017</w:t>
      </w:r>
      <w:r w:rsidR="009B6D36">
        <w:rPr>
          <w:rFonts w:ascii="Arial" w:eastAsia="Calibri" w:hAnsi="Arial" w:cs="Arial"/>
          <w:lang w:val="es-ES"/>
        </w:rPr>
        <w:t xml:space="preserve">; por lo que la Comisión Evaluadora de Ofertas presentó a Junta Directiva nueva recomendación de adjudicación. Anexo 2. </w:t>
      </w:r>
    </w:p>
    <w:p w:rsidR="00654907" w:rsidRDefault="00654907" w:rsidP="00925B7A">
      <w:pPr>
        <w:spacing w:line="360" w:lineRule="auto"/>
        <w:jc w:val="both"/>
        <w:rPr>
          <w:rFonts w:ascii="Arial" w:eastAsia="Calibri" w:hAnsi="Arial" w:cs="Arial"/>
        </w:rPr>
      </w:pPr>
    </w:p>
    <w:p w:rsidR="009B6D36" w:rsidRDefault="0003712F" w:rsidP="00925B7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Participación de Li</w:t>
      </w:r>
      <w:r w:rsidR="00FF7193">
        <w:rPr>
          <w:rFonts w:ascii="Arial" w:eastAsia="Calibri" w:hAnsi="Arial" w:cs="Arial"/>
        </w:rPr>
        <w:t>cenciada Patricia Coto de Pino, J</w:t>
      </w:r>
      <w:r>
        <w:rPr>
          <w:rFonts w:ascii="Arial" w:eastAsia="Calibri" w:hAnsi="Arial" w:cs="Arial"/>
        </w:rPr>
        <w:t>efe Jurídico</w:t>
      </w:r>
      <w:r w:rsidR="00C82C82">
        <w:rPr>
          <w:rFonts w:ascii="Arial" w:eastAsia="Calibri" w:hAnsi="Arial" w:cs="Arial"/>
        </w:rPr>
        <w:t xml:space="preserve"> en relación a </w:t>
      </w:r>
      <w:r w:rsidR="009B6D36">
        <w:rPr>
          <w:rFonts w:ascii="Arial" w:eastAsia="Calibri" w:hAnsi="Arial" w:cs="Arial"/>
        </w:rPr>
        <w:t xml:space="preserve">la Extinción del contrato </w:t>
      </w:r>
      <w:r w:rsidR="009B6D36" w:rsidRPr="00654907">
        <w:rPr>
          <w:rFonts w:ascii="Arial" w:eastAsia="Calibri" w:hAnsi="Arial" w:cs="Arial"/>
        </w:rPr>
        <w:t>LG 60/2016</w:t>
      </w:r>
      <w:r w:rsidR="009B6D36">
        <w:rPr>
          <w:rFonts w:ascii="Arial" w:eastAsia="Calibri" w:hAnsi="Arial" w:cs="Arial"/>
        </w:rPr>
        <w:t xml:space="preserve">, y para ello presenta a Junta Directiva una bitácora de los tiempos en que se llevaron a cabo cada uno de los pasos que tanto la </w:t>
      </w:r>
      <w:r w:rsidR="003E2E03">
        <w:rPr>
          <w:rFonts w:ascii="Arial" w:eastAsia="Calibri" w:hAnsi="Arial" w:cs="Arial"/>
        </w:rPr>
        <w:t>LACAP,</w:t>
      </w:r>
      <w:r w:rsidR="009B6D36">
        <w:rPr>
          <w:rFonts w:ascii="Arial" w:eastAsia="Calibri" w:hAnsi="Arial" w:cs="Arial"/>
        </w:rPr>
        <w:t xml:space="preserve"> así como el manual de la UNAC establecen para la extinción de los contratos. Anexo 3.</w:t>
      </w:r>
    </w:p>
    <w:p w:rsidR="00F65C68" w:rsidRDefault="00F65C68" w:rsidP="00925B7A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</w:p>
    <w:p w:rsidR="007D227A" w:rsidRPr="00AF262C" w:rsidRDefault="007D227A" w:rsidP="00925B7A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 w:rsidRPr="00AF262C">
        <w:rPr>
          <w:rFonts w:ascii="Arial" w:eastAsia="Calibri" w:hAnsi="Arial" w:cs="Arial"/>
        </w:rPr>
        <w:t>Sin más asuntos que tratar, el presidente levanta la sesión, a las catorce</w:t>
      </w:r>
      <w:r w:rsidR="00344E31">
        <w:rPr>
          <w:rFonts w:ascii="Arial" w:eastAsia="Calibri" w:hAnsi="Arial" w:cs="Arial"/>
        </w:rPr>
        <w:t xml:space="preserve"> horas con cuarenta y cinco minutos del día jueves </w:t>
      </w:r>
      <w:r w:rsidR="00DA35D4">
        <w:rPr>
          <w:rFonts w:ascii="Arial" w:eastAsia="Calibri" w:hAnsi="Arial" w:cs="Arial"/>
        </w:rPr>
        <w:t>veinte</w:t>
      </w:r>
      <w:r w:rsidRPr="00AF262C">
        <w:rPr>
          <w:rFonts w:ascii="Arial" w:eastAsia="Calibri" w:hAnsi="Arial" w:cs="Arial"/>
        </w:rPr>
        <w:t xml:space="preserve"> de abril del dos mil diecisiete y para constancia firmamos:</w:t>
      </w:r>
    </w:p>
    <w:p w:rsidR="007D227A" w:rsidRPr="00AF262C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7D227A" w:rsidRDefault="007D22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925B7A" w:rsidRDefault="00925B7A" w:rsidP="007D227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7D227A" w:rsidRPr="00AF262C" w:rsidRDefault="007D227A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AF262C">
        <w:rPr>
          <w:rFonts w:ascii="Arial" w:eastAsia="Times New Roman" w:hAnsi="Arial" w:cs="Arial"/>
          <w:lang w:val="es-ES" w:eastAsia="es-ES"/>
        </w:rPr>
        <w:t xml:space="preserve">Dr. Alex Francisco González </w:t>
      </w:r>
      <w:r w:rsidRPr="00AF262C">
        <w:rPr>
          <w:rFonts w:ascii="Arial" w:eastAsia="Times New Roman" w:hAnsi="Arial" w:cs="Arial"/>
          <w:lang w:eastAsia="es-ES"/>
        </w:rPr>
        <w:t>Menjívar</w:t>
      </w:r>
      <w:r w:rsidRPr="00AF262C">
        <w:rPr>
          <w:rFonts w:ascii="Arial" w:eastAsia="Times New Roman" w:hAnsi="Arial" w:cs="Arial"/>
          <w:lang w:val="es-ES" w:eastAsia="es-ES"/>
        </w:rPr>
        <w:tab/>
        <w:t xml:space="preserve">        Licda. María Marta Cañas de Herrera</w:t>
      </w:r>
      <w:r w:rsidRPr="00AF262C">
        <w:rPr>
          <w:rFonts w:ascii="Arial" w:eastAsia="Times New Roman" w:hAnsi="Arial" w:cs="Arial"/>
          <w:lang w:val="es-ES" w:eastAsia="es-ES"/>
        </w:rPr>
        <w:tab/>
        <w:t xml:space="preserve">           </w:t>
      </w:r>
    </w:p>
    <w:p w:rsidR="007D227A" w:rsidRPr="00AF262C" w:rsidRDefault="007D227A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D227A" w:rsidRDefault="007D227A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56D0C" w:rsidRDefault="00156D0C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56D0C" w:rsidRDefault="00156D0C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D227A" w:rsidRPr="00925B7A" w:rsidRDefault="007D227A" w:rsidP="007D22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F262C">
        <w:rPr>
          <w:rFonts w:ascii="Arial" w:eastAsia="Times New Roman" w:hAnsi="Arial" w:cs="Arial"/>
          <w:lang w:val="es-ES" w:eastAsia="es-ES"/>
        </w:rPr>
        <w:t>Sra. Darling Azucena Mejía Pineda</w:t>
      </w:r>
      <w:r w:rsidRPr="00AF262C">
        <w:rPr>
          <w:rFonts w:ascii="Arial" w:eastAsia="Times New Roman" w:hAnsi="Arial" w:cs="Arial"/>
          <w:lang w:val="es-ES" w:eastAsia="es-ES"/>
        </w:rPr>
        <w:tab/>
      </w:r>
      <w:r w:rsidRPr="00AF262C">
        <w:rPr>
          <w:rFonts w:ascii="Arial" w:eastAsia="Times New Roman" w:hAnsi="Arial" w:cs="Arial"/>
          <w:lang w:val="es-ES" w:eastAsia="es-ES"/>
        </w:rPr>
        <w:tab/>
      </w:r>
      <w:r w:rsidRPr="0003712F">
        <w:rPr>
          <w:rFonts w:ascii="Arial" w:eastAsia="Times New Roman" w:hAnsi="Arial" w:cs="Arial"/>
          <w:lang w:val="es-ES" w:eastAsia="es-ES"/>
        </w:rPr>
        <w:t xml:space="preserve">  </w:t>
      </w:r>
      <w:r w:rsidR="00925B7A">
        <w:rPr>
          <w:rFonts w:ascii="Arial" w:eastAsia="Times New Roman" w:hAnsi="Arial" w:cs="Arial"/>
          <w:lang w:val="es-ES" w:eastAsia="es-ES"/>
        </w:rPr>
        <w:t xml:space="preserve">     </w:t>
      </w:r>
      <w:r w:rsidRPr="0003712F">
        <w:rPr>
          <w:rFonts w:ascii="Arial" w:eastAsia="Times New Roman" w:hAnsi="Arial" w:cs="Arial"/>
          <w:lang w:val="es-ES" w:eastAsia="es-ES"/>
        </w:rPr>
        <w:t xml:space="preserve"> </w:t>
      </w:r>
      <w:r w:rsidRPr="00925B7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Licda. Carmen Elizabeth Quintanilla Espinoza          </w:t>
      </w:r>
    </w:p>
    <w:p w:rsidR="007D227A" w:rsidRPr="0003712F" w:rsidRDefault="007D227A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D227A" w:rsidRDefault="007D227A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56D0C" w:rsidRDefault="00156D0C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56D0C" w:rsidRPr="00AF262C" w:rsidRDefault="00156D0C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325DF" w:rsidRDefault="00F325DF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</w:t>
      </w:r>
      <w:r w:rsidR="007D227A" w:rsidRPr="00AF262C">
        <w:rPr>
          <w:rFonts w:ascii="Arial" w:eastAsia="Times New Roman" w:hAnsi="Arial" w:cs="Arial"/>
          <w:lang w:val="es-ES" w:eastAsia="es-ES"/>
        </w:rPr>
        <w:t>r. Miguel Ángel Martínez Salmerón</w:t>
      </w:r>
      <w:r>
        <w:rPr>
          <w:rFonts w:ascii="Arial" w:eastAsia="Times New Roman" w:hAnsi="Arial" w:cs="Arial"/>
          <w:lang w:val="es-ES" w:eastAsia="es-ES"/>
        </w:rPr>
        <w:tab/>
      </w:r>
      <w:r w:rsidR="007D227A" w:rsidRPr="00AF262C">
        <w:rPr>
          <w:rFonts w:ascii="Arial" w:eastAsia="Times New Roman" w:hAnsi="Arial" w:cs="Arial"/>
          <w:lang w:val="es-ES" w:eastAsia="es-ES"/>
        </w:rPr>
        <w:t xml:space="preserve">Licda. Nora Elizabeth Abrego de Amado      </w:t>
      </w:r>
      <w:r w:rsidR="00925B7A">
        <w:rPr>
          <w:rFonts w:ascii="Arial" w:eastAsia="Times New Roman" w:hAnsi="Arial" w:cs="Arial"/>
          <w:lang w:val="es-ES" w:eastAsia="es-ES"/>
        </w:rPr>
        <w:t xml:space="preserve">      </w:t>
      </w:r>
    </w:p>
    <w:p w:rsidR="00F325DF" w:rsidRDefault="00F325DF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325DF" w:rsidRDefault="00F325DF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56D0C" w:rsidRDefault="00156D0C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56D0C" w:rsidRDefault="00156D0C" w:rsidP="007D227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325DF" w:rsidRDefault="00925B7A" w:rsidP="00F325D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</w:t>
      </w:r>
      <w:r w:rsidR="00F325DF">
        <w:rPr>
          <w:rFonts w:ascii="Arial" w:eastAsia="Times New Roman" w:hAnsi="Arial" w:cs="Arial"/>
          <w:lang w:val="es-ES" w:eastAsia="es-ES"/>
        </w:rPr>
        <w:t>i</w:t>
      </w:r>
      <w:r>
        <w:rPr>
          <w:rFonts w:ascii="Arial" w:eastAsia="Times New Roman" w:hAnsi="Arial" w:cs="Arial"/>
          <w:lang w:val="es-ES" w:eastAsia="es-ES"/>
        </w:rPr>
        <w:t>cda. Nora Lizeth Pérez Martínez</w:t>
      </w:r>
      <w:r w:rsidR="00344E31">
        <w:rPr>
          <w:rFonts w:ascii="Arial" w:eastAsia="Times New Roman" w:hAnsi="Arial" w:cs="Arial"/>
          <w:lang w:val="es-ES" w:eastAsia="es-ES"/>
        </w:rPr>
        <w:t xml:space="preserve">    </w:t>
      </w:r>
      <w:r w:rsidR="00F325DF">
        <w:rPr>
          <w:rFonts w:ascii="Arial" w:eastAsia="Times New Roman" w:hAnsi="Arial" w:cs="Arial"/>
          <w:lang w:val="es-ES" w:eastAsia="es-ES"/>
        </w:rPr>
        <w:tab/>
      </w:r>
      <w:r w:rsidR="00B55E3E">
        <w:rPr>
          <w:rFonts w:ascii="Arial" w:eastAsia="Times New Roman" w:hAnsi="Arial" w:cs="Arial"/>
          <w:lang w:val="es-ES" w:eastAsia="es-ES"/>
        </w:rPr>
        <w:t xml:space="preserve">Licda. Sara </w:t>
      </w:r>
      <w:r w:rsidR="00F325DF">
        <w:rPr>
          <w:rFonts w:ascii="Arial" w:eastAsia="Times New Roman" w:hAnsi="Arial" w:cs="Arial"/>
          <w:lang w:val="es-ES" w:eastAsia="es-ES"/>
        </w:rPr>
        <w:t xml:space="preserve">María </w:t>
      </w:r>
      <w:r w:rsidR="00B55E3E">
        <w:rPr>
          <w:rFonts w:ascii="Arial" w:eastAsia="Times New Roman" w:hAnsi="Arial" w:cs="Arial"/>
          <w:lang w:val="es-ES" w:eastAsia="es-ES"/>
        </w:rPr>
        <w:t>Mendoza</w:t>
      </w:r>
      <w:r w:rsidR="00B55E3E">
        <w:rPr>
          <w:rFonts w:ascii="Arial" w:eastAsia="Times New Roman" w:hAnsi="Arial" w:cs="Arial"/>
          <w:lang w:val="es-ES" w:eastAsia="es-ES"/>
        </w:rPr>
        <w:tab/>
      </w:r>
      <w:r w:rsidR="00F325DF">
        <w:rPr>
          <w:rFonts w:ascii="Arial" w:eastAsia="Times New Roman" w:hAnsi="Arial" w:cs="Arial"/>
          <w:lang w:val="es-ES" w:eastAsia="es-ES"/>
        </w:rPr>
        <w:t>Acosta</w:t>
      </w:r>
      <w:r w:rsidR="00B55E3E">
        <w:rPr>
          <w:rFonts w:ascii="Arial" w:eastAsia="Times New Roman" w:hAnsi="Arial" w:cs="Arial"/>
          <w:lang w:val="es-ES" w:eastAsia="es-ES"/>
        </w:rPr>
        <w:tab/>
      </w:r>
      <w:r w:rsidR="00B55E3E">
        <w:rPr>
          <w:rFonts w:ascii="Arial" w:eastAsia="Times New Roman" w:hAnsi="Arial" w:cs="Arial"/>
          <w:lang w:val="es-ES" w:eastAsia="es-ES"/>
        </w:rPr>
        <w:tab/>
      </w:r>
    </w:p>
    <w:p w:rsidR="00F325DF" w:rsidRDefault="00F325DF" w:rsidP="00F325D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325DF" w:rsidRDefault="00F325DF" w:rsidP="00F325D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56D0C" w:rsidRDefault="00156D0C" w:rsidP="00156D0C">
      <w:pPr>
        <w:spacing w:after="0" w:line="276" w:lineRule="auto"/>
        <w:jc w:val="right"/>
        <w:rPr>
          <w:rFonts w:ascii="Arial" w:eastAsia="Times New Roman" w:hAnsi="Arial" w:cs="Arial"/>
          <w:lang w:val="es-ES" w:eastAsia="es-ES"/>
        </w:rPr>
      </w:pPr>
    </w:p>
    <w:p w:rsidR="00E2451D" w:rsidRDefault="007D227A" w:rsidP="00156D0C">
      <w:pPr>
        <w:spacing w:after="0" w:line="276" w:lineRule="auto"/>
        <w:jc w:val="both"/>
      </w:pPr>
      <w:r w:rsidRPr="00AF262C">
        <w:rPr>
          <w:rFonts w:ascii="Arial" w:eastAsia="Times New Roman" w:hAnsi="Arial" w:cs="Arial"/>
          <w:lang w:val="es-ES" w:eastAsia="es-ES"/>
        </w:rPr>
        <w:t xml:space="preserve">Lic. Joselito Tobar Recinos   </w:t>
      </w:r>
    </w:p>
    <w:sectPr w:rsidR="00E2451D" w:rsidSect="00C5184B">
      <w:headerReference w:type="default" r:id="rId11"/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DE" w:rsidRDefault="008A02DE">
      <w:pPr>
        <w:spacing w:after="0" w:line="240" w:lineRule="auto"/>
      </w:pPr>
      <w:r>
        <w:separator/>
      </w:r>
    </w:p>
  </w:endnote>
  <w:endnote w:type="continuationSeparator" w:id="0">
    <w:p w:rsidR="008A02DE" w:rsidRDefault="008A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Pr="002103DF" w:rsidRDefault="005F6C1B">
    <w:pPr>
      <w:pStyle w:val="Piedepgina"/>
      <w:jc w:val="right"/>
      <w:rPr>
        <w:sz w:val="18"/>
        <w:szCs w:val="18"/>
      </w:rPr>
    </w:pPr>
    <w:r w:rsidRPr="002103DF">
      <w:rPr>
        <w:sz w:val="18"/>
        <w:szCs w:val="18"/>
      </w:rPr>
      <w:t>Acta 263</w:t>
    </w:r>
    <w:r w:rsidR="00DD2877">
      <w:rPr>
        <w:sz w:val="18"/>
        <w:szCs w:val="18"/>
      </w:rPr>
      <w:t>9</w:t>
    </w:r>
    <w:r w:rsidRPr="002103DF">
      <w:rPr>
        <w:sz w:val="18"/>
        <w:szCs w:val="18"/>
      </w:rPr>
      <w:t xml:space="preserve"> </w:t>
    </w:r>
    <w:proofErr w:type="spellStart"/>
    <w:r w:rsidRPr="002103DF">
      <w:rPr>
        <w:sz w:val="18"/>
        <w:szCs w:val="18"/>
      </w:rPr>
      <w:t>Pag</w:t>
    </w:r>
    <w:proofErr w:type="spellEnd"/>
    <w:r w:rsidRPr="002103DF">
      <w:rPr>
        <w:sz w:val="18"/>
        <w:szCs w:val="18"/>
      </w:rPr>
      <w:t>.</w:t>
    </w:r>
    <w:sdt>
      <w:sdtPr>
        <w:rPr>
          <w:sz w:val="18"/>
          <w:szCs w:val="18"/>
        </w:rPr>
        <w:id w:val="43025649"/>
        <w:docPartObj>
          <w:docPartGallery w:val="Page Numbers (Bottom of Page)"/>
          <w:docPartUnique/>
        </w:docPartObj>
      </w:sdtPr>
      <w:sdtEndPr/>
      <w:sdtContent>
        <w:r w:rsidR="00FE3A0B" w:rsidRPr="002103DF">
          <w:rPr>
            <w:sz w:val="18"/>
            <w:szCs w:val="18"/>
          </w:rPr>
          <w:fldChar w:fldCharType="begin"/>
        </w:r>
        <w:r w:rsidRPr="002103DF">
          <w:rPr>
            <w:sz w:val="18"/>
            <w:szCs w:val="18"/>
          </w:rPr>
          <w:instrText>PAGE   \* MERGEFORMAT</w:instrText>
        </w:r>
        <w:r w:rsidR="00FE3A0B" w:rsidRPr="002103DF">
          <w:rPr>
            <w:sz w:val="18"/>
            <w:szCs w:val="18"/>
          </w:rPr>
          <w:fldChar w:fldCharType="separate"/>
        </w:r>
        <w:r w:rsidR="003D4494" w:rsidRPr="003D4494">
          <w:rPr>
            <w:noProof/>
            <w:sz w:val="18"/>
            <w:szCs w:val="18"/>
            <w:lang w:val="es-ES"/>
          </w:rPr>
          <w:t>5</w:t>
        </w:r>
        <w:r w:rsidR="00FE3A0B" w:rsidRPr="002103DF">
          <w:rPr>
            <w:sz w:val="18"/>
            <w:szCs w:val="18"/>
          </w:rPr>
          <w:fldChar w:fldCharType="end"/>
        </w:r>
        <w:r w:rsidR="00156D0C">
          <w:rPr>
            <w:sz w:val="18"/>
            <w:szCs w:val="18"/>
          </w:rPr>
          <w:t>/5</w:t>
        </w:r>
      </w:sdtContent>
    </w:sdt>
  </w:p>
  <w:p w:rsidR="002103DF" w:rsidRDefault="008A02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DE" w:rsidRDefault="008A02DE">
      <w:pPr>
        <w:spacing w:after="0" w:line="240" w:lineRule="auto"/>
      </w:pPr>
      <w:r>
        <w:separator/>
      </w:r>
    </w:p>
  </w:footnote>
  <w:footnote w:type="continuationSeparator" w:id="0">
    <w:p w:rsidR="008A02DE" w:rsidRDefault="008A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Default="008A02DE">
    <w:pPr>
      <w:pStyle w:val="Encabezado"/>
      <w:jc w:val="right"/>
    </w:pPr>
  </w:p>
  <w:p w:rsidR="002103DF" w:rsidRDefault="008A0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A77"/>
    <w:multiLevelType w:val="hybridMultilevel"/>
    <w:tmpl w:val="9C0AB630"/>
    <w:lvl w:ilvl="0" w:tplc="E63AFE9E">
      <w:start w:val="5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99307BF"/>
    <w:multiLevelType w:val="hybridMultilevel"/>
    <w:tmpl w:val="BA7CD8EC"/>
    <w:lvl w:ilvl="0" w:tplc="879296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3852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94B4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4244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8EC5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6621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C078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4E28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72D0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A867040"/>
    <w:multiLevelType w:val="hybridMultilevel"/>
    <w:tmpl w:val="2BFE124C"/>
    <w:lvl w:ilvl="0" w:tplc="693452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EC42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EA2E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CEB1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54AA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66BB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77409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963C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566F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D423F75"/>
    <w:multiLevelType w:val="hybridMultilevel"/>
    <w:tmpl w:val="79681402"/>
    <w:lvl w:ilvl="0" w:tplc="E3446E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C0EE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C68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41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4CB2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266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AAC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2859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28D8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01C95"/>
    <w:multiLevelType w:val="hybridMultilevel"/>
    <w:tmpl w:val="480EA1D2"/>
    <w:lvl w:ilvl="0" w:tplc="8D2683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A699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722B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0C00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261F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C6F64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B067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B4AE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26AA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3DF7544"/>
    <w:multiLevelType w:val="hybridMultilevel"/>
    <w:tmpl w:val="2BF23028"/>
    <w:lvl w:ilvl="0" w:tplc="EA847E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66AA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DCDB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7AD0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3CB0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9EF1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262E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E4D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86F6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7A"/>
    <w:rsid w:val="0003712F"/>
    <w:rsid w:val="0004552C"/>
    <w:rsid w:val="000C2C93"/>
    <w:rsid w:val="0013124F"/>
    <w:rsid w:val="001461C6"/>
    <w:rsid w:val="001476BB"/>
    <w:rsid w:val="00156D0C"/>
    <w:rsid w:val="00234241"/>
    <w:rsid w:val="00344E31"/>
    <w:rsid w:val="00377753"/>
    <w:rsid w:val="003D4494"/>
    <w:rsid w:val="003E2E03"/>
    <w:rsid w:val="004221B3"/>
    <w:rsid w:val="00466A38"/>
    <w:rsid w:val="005F6C1B"/>
    <w:rsid w:val="00654907"/>
    <w:rsid w:val="006A5901"/>
    <w:rsid w:val="006A6723"/>
    <w:rsid w:val="007D227A"/>
    <w:rsid w:val="007D5F70"/>
    <w:rsid w:val="008A02DE"/>
    <w:rsid w:val="00925B7A"/>
    <w:rsid w:val="00932B6E"/>
    <w:rsid w:val="009B6D36"/>
    <w:rsid w:val="009F690A"/>
    <w:rsid w:val="00A12FE4"/>
    <w:rsid w:val="00A62FB8"/>
    <w:rsid w:val="00A83236"/>
    <w:rsid w:val="00B150AC"/>
    <w:rsid w:val="00B55E3E"/>
    <w:rsid w:val="00BF4EE9"/>
    <w:rsid w:val="00C82C82"/>
    <w:rsid w:val="00CA4983"/>
    <w:rsid w:val="00CC5625"/>
    <w:rsid w:val="00CE6160"/>
    <w:rsid w:val="00D674D4"/>
    <w:rsid w:val="00DA35D4"/>
    <w:rsid w:val="00DB0466"/>
    <w:rsid w:val="00DD01C0"/>
    <w:rsid w:val="00DD2877"/>
    <w:rsid w:val="00DD54AE"/>
    <w:rsid w:val="00DE77D3"/>
    <w:rsid w:val="00E2451D"/>
    <w:rsid w:val="00E27394"/>
    <w:rsid w:val="00ED4823"/>
    <w:rsid w:val="00EE54C1"/>
    <w:rsid w:val="00F17538"/>
    <w:rsid w:val="00F325DF"/>
    <w:rsid w:val="00F32CC5"/>
    <w:rsid w:val="00F65C68"/>
    <w:rsid w:val="00FB3356"/>
    <w:rsid w:val="00FE3A0B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12D36"/>
  <w15:docId w15:val="{A0D1D029-6712-4B28-83F7-A21B466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7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D227A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227A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7D227A"/>
  </w:style>
  <w:style w:type="paragraph" w:styleId="Encabezado">
    <w:name w:val="header"/>
    <w:basedOn w:val="Normal"/>
    <w:link w:val="EncabezadoCar"/>
    <w:uiPriority w:val="99"/>
    <w:unhideWhenUsed/>
    <w:rsid w:val="007D2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27A"/>
  </w:style>
  <w:style w:type="paragraph" w:styleId="Piedepgina">
    <w:name w:val="footer"/>
    <w:basedOn w:val="Normal"/>
    <w:link w:val="PiedepginaCar"/>
    <w:uiPriority w:val="99"/>
    <w:unhideWhenUsed/>
    <w:rsid w:val="007D2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27A"/>
  </w:style>
  <w:style w:type="character" w:styleId="Refdecomentario">
    <w:name w:val="annotation reference"/>
    <w:basedOn w:val="Fuentedeprrafopredeter"/>
    <w:uiPriority w:val="99"/>
    <w:semiHidden/>
    <w:unhideWhenUsed/>
    <w:rsid w:val="001461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61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61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1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1C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9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9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1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3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1347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Joselito T Recinos</dc:creator>
  <cp:keywords/>
  <dc:description/>
  <cp:lastModifiedBy>César Iván Abarca Velásquez</cp:lastModifiedBy>
  <cp:revision>9</cp:revision>
  <cp:lastPrinted>2017-05-09T18:01:00Z</cp:lastPrinted>
  <dcterms:created xsi:type="dcterms:W3CDTF">2017-04-28T18:18:00Z</dcterms:created>
  <dcterms:modified xsi:type="dcterms:W3CDTF">2017-08-09T16:08:00Z</dcterms:modified>
</cp:coreProperties>
</file>