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44" w:rsidRDefault="009215F7">
      <w:pPr>
        <w:rPr>
          <w:sz w:val="16"/>
        </w:rPr>
      </w:pPr>
      <w:r>
        <w:rPr>
          <w:noProof/>
          <w:sz w:val="16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-508635</wp:posOffset>
            </wp:positionV>
            <wp:extent cx="2606040" cy="795655"/>
            <wp:effectExtent l="0" t="0" r="3810" b="444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TITUCIO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E5E" w:rsidRPr="00B44E5E" w:rsidRDefault="00B44E5E">
      <w:pPr>
        <w:rPr>
          <w:sz w:val="12"/>
        </w:rPr>
      </w:pPr>
    </w:p>
    <w:tbl>
      <w:tblPr>
        <w:tblStyle w:val="Cuadrculaclara-nfasis5"/>
        <w:tblW w:w="6164" w:type="pct"/>
        <w:tblInd w:w="-1160" w:type="dxa"/>
        <w:tblBorders>
          <w:top w:val="single" w:sz="8" w:space="0" w:color="286FB7"/>
          <w:left w:val="single" w:sz="8" w:space="0" w:color="286FB7"/>
          <w:bottom w:val="single" w:sz="8" w:space="0" w:color="286FB7"/>
          <w:right w:val="single" w:sz="8" w:space="0" w:color="286FB7"/>
          <w:insideH w:val="single" w:sz="8" w:space="0" w:color="286FB7"/>
          <w:insideV w:val="single" w:sz="8" w:space="0" w:color="286FB7"/>
        </w:tblBorders>
        <w:tblLook w:val="04A0" w:firstRow="1" w:lastRow="0" w:firstColumn="1" w:lastColumn="0" w:noHBand="0" w:noVBand="1"/>
      </w:tblPr>
      <w:tblGrid>
        <w:gridCol w:w="2799"/>
        <w:gridCol w:w="1951"/>
        <w:gridCol w:w="1335"/>
        <w:gridCol w:w="1223"/>
        <w:gridCol w:w="980"/>
        <w:gridCol w:w="1889"/>
        <w:gridCol w:w="1273"/>
      </w:tblGrid>
      <w:tr w:rsidR="00B05AF1" w:rsidTr="00244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E5E" w:rsidRPr="00B44E5E" w:rsidRDefault="00B44E5E" w:rsidP="00B05AF1">
            <w:pPr>
              <w:jc w:val="center"/>
              <w:rPr>
                <w:rFonts w:eastAsia="Times New Roman" w:cs="Calibri"/>
                <w:color w:val="000000"/>
                <w:sz w:val="8"/>
                <w:lang w:eastAsia="es-SV"/>
              </w:rPr>
            </w:pPr>
          </w:p>
          <w:p w:rsidR="00B44E5E" w:rsidRDefault="004F3AAE" w:rsidP="00B44E5E">
            <w:pPr>
              <w:jc w:val="center"/>
              <w:rPr>
                <w:rFonts w:eastAsia="Times New Roman" w:cs="Calibri"/>
                <w:color w:val="000000"/>
                <w:sz w:val="28"/>
                <w:lang w:eastAsia="es-SV"/>
              </w:rPr>
            </w:pPr>
            <w:r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LISTA</w:t>
            </w:r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 xml:space="preserve"> DE INFOR</w:t>
            </w:r>
            <w:bookmarkStart w:id="0" w:name="_GoBack"/>
            <w:bookmarkEnd w:id="0"/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MACIÓN RESERVADA</w:t>
            </w:r>
          </w:p>
          <w:p w:rsidR="00B44E5E" w:rsidRPr="00B44E5E" w:rsidRDefault="00B44E5E" w:rsidP="00B44E5E">
            <w:pPr>
              <w:jc w:val="center"/>
              <w:rPr>
                <w:sz w:val="8"/>
              </w:rPr>
            </w:pPr>
          </w:p>
        </w:tc>
      </w:tr>
      <w:tr w:rsidR="00B44E5E" w:rsidTr="0024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rPr>
                <w:bCs w:val="0"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El rubro temático o enunciado general que distinguirá la información a la cual se hace referencia.</w:t>
            </w:r>
          </w:p>
          <w:p w:rsidR="006C1E54" w:rsidRPr="00244FCF" w:rsidRDefault="006C1E54" w:rsidP="00B05AF1">
            <w:pPr>
              <w:jc w:val="center"/>
              <w:rPr>
                <w:color w:val="F2F2F2" w:themeColor="background1" w:themeShade="F2"/>
                <w:sz w:val="20"/>
              </w:rPr>
            </w:pP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 w:rsidP="00B4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Unidad administrativa o la autoridad que genera la información</w:t>
            </w: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Fecha de clasificación</w:t>
            </w:r>
          </w:p>
          <w:p w:rsidR="006C1E54" w:rsidRPr="00244FCF" w:rsidRDefault="006C1E54" w:rsidP="00B0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Número de declaratoria de reserva</w:t>
            </w:r>
          </w:p>
          <w:p w:rsidR="006C1E54" w:rsidRPr="00244FCF" w:rsidRDefault="006C1E54" w:rsidP="00B0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Tipo de reserva (total o parcial)</w:t>
            </w:r>
          </w:p>
          <w:p w:rsidR="006C1E54" w:rsidRPr="00244FCF" w:rsidRDefault="006C1E54" w:rsidP="00B0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El fundamento legal para su clasificación como reservada</w:t>
            </w:r>
          </w:p>
          <w:p w:rsidR="006C1E54" w:rsidRPr="00244FCF" w:rsidRDefault="006C1E54" w:rsidP="00B0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86FB7"/>
          </w:tcPr>
          <w:p w:rsidR="006C1E54" w:rsidRPr="00244FCF" w:rsidRDefault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b/>
                <w:color w:val="F2F2F2" w:themeColor="background1" w:themeShade="F2"/>
                <w:sz w:val="20"/>
                <w:lang w:eastAsia="es-SV"/>
              </w:rPr>
              <w:t>El plazo de reserva</w:t>
            </w:r>
          </w:p>
          <w:p w:rsidR="006C1E54" w:rsidRPr="00244FCF" w:rsidRDefault="006C1E54" w:rsidP="00B0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2F2F2" w:themeColor="background1" w:themeShade="F2"/>
                <w:sz w:val="20"/>
              </w:rPr>
            </w:pPr>
          </w:p>
        </w:tc>
      </w:tr>
      <w:tr w:rsidR="006C1E54" w:rsidTr="00244F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6C1E54" w:rsidP="006C1E54">
            <w:pPr>
              <w:rPr>
                <w:rFonts w:eastAsia="Times New Roman" w:cs="Calibri"/>
                <w:b w:val="0"/>
                <w:sz w:val="20"/>
                <w:szCs w:val="20"/>
                <w:lang w:eastAsia="es-SV"/>
              </w:rPr>
            </w:pPr>
            <w:r w:rsidRPr="00E123B4">
              <w:rPr>
                <w:rFonts w:cs="Calibri"/>
                <w:b w:val="0"/>
                <w:sz w:val="20"/>
                <w:szCs w:val="20"/>
                <w:lang w:val="es-ES"/>
              </w:rPr>
              <w:t>Informes y notas oficiales internas y externas</w:t>
            </w: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6C1E54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cs="Calibri"/>
                <w:sz w:val="20"/>
                <w:szCs w:val="20"/>
              </w:rPr>
              <w:t>Jefaturas de la Administración Superior y de los Centros de Atención</w:t>
            </w: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1C4C46" w:rsidP="001C4C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eastAsia="Times New Roman" w:cs="Calibri"/>
                <w:sz w:val="20"/>
                <w:szCs w:val="20"/>
                <w:lang w:eastAsia="es-SV"/>
              </w:rPr>
              <w:t>12</w:t>
            </w:r>
            <w:r w:rsidR="00DF7738" w:rsidRPr="00E123B4">
              <w:rPr>
                <w:rFonts w:eastAsia="Times New Roman" w:cs="Calibri"/>
                <w:sz w:val="20"/>
                <w:szCs w:val="20"/>
                <w:lang w:eastAsia="es-SV"/>
              </w:rPr>
              <w:t>/0</w:t>
            </w:r>
            <w:r w:rsidRPr="00E123B4">
              <w:rPr>
                <w:rFonts w:eastAsia="Times New Roman" w:cs="Calibri"/>
                <w:sz w:val="20"/>
                <w:szCs w:val="20"/>
                <w:lang w:eastAsia="es-SV"/>
              </w:rPr>
              <w:t>6</w:t>
            </w:r>
            <w:r w:rsidR="00DF7738" w:rsidRPr="00E123B4">
              <w:rPr>
                <w:rFonts w:eastAsia="Times New Roman" w:cs="Calibri"/>
                <w:sz w:val="20"/>
                <w:szCs w:val="20"/>
                <w:lang w:eastAsia="es-SV"/>
              </w:rPr>
              <w:t>/2014</w:t>
            </w: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3A2F12" w:rsidP="007663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eastAsia="Times New Roman" w:cs="Calibri"/>
                <w:sz w:val="20"/>
                <w:szCs w:val="20"/>
                <w:lang w:eastAsia="es-SV"/>
              </w:rPr>
              <w:t>ISRI-UAIP 1/2014</w:t>
            </w: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747044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eastAsia="Times New Roman" w:cs="Calibri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6C1E54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cs="Calibri"/>
                <w:sz w:val="20"/>
                <w:szCs w:val="20"/>
                <w:lang w:val="es-ES"/>
              </w:rPr>
              <w:t>Art. 19 Literal h, la que pueda generar una ventaja indebida a una persona en perjuicio de un tercero</w:t>
            </w: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E54" w:rsidRPr="00E123B4" w:rsidRDefault="006C1E54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E123B4">
              <w:rPr>
                <w:rFonts w:cs="Calibri"/>
                <w:sz w:val="20"/>
                <w:szCs w:val="20"/>
                <w:lang w:val="es-ES"/>
              </w:rPr>
              <w:t>Hasta que haya concluido el proceso deliberativo</w:t>
            </w:r>
          </w:p>
        </w:tc>
      </w:tr>
      <w:tr w:rsidR="00DF7738" w:rsidTr="0024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b w:val="0"/>
                <w:sz w:val="20"/>
                <w:szCs w:val="20"/>
                <w:lang w:val="es-ES"/>
              </w:rPr>
              <w:t>Opiniones legales, memorandos justificativos/informativos, actas, resoluciones y acuerdos de proceso en curso.</w:t>
            </w:r>
          </w:p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b w:val="0"/>
                <w:sz w:val="20"/>
                <w:szCs w:val="20"/>
                <w:lang w:val="es-ES"/>
              </w:rPr>
              <w:t>Documentos  que constituyan prueba de  un acto ilícito, judicialización de procesos institucionales</w:t>
            </w: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Junta Directiva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Presidencia,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Gerencias,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Unidad Jurídica,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Auditoría Interna</w:t>
            </w: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1C4C46" w:rsidP="00F47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12/06/2014</w:t>
            </w: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3A2F12" w:rsidP="003A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2/2014</w:t>
            </w: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Art. 19 Literal h), la que pueda generar una ventaja indebida a una persona en perjuicio de un tercero.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Art. 19 Literal f)</w:t>
            </w: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Hasta que haya finalizado el proceso y haya resolución en firme</w:t>
            </w:r>
          </w:p>
        </w:tc>
      </w:tr>
      <w:tr w:rsidR="00DF7738" w:rsidRPr="00747044" w:rsidTr="00244F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b w:val="0"/>
                <w:sz w:val="20"/>
                <w:szCs w:val="20"/>
                <w:lang w:val="es-ES"/>
              </w:rPr>
              <w:t>Rotación y turnos de personal  de vigilancia</w:t>
            </w: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Gerencia, Jefatura de Servicios Generales y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Administradores de Centro.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1C4C46" w:rsidP="00F47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12/06/2014</w:t>
            </w: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3A2F12" w:rsidP="003A2F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3/2014</w:t>
            </w: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Art. 19 literal h)</w:t>
            </w: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</w:rPr>
              <w:t>Cada año fiscal</w:t>
            </w:r>
          </w:p>
        </w:tc>
      </w:tr>
      <w:tr w:rsidR="00DF7738" w:rsidRPr="00747044" w:rsidTr="0024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b w:val="0"/>
                <w:sz w:val="20"/>
                <w:szCs w:val="20"/>
                <w:lang w:val="es-ES"/>
              </w:rPr>
              <w:t>Memorandos justificativos para promociones de procesos de adquisiciones , expedientes de procesos de licitaciones</w:t>
            </w: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Junta Directiva,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Presidencia,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 xml:space="preserve">Gerencia, 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Jefe UACI,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Asesoría Jurídica,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Auditoría Interna.</w:t>
            </w: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1C4C46" w:rsidP="00F47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12/06/2014</w:t>
            </w: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3A2F12" w:rsidP="003A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4/2014</w:t>
            </w: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Art. 19 Literal h) la que pueda generar una ventaja indebida a una persona en perjuicio de un tercero</w:t>
            </w: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Cuando se comunica la resolución de adjudicación del bien o servicio</w:t>
            </w:r>
          </w:p>
        </w:tc>
      </w:tr>
      <w:tr w:rsidR="00DF7738" w:rsidRPr="00747044" w:rsidTr="00244F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b w:val="0"/>
                <w:sz w:val="20"/>
                <w:szCs w:val="20"/>
                <w:lang w:val="es-ES"/>
              </w:rPr>
              <w:t>Informes de auditoria</w:t>
            </w:r>
          </w:p>
        </w:tc>
        <w:tc>
          <w:tcPr>
            <w:tcW w:w="8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Junta Directiva,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Presidencia,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Auditoria Interna.</w:t>
            </w:r>
          </w:p>
        </w:tc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1C4C46" w:rsidP="001C4C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12/06/2014</w:t>
            </w:r>
          </w:p>
        </w:tc>
        <w:tc>
          <w:tcPr>
            <w:tcW w:w="5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3A2F12" w:rsidP="003A2F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5/2014</w:t>
            </w: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Al comunicar el informe final</w:t>
            </w:r>
          </w:p>
        </w:tc>
      </w:tr>
    </w:tbl>
    <w:p w:rsidR="00B05AF1" w:rsidRPr="00B44E5E" w:rsidRDefault="00B05AF1">
      <w:pPr>
        <w:rPr>
          <w:sz w:val="20"/>
        </w:rPr>
      </w:pPr>
    </w:p>
    <w:p w:rsidR="00B05AF1" w:rsidRPr="00B44E5E" w:rsidRDefault="00B05AF1" w:rsidP="00B44E5E">
      <w:pPr>
        <w:spacing w:after="0" w:line="240" w:lineRule="auto"/>
        <w:jc w:val="center"/>
        <w:rPr>
          <w:sz w:val="20"/>
        </w:rPr>
      </w:pPr>
    </w:p>
    <w:p w:rsidR="00B44E5E" w:rsidRPr="00B44E5E" w:rsidRDefault="00B44E5E" w:rsidP="00B44E5E">
      <w:pPr>
        <w:spacing w:after="0" w:line="240" w:lineRule="auto"/>
        <w:jc w:val="center"/>
        <w:rPr>
          <w:sz w:val="20"/>
        </w:rPr>
      </w:pPr>
    </w:p>
    <w:p w:rsidR="00B44E5E" w:rsidRDefault="00B44E5E" w:rsidP="00B44E5E">
      <w:pPr>
        <w:spacing w:after="0" w:line="240" w:lineRule="auto"/>
        <w:jc w:val="center"/>
        <w:rPr>
          <w:sz w:val="20"/>
        </w:rPr>
      </w:pPr>
    </w:p>
    <w:p w:rsidR="00B44E5E" w:rsidRDefault="00B44E5E" w:rsidP="00B44E5E">
      <w:pPr>
        <w:spacing w:after="0" w:line="240" w:lineRule="auto"/>
        <w:jc w:val="center"/>
        <w:rPr>
          <w:sz w:val="20"/>
        </w:rPr>
      </w:pPr>
    </w:p>
    <w:p w:rsidR="00B44E5E" w:rsidRDefault="00B44E5E" w:rsidP="00B44E5E">
      <w:pPr>
        <w:spacing w:after="0" w:line="240" w:lineRule="auto"/>
        <w:jc w:val="center"/>
        <w:rPr>
          <w:sz w:val="28"/>
        </w:rPr>
      </w:pPr>
    </w:p>
    <w:p w:rsidR="00B44E5E" w:rsidRPr="00B44E5E" w:rsidRDefault="00B44E5E" w:rsidP="00B44E5E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>Dr. Alex Francisco González Menjivar</w:t>
      </w:r>
    </w:p>
    <w:p w:rsidR="00B44E5E" w:rsidRPr="00B44E5E" w:rsidRDefault="00B44E5E" w:rsidP="00B44E5E">
      <w:pPr>
        <w:spacing w:after="0" w:line="240" w:lineRule="auto"/>
        <w:jc w:val="center"/>
        <w:rPr>
          <w:sz w:val="32"/>
        </w:rPr>
      </w:pPr>
      <w:r w:rsidRPr="00B44E5E">
        <w:rPr>
          <w:sz w:val="28"/>
        </w:rPr>
        <w:t>Presidente</w:t>
      </w:r>
    </w:p>
    <w:sectPr w:rsidR="00B44E5E" w:rsidRPr="00B44E5E" w:rsidSect="00244FCF">
      <w:footerReference w:type="default" r:id="rId9"/>
      <w:pgSz w:w="12240" w:h="15840" w:code="1"/>
      <w:pgMar w:top="1152" w:right="1440" w:bottom="1296" w:left="1728" w:header="576" w:footer="432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04" w:rsidRDefault="00C22A04" w:rsidP="00747044">
      <w:pPr>
        <w:spacing w:after="0" w:line="240" w:lineRule="auto"/>
      </w:pPr>
      <w:r>
        <w:separator/>
      </w:r>
    </w:p>
  </w:endnote>
  <w:endnote w:type="continuationSeparator" w:id="0">
    <w:p w:rsidR="00C22A04" w:rsidRDefault="00C22A04" w:rsidP="007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57" w:rsidRPr="00FE5C6F" w:rsidRDefault="00700557" w:rsidP="00244FCF">
    <w:pPr>
      <w:spacing w:after="0" w:line="240" w:lineRule="auto"/>
      <w:jc w:val="center"/>
    </w:pPr>
    <w:r w:rsidRPr="00FE5C6F">
      <w:t>Avenida Irazú Nº 181, Colonia Costa Rica, San Salvador, El Salvador. C.A.</w:t>
    </w:r>
  </w:p>
  <w:p w:rsidR="00700557" w:rsidRPr="00FE5C6F" w:rsidRDefault="00C22A04" w:rsidP="00244FCF">
    <w:pPr>
      <w:spacing w:after="0" w:line="240" w:lineRule="auto"/>
      <w:jc w:val="center"/>
    </w:pPr>
    <w:hyperlink r:id="rId1" w:history="1">
      <w:r w:rsidR="00700557" w:rsidRPr="00FE5C6F">
        <w:rPr>
          <w:rStyle w:val="Hipervnculo"/>
        </w:rPr>
        <w:t>www.isri.gob.sv</w:t>
      </w:r>
    </w:hyperlink>
  </w:p>
  <w:p w:rsidR="00700557" w:rsidRDefault="00700557" w:rsidP="00244FCF">
    <w:pPr>
      <w:pStyle w:val="Piedepgina"/>
      <w:jc w:val="center"/>
    </w:pPr>
    <w:r w:rsidRPr="00FE5C6F">
      <w:t>Conmutador: PBX (503) 2521-8600 Telefax: (503) 2270-0247</w:t>
    </w:r>
  </w:p>
  <w:p w:rsidR="00B44E5E" w:rsidRPr="008E68E1" w:rsidRDefault="00244FCF" w:rsidP="00B44E5E">
    <w:pPr>
      <w:pStyle w:val="Piedepgina"/>
      <w:jc w:val="right"/>
      <w:rPr>
        <w:rFonts w:cs="Calibri"/>
        <w:sz w:val="20"/>
      </w:rPr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523DBF0E" wp14:editId="25D75B2C">
          <wp:simplePos x="0" y="0"/>
          <wp:positionH relativeFrom="column">
            <wp:posOffset>-1061720</wp:posOffset>
          </wp:positionH>
          <wp:positionV relativeFrom="paragraph">
            <wp:posOffset>3175</wp:posOffset>
          </wp:positionV>
          <wp:extent cx="2188210" cy="281940"/>
          <wp:effectExtent l="0" t="0" r="254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04" w:rsidRDefault="00C22A04" w:rsidP="00747044">
      <w:pPr>
        <w:spacing w:after="0" w:line="240" w:lineRule="auto"/>
      </w:pPr>
      <w:r>
        <w:separator/>
      </w:r>
    </w:p>
  </w:footnote>
  <w:footnote w:type="continuationSeparator" w:id="0">
    <w:p w:rsidR="00C22A04" w:rsidRDefault="00C22A04" w:rsidP="00747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F1"/>
    <w:rsid w:val="00122850"/>
    <w:rsid w:val="001C4C46"/>
    <w:rsid w:val="00244FCF"/>
    <w:rsid w:val="002F739B"/>
    <w:rsid w:val="003A2F12"/>
    <w:rsid w:val="004F3AAE"/>
    <w:rsid w:val="00555ADB"/>
    <w:rsid w:val="006C1E54"/>
    <w:rsid w:val="00700557"/>
    <w:rsid w:val="00747044"/>
    <w:rsid w:val="0076638D"/>
    <w:rsid w:val="00772953"/>
    <w:rsid w:val="008B2AED"/>
    <w:rsid w:val="008F20AE"/>
    <w:rsid w:val="009215F7"/>
    <w:rsid w:val="00A4708B"/>
    <w:rsid w:val="00A81D6E"/>
    <w:rsid w:val="00B05AF1"/>
    <w:rsid w:val="00B44E5E"/>
    <w:rsid w:val="00B764CD"/>
    <w:rsid w:val="00BB27ED"/>
    <w:rsid w:val="00C22A04"/>
    <w:rsid w:val="00D2294A"/>
    <w:rsid w:val="00DF7738"/>
    <w:rsid w:val="00E123B4"/>
    <w:rsid w:val="00E1702B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ri.gob.s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4117-3E69-41B5-8D9F-0E46EB5A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2014-07-11T20:22:00Z</cp:lastPrinted>
  <dcterms:created xsi:type="dcterms:W3CDTF">2015-10-13T16:24:00Z</dcterms:created>
  <dcterms:modified xsi:type="dcterms:W3CDTF">2015-10-13T16:24:00Z</dcterms:modified>
</cp:coreProperties>
</file>