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F8" w:rsidRDefault="009617F8" w:rsidP="009617F8">
      <w:pPr>
        <w:rPr>
          <w:lang w:val="es-SV"/>
        </w:rPr>
      </w:pPr>
    </w:p>
    <w:p w:rsidR="009617F8" w:rsidRDefault="009617F8" w:rsidP="009617F8">
      <w:pPr>
        <w:jc w:val="center"/>
        <w:rPr>
          <w:lang w:val="es-SV"/>
        </w:rPr>
      </w:pPr>
      <w:r>
        <w:rPr>
          <w:lang w:val="es-SV"/>
        </w:rPr>
        <w:t>RESPUESTA A SOLICITUD 2021-0028</w:t>
      </w:r>
      <w:bookmarkStart w:id="0" w:name="_GoBack"/>
      <w:bookmarkEnd w:id="0"/>
    </w:p>
    <w:p w:rsidR="009617F8" w:rsidRDefault="009617F8" w:rsidP="009617F8">
      <w:pPr>
        <w:rPr>
          <w:lang w:val="es-SV"/>
        </w:rPr>
      </w:pPr>
    </w:p>
    <w:p w:rsidR="009617F8" w:rsidRDefault="009617F8" w:rsidP="009617F8">
      <w:pPr>
        <w:rPr>
          <w:lang w:val="es-SV"/>
        </w:rPr>
      </w:pPr>
    </w:p>
    <w:p w:rsidR="009617F8" w:rsidRDefault="009617F8" w:rsidP="009617F8">
      <w:pPr>
        <w:rPr>
          <w:lang w:val="es-SV"/>
        </w:rPr>
      </w:pPr>
    </w:p>
    <w:p w:rsidR="009617F8" w:rsidRDefault="009617F8" w:rsidP="009617F8">
      <w:r>
        <w:rPr>
          <w:lang w:val="es-SV"/>
        </w:rPr>
        <w:t>Por medio de la presente se remite respuesta a su solicitud, según el siguiente detalle:</w:t>
      </w:r>
    </w:p>
    <w:p w:rsidR="009617F8" w:rsidRDefault="009617F8" w:rsidP="009617F8"/>
    <w:p w:rsidR="009617F8" w:rsidRDefault="009617F8" w:rsidP="009617F8">
      <w:r>
        <w:t>Requerimiento 1:</w:t>
      </w:r>
    </w:p>
    <w:p w:rsidR="009617F8" w:rsidRDefault="009617F8" w:rsidP="009617F8">
      <w:r>
        <w:t xml:space="preserve">Índice Legislativo. </w:t>
      </w:r>
      <w:r>
        <w:rPr>
          <w:color w:val="0070C0"/>
        </w:rPr>
        <w:t xml:space="preserve">Se encuentra en proceso de actualización. </w:t>
      </w:r>
    </w:p>
    <w:p w:rsidR="009617F8" w:rsidRDefault="009617F8" w:rsidP="009617F8"/>
    <w:p w:rsidR="009617F8" w:rsidRDefault="009617F8" w:rsidP="009617F8">
      <w:r>
        <w:t>Requerimiento 2:</w:t>
      </w:r>
    </w:p>
    <w:p w:rsidR="009617F8" w:rsidRDefault="009617F8" w:rsidP="009617F8">
      <w:r>
        <w:t xml:space="preserve">Instructivo o manual y Documento con ordenación y descripción de los archivos de ISBM. </w:t>
      </w:r>
    </w:p>
    <w:p w:rsidR="009617F8" w:rsidRDefault="009617F8" w:rsidP="009617F8">
      <w:pPr>
        <w:rPr>
          <w:color w:val="0070C0"/>
        </w:rPr>
      </w:pPr>
      <w:r>
        <w:rPr>
          <w:color w:val="0070C0"/>
        </w:rPr>
        <w:t>R/ La información se encuentra en el Portal de Transparencia. Ver Política de gestión documental y archivos del ISBM y Manuales para la organización de archivos de gestión y archivos especializados del ISBM</w:t>
      </w:r>
    </w:p>
    <w:p w:rsidR="009617F8" w:rsidRDefault="009617F8" w:rsidP="009617F8"/>
    <w:p w:rsidR="009617F8" w:rsidRDefault="009617F8" w:rsidP="009617F8">
      <w:r>
        <w:t>Requerimiento 3:</w:t>
      </w:r>
    </w:p>
    <w:p w:rsidR="009617F8" w:rsidRDefault="009617F8" w:rsidP="009617F8">
      <w:r>
        <w:t>Instructivo o manual para la elaboración de las Tabla de Plazos de Conservación Documental.</w:t>
      </w:r>
    </w:p>
    <w:p w:rsidR="009617F8" w:rsidRDefault="009617F8" w:rsidP="009617F8">
      <w:pPr>
        <w:rPr>
          <w:color w:val="0070C0"/>
        </w:rPr>
      </w:pPr>
      <w:r>
        <w:rPr>
          <w:color w:val="0070C0"/>
        </w:rPr>
        <w:t>R/ La información se encuentra en el Portal de Transparencia.</w:t>
      </w:r>
    </w:p>
    <w:p w:rsidR="009617F8" w:rsidRDefault="009617F8" w:rsidP="009617F8"/>
    <w:p w:rsidR="009617F8" w:rsidRDefault="009617F8" w:rsidP="009617F8">
      <w:r>
        <w:t>Requerimiento 4:</w:t>
      </w:r>
    </w:p>
    <w:p w:rsidR="009617F8" w:rsidRDefault="009617F8" w:rsidP="009617F8">
      <w:r>
        <w:t>Instructivo o manual para elaborar el Inventario documental y el inventario documental de ISBM.</w:t>
      </w:r>
    </w:p>
    <w:p w:rsidR="009617F8" w:rsidRDefault="009617F8" w:rsidP="009617F8">
      <w:pPr>
        <w:rPr>
          <w:color w:val="0070C0"/>
        </w:rPr>
      </w:pPr>
      <w:r>
        <w:rPr>
          <w:color w:val="0070C0"/>
        </w:rPr>
        <w:t>R/ La información se encuentra en el Portal de Transparencia. Ver Manual de procedimientos administrativos del ISBM.</w:t>
      </w:r>
    </w:p>
    <w:p w:rsidR="009617F8" w:rsidRDefault="009617F8" w:rsidP="009617F8"/>
    <w:p w:rsidR="009617F8" w:rsidRDefault="009617F8" w:rsidP="009617F8">
      <w:r>
        <w:t>Requerimiento :5</w:t>
      </w:r>
    </w:p>
    <w:p w:rsidR="009617F8" w:rsidRDefault="009617F8" w:rsidP="009617F8">
      <w:r>
        <w:t>Manual para la organización de los archivos de Gestión del ISBM.</w:t>
      </w:r>
    </w:p>
    <w:p w:rsidR="009617F8" w:rsidRDefault="009617F8" w:rsidP="009617F8">
      <w:pPr>
        <w:rPr>
          <w:color w:val="0070C0"/>
        </w:rPr>
      </w:pPr>
      <w:r>
        <w:rPr>
          <w:color w:val="0070C0"/>
        </w:rPr>
        <w:t>R/ La información se encuentra en el Portal de Transparencia.</w:t>
      </w:r>
    </w:p>
    <w:p w:rsidR="009617F8" w:rsidRDefault="009617F8" w:rsidP="009617F8"/>
    <w:p w:rsidR="009617F8" w:rsidRDefault="009617F8" w:rsidP="009617F8">
      <w:r>
        <w:t>Requerimiento 6:</w:t>
      </w:r>
    </w:p>
    <w:p w:rsidR="009617F8" w:rsidRDefault="009617F8" w:rsidP="009617F8">
      <w:r>
        <w:t>Manual para la organización de archivos especializados del ISBM.</w:t>
      </w:r>
    </w:p>
    <w:p w:rsidR="009617F8" w:rsidRDefault="009617F8" w:rsidP="009617F8">
      <w:pPr>
        <w:rPr>
          <w:color w:val="0070C0"/>
        </w:rPr>
      </w:pPr>
      <w:r>
        <w:rPr>
          <w:color w:val="0070C0"/>
        </w:rPr>
        <w:t>R/ La información se encuentra en el Portal de Transparencia.</w:t>
      </w:r>
    </w:p>
    <w:p w:rsidR="009617F8" w:rsidRDefault="009617F8" w:rsidP="009617F8"/>
    <w:p w:rsidR="009617F8" w:rsidRDefault="009617F8" w:rsidP="009617F8">
      <w:r>
        <w:t>Requerimiento 7:</w:t>
      </w:r>
    </w:p>
    <w:p w:rsidR="009617F8" w:rsidRDefault="009617F8" w:rsidP="009617F8">
      <w:r>
        <w:t>Manual para el funcionamiento del Archivo Central del ISBM.</w:t>
      </w:r>
    </w:p>
    <w:p w:rsidR="009617F8" w:rsidRDefault="009617F8" w:rsidP="009617F8">
      <w:pPr>
        <w:rPr>
          <w:color w:val="0070C0"/>
        </w:rPr>
      </w:pPr>
      <w:r>
        <w:rPr>
          <w:color w:val="0070C0"/>
        </w:rPr>
        <w:t>R/ La información se encuentra en el Portal de Transparencia.</w:t>
      </w:r>
    </w:p>
    <w:p w:rsidR="009617F8" w:rsidRDefault="009617F8" w:rsidP="009617F8"/>
    <w:p w:rsidR="009617F8" w:rsidRDefault="009617F8" w:rsidP="009617F8">
      <w:r>
        <w:t>Requerimiento 8:</w:t>
      </w:r>
    </w:p>
    <w:p w:rsidR="009617F8" w:rsidRDefault="009617F8" w:rsidP="009617F8">
      <w:r>
        <w:t>Manual para el funcionamiento de Mesas de Entrada y Salida del ISBM.</w:t>
      </w:r>
    </w:p>
    <w:p w:rsidR="009617F8" w:rsidRDefault="009617F8" w:rsidP="009617F8">
      <w:pPr>
        <w:rPr>
          <w:color w:val="0070C0"/>
        </w:rPr>
      </w:pPr>
      <w:r>
        <w:rPr>
          <w:color w:val="0070C0"/>
        </w:rPr>
        <w:t>R/ La información se encuentra en el Portal de Transparencia.</w:t>
      </w:r>
    </w:p>
    <w:p w:rsidR="009617F8" w:rsidRDefault="009617F8" w:rsidP="009617F8"/>
    <w:p w:rsidR="009617F8" w:rsidRDefault="009617F8" w:rsidP="009617F8">
      <w:r>
        <w:t>Requerimiento 9:</w:t>
      </w:r>
    </w:p>
    <w:p w:rsidR="009617F8" w:rsidRDefault="009617F8" w:rsidP="009617F8">
      <w:r>
        <w:t>Plan Anual de Capacitaciones que da o en que colabora la Unidad de Gestión Documental y Archivos.</w:t>
      </w:r>
    </w:p>
    <w:p w:rsidR="009617F8" w:rsidRDefault="009617F8" w:rsidP="009617F8">
      <w:r>
        <w:rPr>
          <w:color w:val="0070C0"/>
        </w:rPr>
        <w:t>R/ La información se encuentra en el Portal de Transparencia. Ver Plan Operativo Anual, correspondiente a la Sección de Gestión Documental y Archivos.</w:t>
      </w:r>
    </w:p>
    <w:p w:rsidR="009617F8" w:rsidRDefault="009617F8" w:rsidP="009617F8"/>
    <w:p w:rsidR="009617F8" w:rsidRDefault="009617F8" w:rsidP="009617F8">
      <w:r>
        <w:t>Requerimiento 10:</w:t>
      </w:r>
    </w:p>
    <w:p w:rsidR="009617F8" w:rsidRDefault="009617F8" w:rsidP="009617F8">
      <w:r>
        <w:t xml:space="preserve">Manual de Gestión de Correspondencia. </w:t>
      </w:r>
    </w:p>
    <w:p w:rsidR="009617F8" w:rsidRDefault="009617F8" w:rsidP="009617F8">
      <w:r>
        <w:rPr>
          <w:color w:val="0070C0"/>
        </w:rPr>
        <w:t>R/ La información se encuentra en el Portal de Transparencia. Es el mismo manual para el requerimiento 8.</w:t>
      </w:r>
    </w:p>
    <w:p w:rsidR="009617F8" w:rsidRDefault="009617F8" w:rsidP="009617F8"/>
    <w:p w:rsidR="009617F8" w:rsidRDefault="009617F8" w:rsidP="009617F8">
      <w:r>
        <w:t>Requerimiento 11:</w:t>
      </w:r>
    </w:p>
    <w:p w:rsidR="009617F8" w:rsidRDefault="009617F8" w:rsidP="009617F8">
      <w:r>
        <w:t xml:space="preserve">Manual de Consulta/Préstamo. </w:t>
      </w:r>
    </w:p>
    <w:p w:rsidR="009617F8" w:rsidRDefault="009617F8" w:rsidP="009617F8">
      <w:r>
        <w:rPr>
          <w:color w:val="0070C0"/>
        </w:rPr>
        <w:t>R/ La información se encuentra en el Portal de Transparencia. Es el mismo manual para el requerimiento 7.</w:t>
      </w:r>
    </w:p>
    <w:p w:rsidR="009617F8" w:rsidRDefault="009617F8" w:rsidP="009617F8"/>
    <w:p w:rsidR="009617F8" w:rsidRDefault="009617F8" w:rsidP="009617F8">
      <w:r>
        <w:t>Requerimiento 12:</w:t>
      </w:r>
    </w:p>
    <w:p w:rsidR="009617F8" w:rsidRDefault="009617F8" w:rsidP="009617F8">
      <w:r>
        <w:t>Manual de Transferencia</w:t>
      </w:r>
    </w:p>
    <w:p w:rsidR="009617F8" w:rsidRDefault="009617F8" w:rsidP="009617F8">
      <w:r>
        <w:rPr>
          <w:color w:val="0070C0"/>
        </w:rPr>
        <w:t>R/ La información se encuentra en el Portal de Transparencia</w:t>
      </w:r>
    </w:p>
    <w:p w:rsidR="009617F8" w:rsidRDefault="009617F8" w:rsidP="009617F8"/>
    <w:p w:rsidR="009617F8" w:rsidRDefault="009617F8" w:rsidP="009617F8">
      <w:r>
        <w:t>Requerimiento 13:</w:t>
      </w:r>
    </w:p>
    <w:p w:rsidR="009617F8" w:rsidRDefault="009617F8" w:rsidP="009617F8">
      <w:r>
        <w:t>Manual de Expurgo7/Eliminación.</w:t>
      </w:r>
    </w:p>
    <w:p w:rsidR="009617F8" w:rsidRDefault="009617F8" w:rsidP="009617F8">
      <w:r>
        <w:rPr>
          <w:color w:val="0070C0"/>
        </w:rPr>
        <w:t>R/ La información se encuentra en el Portal de Transparencia. Se encuentra en el Manual para la valoración y selección documental del ISBM.</w:t>
      </w:r>
    </w:p>
    <w:p w:rsidR="009617F8" w:rsidRDefault="009617F8" w:rsidP="009617F8"/>
    <w:p w:rsidR="009617F8" w:rsidRDefault="009617F8" w:rsidP="009617F8">
      <w:r>
        <w:t>Requerimiento 14:</w:t>
      </w:r>
    </w:p>
    <w:p w:rsidR="009617F8" w:rsidRDefault="009617F8" w:rsidP="009617F8">
      <w:r>
        <w:t xml:space="preserve">Planes de emergencia/ Gestión de riesgos y de conservación. </w:t>
      </w:r>
    </w:p>
    <w:p w:rsidR="009617F8" w:rsidRDefault="009617F8" w:rsidP="009617F8">
      <w:pPr>
        <w:rPr>
          <w:color w:val="0070C0"/>
        </w:rPr>
      </w:pPr>
      <w:r>
        <w:rPr>
          <w:color w:val="0070C0"/>
        </w:rPr>
        <w:t>R/ No se posee</w:t>
      </w:r>
    </w:p>
    <w:p w:rsidR="009617F8" w:rsidRDefault="009617F8" w:rsidP="009617F8"/>
    <w:p w:rsidR="009617F8" w:rsidRDefault="009617F8" w:rsidP="009617F8">
      <w:r>
        <w:t>Requerimiento 15:</w:t>
      </w:r>
    </w:p>
    <w:p w:rsidR="009617F8" w:rsidRDefault="009617F8" w:rsidP="009617F8">
      <w:r>
        <w:t>El plan de Trabajo anual de la Unidad de Gestión Documental y Archivos o su símil para los años 2019, 2020 2021.</w:t>
      </w:r>
    </w:p>
    <w:p w:rsidR="009617F8" w:rsidRDefault="009617F8" w:rsidP="009617F8">
      <w:r>
        <w:rPr>
          <w:color w:val="0070C0"/>
        </w:rPr>
        <w:t>R/ La información se encuentra en el Portal de Transparencia. Ver apartado de Planes Operativos.</w:t>
      </w:r>
    </w:p>
    <w:p w:rsidR="009617F8" w:rsidRDefault="009617F8" w:rsidP="009617F8"/>
    <w:p w:rsidR="009617F8" w:rsidRDefault="009617F8" w:rsidP="009617F8">
      <w:r>
        <w:t>Los documentos solicitados, se encuentran en el portal de transparencia, en PDF seleccionable.</w:t>
      </w:r>
    </w:p>
    <w:p w:rsidR="00AE53DE" w:rsidRPr="00163BA2" w:rsidRDefault="00AE53DE" w:rsidP="00163BA2"/>
    <w:sectPr w:rsidR="00AE53DE" w:rsidRPr="00163BA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AD3" w:rsidRDefault="004E5AD3" w:rsidP="00230374">
      <w:r>
        <w:separator/>
      </w:r>
    </w:p>
  </w:endnote>
  <w:endnote w:type="continuationSeparator" w:id="0">
    <w:p w:rsidR="004E5AD3" w:rsidRDefault="004E5AD3" w:rsidP="0023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438" w:rsidRDefault="0089492A" w:rsidP="00C84438">
    <w:pPr>
      <w:pStyle w:val="Piedepgina"/>
      <w:tabs>
        <w:tab w:val="clear" w:pos="4419"/>
        <w:tab w:val="clear" w:pos="8838"/>
        <w:tab w:val="left" w:pos="3774"/>
      </w:tabs>
      <w:jc w:val="center"/>
      <w:rPr>
        <w:rFonts w:asciiTheme="minorHAnsi" w:hAnsiTheme="minorHAnsi" w:cstheme="minorHAnsi"/>
        <w:sz w:val="22"/>
      </w:rPr>
    </w:pPr>
    <w:r>
      <w:rPr>
        <w:rFonts w:asciiTheme="minorHAnsi" w:hAnsiTheme="minorHAnsi" w:cstheme="minorHAnsi"/>
        <w:sz w:val="22"/>
      </w:rPr>
      <w:t>___________________________________________________________________________</w:t>
    </w:r>
  </w:p>
  <w:p w:rsidR="00C84438" w:rsidRPr="00C84438" w:rsidRDefault="00C84438" w:rsidP="00C84438">
    <w:pPr>
      <w:pStyle w:val="Piedepgina"/>
      <w:tabs>
        <w:tab w:val="clear" w:pos="4419"/>
        <w:tab w:val="clear" w:pos="8838"/>
        <w:tab w:val="left" w:pos="3774"/>
      </w:tabs>
      <w:jc w:val="center"/>
      <w:rPr>
        <w:rFonts w:asciiTheme="minorHAnsi" w:hAnsiTheme="minorHAnsi" w:cstheme="minorHAnsi"/>
        <w:sz w:val="22"/>
      </w:rPr>
    </w:pPr>
    <w:r w:rsidRPr="00C84438">
      <w:rPr>
        <w:rFonts w:asciiTheme="minorHAnsi" w:hAnsiTheme="minorHAnsi" w:cstheme="minorHAnsi"/>
        <w:sz w:val="22"/>
      </w:rPr>
      <w:t>Instituto Salvadoreño de Bienestar Magisterial, República de El Salvador, CA,</w:t>
    </w:r>
  </w:p>
  <w:p w:rsidR="00C84438" w:rsidRPr="00C84438" w:rsidRDefault="00C84438" w:rsidP="00C84438">
    <w:pPr>
      <w:pStyle w:val="Piedepgina"/>
      <w:tabs>
        <w:tab w:val="clear" w:pos="4419"/>
        <w:tab w:val="clear" w:pos="8838"/>
        <w:tab w:val="left" w:pos="3774"/>
      </w:tabs>
      <w:jc w:val="center"/>
      <w:rPr>
        <w:rFonts w:asciiTheme="minorHAnsi" w:hAnsiTheme="minorHAnsi" w:cstheme="minorHAnsi"/>
        <w:sz w:val="22"/>
      </w:rPr>
    </w:pPr>
    <w:r w:rsidRPr="00C84438">
      <w:rPr>
        <w:rFonts w:asciiTheme="minorHAnsi" w:hAnsiTheme="minorHAnsi" w:cstheme="minorHAnsi"/>
        <w:sz w:val="22"/>
      </w:rPr>
      <w:t>Calle Guadalupe, No. 1349. Colonia Médica, San Salvador.</w:t>
    </w:r>
  </w:p>
  <w:p w:rsidR="00C84438" w:rsidRPr="00C84438" w:rsidRDefault="004E5AD3" w:rsidP="00C84438">
    <w:pPr>
      <w:pStyle w:val="Piedepgina"/>
      <w:tabs>
        <w:tab w:val="clear" w:pos="4419"/>
        <w:tab w:val="clear" w:pos="8838"/>
        <w:tab w:val="left" w:pos="3774"/>
      </w:tabs>
      <w:jc w:val="center"/>
      <w:rPr>
        <w:rFonts w:asciiTheme="minorHAnsi" w:hAnsiTheme="minorHAnsi" w:cstheme="minorHAnsi"/>
        <w:sz w:val="22"/>
      </w:rPr>
    </w:pPr>
    <w:hyperlink r:id="rId1" w:history="1">
      <w:r w:rsidR="00C84438" w:rsidRPr="00C84438">
        <w:rPr>
          <w:rFonts w:asciiTheme="minorHAnsi" w:hAnsiTheme="minorHAnsi" w:cstheme="minorHAnsi"/>
        </w:rPr>
        <w:t>www.isbmgob.sv</w:t>
      </w:r>
    </w:hyperlink>
    <w:r w:rsidR="00C84438" w:rsidRPr="00C84438">
      <w:rPr>
        <w:rFonts w:asciiTheme="minorHAnsi" w:hAnsiTheme="minorHAnsi" w:cstheme="minorHAnsi"/>
      </w:rPr>
      <w:t xml:space="preserve">, </w:t>
    </w:r>
    <w:r w:rsidR="00C84438" w:rsidRPr="00C84438">
      <w:rPr>
        <w:rFonts w:asciiTheme="minorHAnsi" w:hAnsiTheme="minorHAnsi" w:cstheme="minorHAnsi"/>
        <w:sz w:val="22"/>
      </w:rPr>
      <w:t>Tels. (503) 2239-9200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AD3" w:rsidRDefault="004E5AD3" w:rsidP="00230374">
      <w:r>
        <w:separator/>
      </w:r>
    </w:p>
  </w:footnote>
  <w:footnote w:type="continuationSeparator" w:id="0">
    <w:p w:rsidR="004E5AD3" w:rsidRDefault="004E5AD3" w:rsidP="0023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74" w:rsidRDefault="0023037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2679065</wp:posOffset>
          </wp:positionH>
          <wp:positionV relativeFrom="paragraph">
            <wp:posOffset>495935</wp:posOffset>
          </wp:positionV>
          <wp:extent cx="4012791" cy="8119241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png"/>
                  <pic:cNvPicPr/>
                </pic:nvPicPr>
                <pic:blipFill rotWithShape="1"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715"/>
                  <a:stretch/>
                </pic:blipFill>
                <pic:spPr bwMode="auto">
                  <a:xfrm>
                    <a:off x="0" y="0"/>
                    <a:ext cx="4012791" cy="8119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-229213</wp:posOffset>
          </wp:positionV>
          <wp:extent cx="1384300" cy="630555"/>
          <wp:effectExtent l="0" t="0" r="6350" b="0"/>
          <wp:wrapTight wrapText="bothSides">
            <wp:wrapPolygon edited="0">
              <wp:start x="7431" y="0"/>
              <wp:lineTo x="297" y="1305"/>
              <wp:lineTo x="0" y="11094"/>
              <wp:lineTo x="0" y="20230"/>
              <wp:lineTo x="7431" y="20882"/>
              <wp:lineTo x="8917" y="20882"/>
              <wp:lineTo x="21402" y="18924"/>
              <wp:lineTo x="21402" y="2610"/>
              <wp:lineTo x="8917" y="0"/>
              <wp:lineTo x="743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MPLET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E8"/>
    <w:rsid w:val="000B007E"/>
    <w:rsid w:val="000F63DD"/>
    <w:rsid w:val="00163BA2"/>
    <w:rsid w:val="001B52F6"/>
    <w:rsid w:val="00230374"/>
    <w:rsid w:val="00310F44"/>
    <w:rsid w:val="004D01F2"/>
    <w:rsid w:val="004E08F8"/>
    <w:rsid w:val="004E5AD3"/>
    <w:rsid w:val="0064717D"/>
    <w:rsid w:val="00717E5F"/>
    <w:rsid w:val="0089492A"/>
    <w:rsid w:val="009421F8"/>
    <w:rsid w:val="009617F8"/>
    <w:rsid w:val="00A721E8"/>
    <w:rsid w:val="00A94729"/>
    <w:rsid w:val="00AB009B"/>
    <w:rsid w:val="00AE53DE"/>
    <w:rsid w:val="00B27F18"/>
    <w:rsid w:val="00C84438"/>
    <w:rsid w:val="00CD7363"/>
    <w:rsid w:val="00E90EE4"/>
    <w:rsid w:val="00E9522E"/>
    <w:rsid w:val="00EB650B"/>
    <w:rsid w:val="00F434E6"/>
    <w:rsid w:val="00FA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79081"/>
  <w15:chartTrackingRefBased/>
  <w15:docId w15:val="{A4B813B6-8CBF-4001-A79B-D4EAFA22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SV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7F8"/>
    <w:pPr>
      <w:spacing w:before="0" w:after="0" w:line="240" w:lineRule="auto"/>
    </w:pPr>
    <w:rPr>
      <w:rFonts w:ascii="Calibri" w:hAnsi="Calibri" w:cs="Calibr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F63DD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before="100" w:line="276" w:lineRule="auto"/>
      <w:outlineLvl w:val="0"/>
    </w:pPr>
    <w:rPr>
      <w:rFonts w:asciiTheme="minorHAnsi" w:hAnsiTheme="minorHAnsi" w:cstheme="minorBidi"/>
      <w:caps/>
      <w:color w:val="FFFFFF" w:themeColor="background1"/>
      <w:spacing w:val="15"/>
      <w:lang w:val="es-SV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63DD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before="100" w:line="276" w:lineRule="auto"/>
      <w:outlineLvl w:val="1"/>
    </w:pPr>
    <w:rPr>
      <w:rFonts w:asciiTheme="minorHAnsi" w:hAnsiTheme="minorHAnsi" w:cstheme="minorBidi"/>
      <w:caps/>
      <w:spacing w:val="15"/>
      <w:sz w:val="20"/>
      <w:szCs w:val="20"/>
      <w:lang w:val="es-SV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63DD"/>
    <w:pPr>
      <w:pBdr>
        <w:top w:val="single" w:sz="6" w:space="2" w:color="A5300F" w:themeColor="accent1"/>
      </w:pBdr>
      <w:spacing w:before="300" w:line="276" w:lineRule="auto"/>
      <w:outlineLvl w:val="2"/>
    </w:pPr>
    <w:rPr>
      <w:rFonts w:asciiTheme="minorHAnsi" w:hAnsiTheme="minorHAnsi" w:cstheme="minorBidi"/>
      <w:caps/>
      <w:color w:val="511707" w:themeColor="accent1" w:themeShade="7F"/>
      <w:spacing w:val="15"/>
      <w:sz w:val="20"/>
      <w:szCs w:val="20"/>
      <w:lang w:val="es-SV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63DD"/>
    <w:pPr>
      <w:pBdr>
        <w:top w:val="dotted" w:sz="6" w:space="2" w:color="A5300F" w:themeColor="accent1"/>
      </w:pBdr>
      <w:spacing w:before="200" w:line="276" w:lineRule="auto"/>
      <w:outlineLvl w:val="3"/>
    </w:pPr>
    <w:rPr>
      <w:rFonts w:asciiTheme="minorHAnsi" w:hAnsiTheme="minorHAnsi" w:cstheme="minorBidi"/>
      <w:caps/>
      <w:color w:val="7B230B" w:themeColor="accent1" w:themeShade="BF"/>
      <w:spacing w:val="10"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63DD"/>
    <w:pPr>
      <w:pBdr>
        <w:bottom w:val="single" w:sz="6" w:space="1" w:color="A5300F" w:themeColor="accent1"/>
      </w:pBdr>
      <w:spacing w:before="200" w:line="276" w:lineRule="auto"/>
      <w:outlineLvl w:val="4"/>
    </w:pPr>
    <w:rPr>
      <w:rFonts w:asciiTheme="minorHAnsi" w:hAnsiTheme="minorHAnsi" w:cstheme="minorBidi"/>
      <w:caps/>
      <w:color w:val="7B230B" w:themeColor="accent1" w:themeShade="BF"/>
      <w:spacing w:val="10"/>
      <w:sz w:val="20"/>
      <w:szCs w:val="20"/>
      <w:lang w:val="es-SV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63DD"/>
    <w:pPr>
      <w:pBdr>
        <w:bottom w:val="dotted" w:sz="6" w:space="1" w:color="A5300F" w:themeColor="accent1"/>
      </w:pBdr>
      <w:spacing w:before="200" w:line="276" w:lineRule="auto"/>
      <w:outlineLvl w:val="5"/>
    </w:pPr>
    <w:rPr>
      <w:rFonts w:asciiTheme="minorHAnsi" w:hAnsiTheme="minorHAnsi" w:cstheme="minorBidi"/>
      <w:caps/>
      <w:color w:val="7B230B" w:themeColor="accent1" w:themeShade="BF"/>
      <w:spacing w:val="10"/>
      <w:sz w:val="20"/>
      <w:szCs w:val="20"/>
      <w:lang w:val="es-SV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63DD"/>
    <w:pPr>
      <w:spacing w:before="200" w:line="276" w:lineRule="auto"/>
      <w:outlineLvl w:val="6"/>
    </w:pPr>
    <w:rPr>
      <w:rFonts w:asciiTheme="minorHAnsi" w:hAnsiTheme="minorHAnsi" w:cstheme="minorBidi"/>
      <w:caps/>
      <w:color w:val="7B230B" w:themeColor="accent1" w:themeShade="BF"/>
      <w:spacing w:val="10"/>
      <w:sz w:val="20"/>
      <w:szCs w:val="20"/>
      <w:lang w:val="es-SV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63DD"/>
    <w:pPr>
      <w:spacing w:before="200" w:line="276" w:lineRule="auto"/>
      <w:outlineLvl w:val="7"/>
    </w:pPr>
    <w:rPr>
      <w:rFonts w:asciiTheme="minorHAnsi" w:hAnsiTheme="minorHAnsi" w:cstheme="minorBidi"/>
      <w:caps/>
      <w:spacing w:val="10"/>
      <w:sz w:val="18"/>
      <w:szCs w:val="18"/>
      <w:lang w:val="es-SV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63DD"/>
    <w:pPr>
      <w:spacing w:before="200" w:line="276" w:lineRule="auto"/>
      <w:outlineLvl w:val="8"/>
    </w:pPr>
    <w:rPr>
      <w:rFonts w:asciiTheme="minorHAnsi" w:hAnsiTheme="minorHAnsi" w:cstheme="minorBidi"/>
      <w:i/>
      <w:iCs/>
      <w:caps/>
      <w:spacing w:val="10"/>
      <w:sz w:val="18"/>
      <w:szCs w:val="18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63DD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63DD"/>
    <w:rPr>
      <w:caps/>
      <w:spacing w:val="15"/>
      <w:shd w:val="clear" w:color="auto" w:fill="F9CEC2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63DD"/>
    <w:rPr>
      <w:caps/>
      <w:color w:val="511707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63DD"/>
    <w:rPr>
      <w:caps/>
      <w:color w:val="7B230B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63DD"/>
    <w:rPr>
      <w:caps/>
      <w:color w:val="7B230B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63DD"/>
    <w:rPr>
      <w:caps/>
      <w:color w:val="7B230B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63DD"/>
    <w:rPr>
      <w:caps/>
      <w:color w:val="7B230B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63DD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63DD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F63DD"/>
    <w:pPr>
      <w:spacing w:before="100" w:after="200" w:line="276" w:lineRule="auto"/>
    </w:pPr>
    <w:rPr>
      <w:rFonts w:asciiTheme="minorHAnsi" w:hAnsiTheme="minorHAnsi" w:cstheme="minorBidi"/>
      <w:b/>
      <w:bCs/>
      <w:color w:val="7B230B" w:themeColor="accent1" w:themeShade="BF"/>
      <w:sz w:val="16"/>
      <w:szCs w:val="16"/>
      <w:lang w:val="es-SV"/>
    </w:rPr>
  </w:style>
  <w:style w:type="paragraph" w:styleId="Ttulo">
    <w:name w:val="Title"/>
    <w:basedOn w:val="Normal"/>
    <w:next w:val="Normal"/>
    <w:link w:val="TtuloCar"/>
    <w:uiPriority w:val="10"/>
    <w:qFormat/>
    <w:rsid w:val="000F63DD"/>
    <w:pPr>
      <w:spacing w:line="276" w:lineRule="auto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0F63DD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F63DD"/>
    <w:pPr>
      <w:spacing w:after="500"/>
    </w:pPr>
    <w:rPr>
      <w:rFonts w:asciiTheme="minorHAnsi" w:hAnsiTheme="minorHAnsi" w:cstheme="minorBidi"/>
      <w:caps/>
      <w:color w:val="595959" w:themeColor="text1" w:themeTint="A6"/>
      <w:spacing w:val="10"/>
      <w:sz w:val="21"/>
      <w:szCs w:val="21"/>
      <w:lang w:val="es-SV"/>
    </w:rPr>
  </w:style>
  <w:style w:type="character" w:customStyle="1" w:styleId="SubttuloCar">
    <w:name w:val="Subtítulo Car"/>
    <w:basedOn w:val="Fuentedeprrafopredeter"/>
    <w:link w:val="Subttulo"/>
    <w:uiPriority w:val="11"/>
    <w:rsid w:val="000F63DD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0F63DD"/>
    <w:rPr>
      <w:b/>
      <w:bCs/>
    </w:rPr>
  </w:style>
  <w:style w:type="character" w:styleId="nfasis">
    <w:name w:val="Emphasis"/>
    <w:uiPriority w:val="20"/>
    <w:qFormat/>
    <w:rsid w:val="000F63DD"/>
    <w:rPr>
      <w:caps/>
      <w:color w:val="511707" w:themeColor="accent1" w:themeShade="7F"/>
      <w:spacing w:val="5"/>
    </w:rPr>
  </w:style>
  <w:style w:type="paragraph" w:styleId="Sinespaciado">
    <w:name w:val="No Spacing"/>
    <w:uiPriority w:val="1"/>
    <w:qFormat/>
    <w:rsid w:val="000F63D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0F63DD"/>
    <w:pPr>
      <w:spacing w:before="100" w:after="200" w:line="276" w:lineRule="auto"/>
    </w:pPr>
    <w:rPr>
      <w:rFonts w:asciiTheme="minorHAnsi" w:hAnsiTheme="minorHAnsi" w:cstheme="minorBidi"/>
      <w:i/>
      <w:iCs/>
      <w:sz w:val="24"/>
      <w:szCs w:val="24"/>
      <w:lang w:val="es-SV"/>
    </w:rPr>
  </w:style>
  <w:style w:type="character" w:customStyle="1" w:styleId="CitaCar">
    <w:name w:val="Cita Car"/>
    <w:basedOn w:val="Fuentedeprrafopredeter"/>
    <w:link w:val="Cita"/>
    <w:uiPriority w:val="29"/>
    <w:rsid w:val="000F63DD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63DD"/>
    <w:pPr>
      <w:spacing w:before="240" w:after="240"/>
      <w:ind w:left="1080" w:right="1080"/>
      <w:jc w:val="center"/>
    </w:pPr>
    <w:rPr>
      <w:rFonts w:asciiTheme="minorHAnsi" w:hAnsiTheme="minorHAnsi" w:cstheme="minorBidi"/>
      <w:color w:val="A5300F" w:themeColor="accent1"/>
      <w:sz w:val="24"/>
      <w:szCs w:val="24"/>
      <w:lang w:val="es-SV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63DD"/>
    <w:rPr>
      <w:color w:val="A5300F" w:themeColor="accent1"/>
      <w:sz w:val="24"/>
      <w:szCs w:val="24"/>
    </w:rPr>
  </w:style>
  <w:style w:type="character" w:styleId="nfasissutil">
    <w:name w:val="Subtle Emphasis"/>
    <w:uiPriority w:val="19"/>
    <w:qFormat/>
    <w:rsid w:val="000F63DD"/>
    <w:rPr>
      <w:i/>
      <w:iCs/>
      <w:color w:val="511707" w:themeColor="accent1" w:themeShade="7F"/>
    </w:rPr>
  </w:style>
  <w:style w:type="character" w:styleId="nfasisintenso">
    <w:name w:val="Intense Emphasis"/>
    <w:uiPriority w:val="21"/>
    <w:qFormat/>
    <w:rsid w:val="000F63DD"/>
    <w:rPr>
      <w:b/>
      <w:bCs/>
      <w:caps/>
      <w:color w:val="511707" w:themeColor="accent1" w:themeShade="7F"/>
      <w:spacing w:val="10"/>
    </w:rPr>
  </w:style>
  <w:style w:type="character" w:styleId="Referenciasutil">
    <w:name w:val="Subtle Reference"/>
    <w:uiPriority w:val="31"/>
    <w:qFormat/>
    <w:rsid w:val="000F63DD"/>
    <w:rPr>
      <w:b/>
      <w:bCs/>
      <w:color w:val="A5300F" w:themeColor="accent1"/>
    </w:rPr>
  </w:style>
  <w:style w:type="character" w:styleId="Referenciaintensa">
    <w:name w:val="Intense Reference"/>
    <w:uiPriority w:val="32"/>
    <w:qFormat/>
    <w:rsid w:val="000F63DD"/>
    <w:rPr>
      <w:b/>
      <w:bCs/>
      <w:i/>
      <w:iCs/>
      <w:caps/>
      <w:color w:val="A5300F" w:themeColor="accent1"/>
    </w:rPr>
  </w:style>
  <w:style w:type="character" w:styleId="Ttulodellibro">
    <w:name w:val="Book Title"/>
    <w:uiPriority w:val="33"/>
    <w:qFormat/>
    <w:rsid w:val="000F63DD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F63DD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303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230374"/>
    <w:pPr>
      <w:tabs>
        <w:tab w:val="center" w:pos="4419"/>
        <w:tab w:val="right" w:pos="8838"/>
      </w:tabs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30374"/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30374"/>
    <w:pPr>
      <w:tabs>
        <w:tab w:val="center" w:pos="4419"/>
        <w:tab w:val="right" w:pos="8838"/>
      </w:tabs>
    </w:pPr>
    <w:rPr>
      <w:rFonts w:ascii="Times New Roman" w:eastAsia="MS Mincho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30374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84438"/>
    <w:rPr>
      <w:color w:val="6B9F25" w:themeColor="hyperlink"/>
      <w:u w:val="single"/>
    </w:rPr>
  </w:style>
  <w:style w:type="paragraph" w:customStyle="1" w:styleId="Default">
    <w:name w:val="Default"/>
    <w:rsid w:val="00310F44"/>
    <w:pPr>
      <w:autoSpaceDE w:val="0"/>
      <w:autoSpaceDN w:val="0"/>
      <w:adjustRightInd w:val="0"/>
      <w:spacing w:before="0" w:after="0" w:line="240" w:lineRule="auto"/>
    </w:pPr>
    <w:rPr>
      <w:rFonts w:ascii="Segoe UI" w:eastAsiaTheme="minorEastAsia" w:hAnsi="Segoe UI" w:cs="Segoe UI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34E6"/>
    <w:rPr>
      <w:rFonts w:ascii="Segoe UI" w:eastAsia="MS Mincho" w:hAnsi="Segoe UI" w:cs="Segoe UI"/>
      <w:sz w:val="18"/>
      <w:szCs w:val="18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34E6"/>
    <w:rPr>
      <w:rFonts w:ascii="Segoe UI" w:eastAsia="MS Mincho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bm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opez\Documents\Plantillas%20personalizadas%20de%20Office\Membretada%202.dotx" TargetMode="External"/></Relationships>
</file>

<file path=word/theme/theme1.xml><?xml version="1.0" encoding="utf-8"?>
<a:theme xmlns:a="http://schemas.openxmlformats.org/drawingml/2006/main" name="Tema de Office">
  <a:themeElements>
    <a:clrScheme name="Roj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Membretada 2</Template>
  <TotalTime>2</TotalTime>
  <Pages>2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Antonio López Quintana</dc:creator>
  <cp:keywords/>
  <dc:description/>
  <cp:lastModifiedBy>Cesar Antonio López Quintana</cp:lastModifiedBy>
  <cp:revision>2</cp:revision>
  <cp:lastPrinted>2021-01-07T15:28:00Z</cp:lastPrinted>
  <dcterms:created xsi:type="dcterms:W3CDTF">2021-05-31T16:20:00Z</dcterms:created>
  <dcterms:modified xsi:type="dcterms:W3CDTF">2021-05-31T16:22:00Z</dcterms:modified>
</cp:coreProperties>
</file>