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848" w:rsidRPr="00587ED8" w:rsidRDefault="00587ED8" w:rsidP="00E87848">
      <w:pPr>
        <w:pStyle w:val="Ttulo1"/>
        <w:numPr>
          <w:ilvl w:val="0"/>
          <w:numId w:val="0"/>
        </w:numPr>
        <w:jc w:val="center"/>
        <w:rPr>
          <w:sz w:val="44"/>
        </w:rPr>
      </w:pPr>
      <w:bookmarkStart w:id="0" w:name="_Toc424570328"/>
      <w:bookmarkStart w:id="1" w:name="_Toc491684891"/>
      <w:bookmarkStart w:id="2" w:name="_Toc424558685"/>
      <w:bookmarkStart w:id="3" w:name="_Toc424558744"/>
      <w:r w:rsidRPr="00587ED8">
        <w:rPr>
          <w:sz w:val="44"/>
        </w:rPr>
        <w:t>Instituto Salvadoreño de Bienestar Magisterial</w:t>
      </w:r>
      <w:bookmarkEnd w:id="0"/>
      <w:bookmarkEnd w:id="1"/>
    </w:p>
    <w:p w:rsidR="00E87848" w:rsidRDefault="00E87848" w:rsidP="00E87848">
      <w:pPr>
        <w:pStyle w:val="Ttulo1"/>
        <w:numPr>
          <w:ilvl w:val="0"/>
          <w:numId w:val="0"/>
        </w:numPr>
        <w:jc w:val="center"/>
        <w:rPr>
          <w:sz w:val="52"/>
        </w:rPr>
      </w:pPr>
    </w:p>
    <w:p w:rsidR="00587ED8" w:rsidRPr="00587ED8" w:rsidRDefault="00587ED8" w:rsidP="00587ED8">
      <w:pPr>
        <w:rPr>
          <w:lang w:eastAsia="es-SV"/>
        </w:rPr>
      </w:pPr>
    </w:p>
    <w:p w:rsidR="00E87848" w:rsidRDefault="00E87848" w:rsidP="00E87848">
      <w:pPr>
        <w:pStyle w:val="Ttulo1"/>
        <w:numPr>
          <w:ilvl w:val="0"/>
          <w:numId w:val="0"/>
        </w:numPr>
        <w:jc w:val="center"/>
        <w:rPr>
          <w:sz w:val="52"/>
        </w:rPr>
      </w:pPr>
    </w:p>
    <w:p w:rsidR="00E87848" w:rsidRDefault="00E87848" w:rsidP="00E87848">
      <w:pPr>
        <w:pStyle w:val="Ttulo1"/>
        <w:numPr>
          <w:ilvl w:val="0"/>
          <w:numId w:val="0"/>
        </w:numPr>
        <w:jc w:val="center"/>
        <w:rPr>
          <w:sz w:val="52"/>
        </w:rPr>
      </w:pPr>
    </w:p>
    <w:p w:rsidR="001C6526" w:rsidRDefault="00E87848" w:rsidP="00E87848">
      <w:pPr>
        <w:pStyle w:val="Ttulo1"/>
        <w:numPr>
          <w:ilvl w:val="0"/>
          <w:numId w:val="0"/>
        </w:numPr>
        <w:jc w:val="center"/>
        <w:rPr>
          <w:b/>
          <w:sz w:val="52"/>
        </w:rPr>
      </w:pPr>
      <w:bookmarkStart w:id="4" w:name="_Toc491684892"/>
      <w:bookmarkStart w:id="5" w:name="_Toc424570329"/>
      <w:r w:rsidRPr="00E87848">
        <w:rPr>
          <w:b/>
          <w:sz w:val="52"/>
        </w:rPr>
        <w:t>INFORME ANUAL DE</w:t>
      </w:r>
      <w:bookmarkEnd w:id="4"/>
      <w:r w:rsidRPr="00E87848">
        <w:rPr>
          <w:b/>
          <w:sz w:val="52"/>
        </w:rPr>
        <w:t xml:space="preserve"> </w:t>
      </w:r>
    </w:p>
    <w:p w:rsidR="00E87848" w:rsidRPr="00E87848" w:rsidRDefault="001C6526" w:rsidP="00E87848">
      <w:pPr>
        <w:pStyle w:val="Ttulo1"/>
        <w:numPr>
          <w:ilvl w:val="0"/>
          <w:numId w:val="0"/>
        </w:numPr>
        <w:jc w:val="center"/>
        <w:rPr>
          <w:b/>
          <w:sz w:val="52"/>
        </w:rPr>
      </w:pPr>
      <w:bookmarkStart w:id="6" w:name="_Toc490225544"/>
      <w:bookmarkStart w:id="7" w:name="_Toc491684893"/>
      <w:r>
        <w:rPr>
          <w:b/>
          <w:sz w:val="52"/>
        </w:rPr>
        <w:t xml:space="preserve">RESULTADOS DE </w:t>
      </w:r>
      <w:r w:rsidR="00E87848" w:rsidRPr="00E87848">
        <w:rPr>
          <w:b/>
          <w:sz w:val="52"/>
        </w:rPr>
        <w:t>GESTIÓN</w:t>
      </w:r>
      <w:bookmarkStart w:id="8" w:name="_Toc424558686"/>
      <w:bookmarkStart w:id="9" w:name="_Toc424558745"/>
      <w:bookmarkEnd w:id="5"/>
      <w:bookmarkEnd w:id="6"/>
      <w:bookmarkEnd w:id="7"/>
    </w:p>
    <w:p w:rsidR="00E87848" w:rsidRPr="00E87848" w:rsidRDefault="00E87848" w:rsidP="00E87848">
      <w:pPr>
        <w:pStyle w:val="Ttulo1"/>
        <w:numPr>
          <w:ilvl w:val="0"/>
          <w:numId w:val="0"/>
        </w:numPr>
        <w:jc w:val="center"/>
        <w:rPr>
          <w:b/>
          <w:sz w:val="52"/>
        </w:rPr>
      </w:pPr>
      <w:bookmarkStart w:id="10" w:name="_Toc424570330"/>
      <w:bookmarkStart w:id="11" w:name="_Toc490225545"/>
      <w:bookmarkStart w:id="12" w:name="_Toc491684894"/>
      <w:r>
        <w:rPr>
          <w:b/>
          <w:sz w:val="52"/>
        </w:rPr>
        <w:t>(Junio 201</w:t>
      </w:r>
      <w:r w:rsidR="00CC719F">
        <w:rPr>
          <w:b/>
          <w:sz w:val="52"/>
        </w:rPr>
        <w:t>6</w:t>
      </w:r>
      <w:r>
        <w:rPr>
          <w:b/>
          <w:sz w:val="52"/>
        </w:rPr>
        <w:t xml:space="preserve"> – </w:t>
      </w:r>
      <w:r w:rsidR="00CC719F">
        <w:rPr>
          <w:b/>
          <w:sz w:val="52"/>
        </w:rPr>
        <w:t>Julio 2017</w:t>
      </w:r>
      <w:r w:rsidRPr="00E87848">
        <w:rPr>
          <w:b/>
          <w:sz w:val="52"/>
        </w:rPr>
        <w:t>)</w:t>
      </w:r>
      <w:bookmarkEnd w:id="8"/>
      <w:bookmarkEnd w:id="9"/>
      <w:bookmarkEnd w:id="10"/>
      <w:bookmarkEnd w:id="11"/>
      <w:bookmarkEnd w:id="12"/>
    </w:p>
    <w:p w:rsidR="00E87848" w:rsidRPr="00E87848" w:rsidRDefault="00E87848" w:rsidP="00E87848">
      <w:pPr>
        <w:spacing w:after="200" w:line="276" w:lineRule="auto"/>
        <w:jc w:val="center"/>
        <w:rPr>
          <w:rFonts w:asciiTheme="majorHAnsi" w:eastAsiaTheme="majorEastAsia" w:hAnsiTheme="majorHAnsi" w:cstheme="majorBidi"/>
          <w:bCs/>
          <w:color w:val="4F81BD" w:themeColor="accent1"/>
          <w:sz w:val="52"/>
          <w:szCs w:val="32"/>
          <w:lang w:eastAsia="es-SV"/>
          <w14:numForm w14:val="oldStyle"/>
        </w:rPr>
      </w:pPr>
    </w:p>
    <w:bookmarkEnd w:id="2"/>
    <w:bookmarkEnd w:id="3"/>
    <w:p w:rsidR="00740CEA" w:rsidRPr="00740CEA" w:rsidRDefault="00740CEA">
      <w:pPr>
        <w:rPr>
          <w:rFonts w:ascii="Century Gothic" w:hAnsi="Century Gothic"/>
        </w:rPr>
      </w:pPr>
    </w:p>
    <w:p w:rsidR="00740CEA" w:rsidRPr="00740CEA" w:rsidRDefault="00740CEA">
      <w:pPr>
        <w:rPr>
          <w:rFonts w:ascii="Century Gothic" w:hAnsi="Century Gothic"/>
        </w:rPr>
      </w:pPr>
    </w:p>
    <w:p w:rsidR="00E87848" w:rsidRDefault="00E87848">
      <w:pPr>
        <w:spacing w:after="200" w:line="276" w:lineRule="auto"/>
      </w:pPr>
      <w:bookmarkStart w:id="13" w:name="_Toc424558687"/>
    </w:p>
    <w:p w:rsidR="00E87848" w:rsidRDefault="00E87848">
      <w:pPr>
        <w:spacing w:after="200" w:line="276" w:lineRule="auto"/>
      </w:pPr>
    </w:p>
    <w:p w:rsidR="00E87848" w:rsidRDefault="00E87848">
      <w:pPr>
        <w:spacing w:after="200" w:line="276" w:lineRule="auto"/>
      </w:pPr>
    </w:p>
    <w:p w:rsidR="00E87848" w:rsidRDefault="00E87848">
      <w:pPr>
        <w:spacing w:after="200" w:line="276" w:lineRule="auto"/>
      </w:pPr>
    </w:p>
    <w:p w:rsidR="00E87848" w:rsidRDefault="00E87848">
      <w:pPr>
        <w:spacing w:after="200" w:line="276" w:lineRule="auto"/>
      </w:pPr>
    </w:p>
    <w:p w:rsidR="00E87848" w:rsidRDefault="00E87848">
      <w:pPr>
        <w:spacing w:after="200" w:line="276" w:lineRule="auto"/>
      </w:pPr>
    </w:p>
    <w:p w:rsidR="00E87848" w:rsidRPr="00587ED8" w:rsidRDefault="00CC719F" w:rsidP="00587ED8">
      <w:pPr>
        <w:pStyle w:val="Ttulo1"/>
        <w:numPr>
          <w:ilvl w:val="0"/>
          <w:numId w:val="0"/>
        </w:numPr>
        <w:jc w:val="right"/>
        <w:rPr>
          <w:sz w:val="44"/>
        </w:rPr>
      </w:pPr>
      <w:bookmarkStart w:id="14" w:name="_Toc424570331"/>
      <w:bookmarkStart w:id="15" w:name="_Toc490225546"/>
      <w:bookmarkStart w:id="16" w:name="_Toc491684895"/>
      <w:r>
        <w:rPr>
          <w:sz w:val="44"/>
        </w:rPr>
        <w:t>Agosto</w:t>
      </w:r>
      <w:r w:rsidR="00E87848" w:rsidRPr="00587ED8">
        <w:rPr>
          <w:sz w:val="44"/>
        </w:rPr>
        <w:t xml:space="preserve"> 201</w:t>
      </w:r>
      <w:bookmarkEnd w:id="14"/>
      <w:bookmarkEnd w:id="15"/>
      <w:r>
        <w:rPr>
          <w:sz w:val="44"/>
        </w:rPr>
        <w:t>7</w:t>
      </w:r>
      <w:bookmarkEnd w:id="16"/>
    </w:p>
    <w:p w:rsidR="00E87848" w:rsidRDefault="00E87848">
      <w:pPr>
        <w:spacing w:after="200" w:line="276" w:lineRule="auto"/>
      </w:pPr>
    </w:p>
    <w:p w:rsidR="00E87848" w:rsidRDefault="00E87848">
      <w:pPr>
        <w:spacing w:after="200" w:line="276" w:lineRule="auto"/>
      </w:pPr>
    </w:p>
    <w:bookmarkEnd w:id="13"/>
    <w:p w:rsidR="00431E1B" w:rsidRDefault="00431E1B">
      <w:pPr>
        <w:spacing w:after="200" w:line="276" w:lineRule="auto"/>
        <w:rPr>
          <w:rFonts w:ascii="Century Gothic" w:hAnsi="Century Gothic"/>
          <w:b/>
          <w:i/>
          <w:color w:val="2E4FAA"/>
        </w:rPr>
      </w:pPr>
    </w:p>
    <w:sdt>
      <w:sdtPr>
        <w:rPr>
          <w:rFonts w:ascii="Calibri" w:eastAsiaTheme="minorHAnsi" w:hAnsi="Calibri" w:cs="Times New Roman"/>
          <w:b w:val="0"/>
          <w:bCs w:val="0"/>
          <w:color w:val="auto"/>
          <w:sz w:val="22"/>
          <w:szCs w:val="22"/>
          <w:lang w:val="es-ES" w:eastAsia="en-US"/>
        </w:rPr>
        <w:id w:val="-1649122476"/>
        <w:docPartObj>
          <w:docPartGallery w:val="Table of Contents"/>
          <w:docPartUnique/>
        </w:docPartObj>
      </w:sdtPr>
      <w:sdtContent>
        <w:p w:rsidR="00431E1B" w:rsidRDefault="00431E1B" w:rsidP="00E61FA9">
          <w:pPr>
            <w:pStyle w:val="TtuloTDC"/>
            <w:numPr>
              <w:ilvl w:val="0"/>
              <w:numId w:val="0"/>
            </w:numPr>
          </w:pPr>
          <w:r>
            <w:rPr>
              <w:lang w:val="es-ES"/>
            </w:rPr>
            <w:t>Tabla de contenido</w:t>
          </w:r>
        </w:p>
        <w:p w:rsidR="0046628B" w:rsidRDefault="00E61FA9">
          <w:pPr>
            <w:pStyle w:val="TDC1"/>
            <w:rPr>
              <w:noProof/>
            </w:rPr>
          </w:pPr>
          <w:r w:rsidRPr="0082520B">
            <w:fldChar w:fldCharType="begin"/>
          </w:r>
          <w:r w:rsidRPr="0082520B">
            <w:instrText xml:space="preserve"> TOC \o "1-6" \h \z \u </w:instrText>
          </w:r>
          <w:r w:rsidRPr="0082520B">
            <w:fldChar w:fldCharType="separate"/>
          </w:r>
          <w:hyperlink w:anchor="_Toc491684891" w:history="1">
            <w:r w:rsidR="0046628B" w:rsidRPr="002841B2">
              <w:rPr>
                <w:rStyle w:val="Hipervnculo"/>
                <w:noProof/>
              </w:rPr>
              <w:t>Instituto Salvadoreño de Bienestar Magisterial</w:t>
            </w:r>
            <w:r w:rsidR="0046628B">
              <w:rPr>
                <w:noProof/>
                <w:webHidden/>
              </w:rPr>
              <w:tab/>
            </w:r>
            <w:r w:rsidR="0046628B">
              <w:rPr>
                <w:noProof/>
                <w:webHidden/>
              </w:rPr>
              <w:fldChar w:fldCharType="begin"/>
            </w:r>
            <w:r w:rsidR="0046628B">
              <w:rPr>
                <w:noProof/>
                <w:webHidden/>
              </w:rPr>
              <w:instrText xml:space="preserve"> PAGEREF _Toc491684891 \h </w:instrText>
            </w:r>
            <w:r w:rsidR="0046628B">
              <w:rPr>
                <w:noProof/>
                <w:webHidden/>
              </w:rPr>
            </w:r>
            <w:r w:rsidR="0046628B">
              <w:rPr>
                <w:noProof/>
                <w:webHidden/>
              </w:rPr>
              <w:fldChar w:fldCharType="separate"/>
            </w:r>
            <w:r w:rsidR="0046628B">
              <w:rPr>
                <w:noProof/>
                <w:webHidden/>
              </w:rPr>
              <w:t>1</w:t>
            </w:r>
            <w:r w:rsidR="0046628B">
              <w:rPr>
                <w:noProof/>
                <w:webHidden/>
              </w:rPr>
              <w:fldChar w:fldCharType="end"/>
            </w:r>
          </w:hyperlink>
        </w:p>
        <w:p w:rsidR="0046628B" w:rsidRDefault="000A316B">
          <w:pPr>
            <w:pStyle w:val="TDC1"/>
            <w:rPr>
              <w:noProof/>
            </w:rPr>
          </w:pPr>
          <w:hyperlink w:anchor="_Toc491684892" w:history="1">
            <w:r w:rsidR="0046628B" w:rsidRPr="002841B2">
              <w:rPr>
                <w:rStyle w:val="Hipervnculo"/>
                <w:b/>
                <w:noProof/>
              </w:rPr>
              <w:t>INFORME ANUAL DE</w:t>
            </w:r>
            <w:r w:rsidR="0046628B">
              <w:rPr>
                <w:noProof/>
                <w:webHidden/>
              </w:rPr>
              <w:tab/>
            </w:r>
            <w:r w:rsidR="0046628B">
              <w:rPr>
                <w:noProof/>
                <w:webHidden/>
              </w:rPr>
              <w:fldChar w:fldCharType="begin"/>
            </w:r>
            <w:r w:rsidR="0046628B">
              <w:rPr>
                <w:noProof/>
                <w:webHidden/>
              </w:rPr>
              <w:instrText xml:space="preserve"> PAGEREF _Toc491684892 \h </w:instrText>
            </w:r>
            <w:r w:rsidR="0046628B">
              <w:rPr>
                <w:noProof/>
                <w:webHidden/>
              </w:rPr>
            </w:r>
            <w:r w:rsidR="0046628B">
              <w:rPr>
                <w:noProof/>
                <w:webHidden/>
              </w:rPr>
              <w:fldChar w:fldCharType="separate"/>
            </w:r>
            <w:r w:rsidR="0046628B">
              <w:rPr>
                <w:noProof/>
                <w:webHidden/>
              </w:rPr>
              <w:t>1</w:t>
            </w:r>
            <w:r w:rsidR="0046628B">
              <w:rPr>
                <w:noProof/>
                <w:webHidden/>
              </w:rPr>
              <w:fldChar w:fldCharType="end"/>
            </w:r>
          </w:hyperlink>
        </w:p>
        <w:p w:rsidR="0046628B" w:rsidRDefault="000A316B">
          <w:pPr>
            <w:pStyle w:val="TDC1"/>
            <w:rPr>
              <w:noProof/>
            </w:rPr>
          </w:pPr>
          <w:hyperlink w:anchor="_Toc491684893" w:history="1">
            <w:r w:rsidR="0046628B" w:rsidRPr="002841B2">
              <w:rPr>
                <w:rStyle w:val="Hipervnculo"/>
                <w:b/>
                <w:noProof/>
              </w:rPr>
              <w:t>RESULTADOS DE GESTIÓN</w:t>
            </w:r>
            <w:r w:rsidR="0046628B">
              <w:rPr>
                <w:noProof/>
                <w:webHidden/>
              </w:rPr>
              <w:tab/>
            </w:r>
            <w:r w:rsidR="0046628B">
              <w:rPr>
                <w:noProof/>
                <w:webHidden/>
              </w:rPr>
              <w:fldChar w:fldCharType="begin"/>
            </w:r>
            <w:r w:rsidR="0046628B">
              <w:rPr>
                <w:noProof/>
                <w:webHidden/>
              </w:rPr>
              <w:instrText xml:space="preserve"> PAGEREF _Toc491684893 \h </w:instrText>
            </w:r>
            <w:r w:rsidR="0046628B">
              <w:rPr>
                <w:noProof/>
                <w:webHidden/>
              </w:rPr>
            </w:r>
            <w:r w:rsidR="0046628B">
              <w:rPr>
                <w:noProof/>
                <w:webHidden/>
              </w:rPr>
              <w:fldChar w:fldCharType="separate"/>
            </w:r>
            <w:r w:rsidR="0046628B">
              <w:rPr>
                <w:noProof/>
                <w:webHidden/>
              </w:rPr>
              <w:t>1</w:t>
            </w:r>
            <w:r w:rsidR="0046628B">
              <w:rPr>
                <w:noProof/>
                <w:webHidden/>
              </w:rPr>
              <w:fldChar w:fldCharType="end"/>
            </w:r>
          </w:hyperlink>
        </w:p>
        <w:p w:rsidR="0046628B" w:rsidRDefault="000A316B">
          <w:pPr>
            <w:pStyle w:val="TDC1"/>
            <w:rPr>
              <w:noProof/>
            </w:rPr>
          </w:pPr>
          <w:hyperlink w:anchor="_Toc491684894" w:history="1">
            <w:r w:rsidR="0046628B" w:rsidRPr="002841B2">
              <w:rPr>
                <w:rStyle w:val="Hipervnculo"/>
                <w:b/>
                <w:noProof/>
              </w:rPr>
              <w:t>(Junio 2016 – Julio 2017)</w:t>
            </w:r>
            <w:r w:rsidR="0046628B">
              <w:rPr>
                <w:noProof/>
                <w:webHidden/>
              </w:rPr>
              <w:tab/>
            </w:r>
            <w:r w:rsidR="0046628B">
              <w:rPr>
                <w:noProof/>
                <w:webHidden/>
              </w:rPr>
              <w:fldChar w:fldCharType="begin"/>
            </w:r>
            <w:r w:rsidR="0046628B">
              <w:rPr>
                <w:noProof/>
                <w:webHidden/>
              </w:rPr>
              <w:instrText xml:space="preserve"> PAGEREF _Toc491684894 \h </w:instrText>
            </w:r>
            <w:r w:rsidR="0046628B">
              <w:rPr>
                <w:noProof/>
                <w:webHidden/>
              </w:rPr>
            </w:r>
            <w:r w:rsidR="0046628B">
              <w:rPr>
                <w:noProof/>
                <w:webHidden/>
              </w:rPr>
              <w:fldChar w:fldCharType="separate"/>
            </w:r>
            <w:r w:rsidR="0046628B">
              <w:rPr>
                <w:noProof/>
                <w:webHidden/>
              </w:rPr>
              <w:t>1</w:t>
            </w:r>
            <w:r w:rsidR="0046628B">
              <w:rPr>
                <w:noProof/>
                <w:webHidden/>
              </w:rPr>
              <w:fldChar w:fldCharType="end"/>
            </w:r>
          </w:hyperlink>
        </w:p>
        <w:p w:rsidR="0046628B" w:rsidRDefault="000A316B">
          <w:pPr>
            <w:pStyle w:val="TDC1"/>
            <w:rPr>
              <w:noProof/>
            </w:rPr>
          </w:pPr>
          <w:hyperlink w:anchor="_Toc491684895" w:history="1">
            <w:r w:rsidR="0046628B" w:rsidRPr="002841B2">
              <w:rPr>
                <w:rStyle w:val="Hipervnculo"/>
                <w:noProof/>
              </w:rPr>
              <w:t>Agosto 2017</w:t>
            </w:r>
            <w:r w:rsidR="0046628B">
              <w:rPr>
                <w:noProof/>
                <w:webHidden/>
              </w:rPr>
              <w:tab/>
            </w:r>
            <w:r w:rsidR="0046628B">
              <w:rPr>
                <w:noProof/>
                <w:webHidden/>
              </w:rPr>
              <w:fldChar w:fldCharType="begin"/>
            </w:r>
            <w:r w:rsidR="0046628B">
              <w:rPr>
                <w:noProof/>
                <w:webHidden/>
              </w:rPr>
              <w:instrText xml:space="preserve"> PAGEREF _Toc491684895 \h </w:instrText>
            </w:r>
            <w:r w:rsidR="0046628B">
              <w:rPr>
                <w:noProof/>
                <w:webHidden/>
              </w:rPr>
            </w:r>
            <w:r w:rsidR="0046628B">
              <w:rPr>
                <w:noProof/>
                <w:webHidden/>
              </w:rPr>
              <w:fldChar w:fldCharType="separate"/>
            </w:r>
            <w:r w:rsidR="0046628B">
              <w:rPr>
                <w:noProof/>
                <w:webHidden/>
              </w:rPr>
              <w:t>1</w:t>
            </w:r>
            <w:r w:rsidR="0046628B">
              <w:rPr>
                <w:noProof/>
                <w:webHidden/>
              </w:rPr>
              <w:fldChar w:fldCharType="end"/>
            </w:r>
          </w:hyperlink>
        </w:p>
        <w:p w:rsidR="0046628B" w:rsidRDefault="000A316B">
          <w:pPr>
            <w:pStyle w:val="TDC2"/>
            <w:rPr>
              <w:noProof/>
            </w:rPr>
          </w:pPr>
          <w:hyperlink w:anchor="_Toc491684896" w:history="1">
            <w:r w:rsidR="0046628B" w:rsidRPr="002841B2">
              <w:rPr>
                <w:rStyle w:val="Hipervnculo"/>
                <w:b/>
                <w:noProof/>
              </w:rPr>
              <w:t>I.</w:t>
            </w:r>
            <w:r w:rsidR="0046628B">
              <w:rPr>
                <w:noProof/>
              </w:rPr>
              <w:tab/>
            </w:r>
            <w:r w:rsidR="0046628B" w:rsidRPr="002841B2">
              <w:rPr>
                <w:rStyle w:val="Hipervnculo"/>
                <w:b/>
                <w:noProof/>
              </w:rPr>
              <w:t>INTRODUCCIÓN</w:t>
            </w:r>
            <w:r w:rsidR="0046628B">
              <w:rPr>
                <w:noProof/>
                <w:webHidden/>
              </w:rPr>
              <w:tab/>
            </w:r>
            <w:r w:rsidR="0046628B">
              <w:rPr>
                <w:noProof/>
                <w:webHidden/>
              </w:rPr>
              <w:fldChar w:fldCharType="begin"/>
            </w:r>
            <w:r w:rsidR="0046628B">
              <w:rPr>
                <w:noProof/>
                <w:webHidden/>
              </w:rPr>
              <w:instrText xml:space="preserve"> PAGEREF _Toc491684896 \h </w:instrText>
            </w:r>
            <w:r w:rsidR="0046628B">
              <w:rPr>
                <w:noProof/>
                <w:webHidden/>
              </w:rPr>
            </w:r>
            <w:r w:rsidR="0046628B">
              <w:rPr>
                <w:noProof/>
                <w:webHidden/>
              </w:rPr>
              <w:fldChar w:fldCharType="separate"/>
            </w:r>
            <w:r w:rsidR="0046628B">
              <w:rPr>
                <w:noProof/>
                <w:webHidden/>
              </w:rPr>
              <w:t>3</w:t>
            </w:r>
            <w:r w:rsidR="0046628B">
              <w:rPr>
                <w:noProof/>
                <w:webHidden/>
              </w:rPr>
              <w:fldChar w:fldCharType="end"/>
            </w:r>
          </w:hyperlink>
        </w:p>
        <w:p w:rsidR="0046628B" w:rsidRDefault="000A316B">
          <w:pPr>
            <w:pStyle w:val="TDC2"/>
            <w:rPr>
              <w:noProof/>
            </w:rPr>
          </w:pPr>
          <w:hyperlink w:anchor="_Toc491684897" w:history="1">
            <w:r w:rsidR="0046628B" w:rsidRPr="002841B2">
              <w:rPr>
                <w:rStyle w:val="Hipervnculo"/>
                <w:b/>
                <w:noProof/>
              </w:rPr>
              <w:t>II.</w:t>
            </w:r>
            <w:r w:rsidR="0046628B">
              <w:rPr>
                <w:noProof/>
              </w:rPr>
              <w:tab/>
            </w:r>
            <w:r w:rsidR="0046628B" w:rsidRPr="002841B2">
              <w:rPr>
                <w:rStyle w:val="Hipervnculo"/>
                <w:b/>
                <w:noProof/>
              </w:rPr>
              <w:t>ANTECEDENTES</w:t>
            </w:r>
            <w:r w:rsidR="0046628B">
              <w:rPr>
                <w:noProof/>
                <w:webHidden/>
              </w:rPr>
              <w:tab/>
            </w:r>
            <w:r w:rsidR="0046628B">
              <w:rPr>
                <w:noProof/>
                <w:webHidden/>
              </w:rPr>
              <w:fldChar w:fldCharType="begin"/>
            </w:r>
            <w:r w:rsidR="0046628B">
              <w:rPr>
                <w:noProof/>
                <w:webHidden/>
              </w:rPr>
              <w:instrText xml:space="preserve"> PAGEREF _Toc491684897 \h </w:instrText>
            </w:r>
            <w:r w:rsidR="0046628B">
              <w:rPr>
                <w:noProof/>
                <w:webHidden/>
              </w:rPr>
            </w:r>
            <w:r w:rsidR="0046628B">
              <w:rPr>
                <w:noProof/>
                <w:webHidden/>
              </w:rPr>
              <w:fldChar w:fldCharType="separate"/>
            </w:r>
            <w:r w:rsidR="0046628B">
              <w:rPr>
                <w:noProof/>
                <w:webHidden/>
              </w:rPr>
              <w:t>4</w:t>
            </w:r>
            <w:r w:rsidR="0046628B">
              <w:rPr>
                <w:noProof/>
                <w:webHidden/>
              </w:rPr>
              <w:fldChar w:fldCharType="end"/>
            </w:r>
          </w:hyperlink>
        </w:p>
        <w:p w:rsidR="0046628B" w:rsidRDefault="000A316B">
          <w:pPr>
            <w:pStyle w:val="TDC2"/>
            <w:rPr>
              <w:noProof/>
            </w:rPr>
          </w:pPr>
          <w:hyperlink w:anchor="_Toc491684898" w:history="1">
            <w:r w:rsidR="0046628B" w:rsidRPr="002841B2">
              <w:rPr>
                <w:rStyle w:val="Hipervnculo"/>
                <w:b/>
                <w:noProof/>
              </w:rPr>
              <w:t>III.</w:t>
            </w:r>
            <w:r w:rsidR="0046628B">
              <w:rPr>
                <w:noProof/>
              </w:rPr>
              <w:tab/>
            </w:r>
            <w:r w:rsidR="0046628B" w:rsidRPr="002841B2">
              <w:rPr>
                <w:rStyle w:val="Hipervnculo"/>
                <w:b/>
                <w:noProof/>
              </w:rPr>
              <w:t>EJERCICIO JUNIO 2015 – AGOSTO 2016</w:t>
            </w:r>
            <w:r w:rsidR="0046628B">
              <w:rPr>
                <w:noProof/>
                <w:webHidden/>
              </w:rPr>
              <w:tab/>
            </w:r>
            <w:r w:rsidR="0046628B">
              <w:rPr>
                <w:noProof/>
                <w:webHidden/>
              </w:rPr>
              <w:fldChar w:fldCharType="begin"/>
            </w:r>
            <w:r w:rsidR="0046628B">
              <w:rPr>
                <w:noProof/>
                <w:webHidden/>
              </w:rPr>
              <w:instrText xml:space="preserve"> PAGEREF _Toc491684898 \h </w:instrText>
            </w:r>
            <w:r w:rsidR="0046628B">
              <w:rPr>
                <w:noProof/>
                <w:webHidden/>
              </w:rPr>
            </w:r>
            <w:r w:rsidR="0046628B">
              <w:rPr>
                <w:noProof/>
                <w:webHidden/>
              </w:rPr>
              <w:fldChar w:fldCharType="separate"/>
            </w:r>
            <w:r w:rsidR="0046628B">
              <w:rPr>
                <w:noProof/>
                <w:webHidden/>
              </w:rPr>
              <w:t>9</w:t>
            </w:r>
            <w:r w:rsidR="0046628B">
              <w:rPr>
                <w:noProof/>
                <w:webHidden/>
              </w:rPr>
              <w:fldChar w:fldCharType="end"/>
            </w:r>
          </w:hyperlink>
        </w:p>
        <w:p w:rsidR="0046628B" w:rsidRDefault="000A316B">
          <w:pPr>
            <w:pStyle w:val="TDC3"/>
            <w:tabs>
              <w:tab w:val="left" w:pos="880"/>
              <w:tab w:val="right" w:leader="dot" w:pos="8828"/>
            </w:tabs>
            <w:rPr>
              <w:noProof/>
            </w:rPr>
          </w:pPr>
          <w:hyperlink w:anchor="_Toc491684899" w:history="1">
            <w:r w:rsidR="0046628B" w:rsidRPr="002841B2">
              <w:rPr>
                <w:rStyle w:val="Hipervnculo"/>
                <w:noProof/>
              </w:rPr>
              <w:t>1</w:t>
            </w:r>
            <w:r w:rsidR="0046628B">
              <w:rPr>
                <w:noProof/>
              </w:rPr>
              <w:tab/>
            </w:r>
            <w:r w:rsidR="0046628B" w:rsidRPr="002841B2">
              <w:rPr>
                <w:rStyle w:val="Hipervnculo"/>
                <w:noProof/>
              </w:rPr>
              <w:t>PROGRAMA ESPECIAL DE SERVICIOS DE ASISTENCIA MÉDICA Y HOSPITALARIA</w:t>
            </w:r>
            <w:r w:rsidR="0046628B">
              <w:rPr>
                <w:noProof/>
                <w:webHidden/>
              </w:rPr>
              <w:tab/>
            </w:r>
            <w:r w:rsidR="0046628B">
              <w:rPr>
                <w:noProof/>
                <w:webHidden/>
              </w:rPr>
              <w:fldChar w:fldCharType="begin"/>
            </w:r>
            <w:r w:rsidR="0046628B">
              <w:rPr>
                <w:noProof/>
                <w:webHidden/>
              </w:rPr>
              <w:instrText xml:space="preserve"> PAGEREF _Toc491684899 \h </w:instrText>
            </w:r>
            <w:r w:rsidR="0046628B">
              <w:rPr>
                <w:noProof/>
                <w:webHidden/>
              </w:rPr>
            </w:r>
            <w:r w:rsidR="0046628B">
              <w:rPr>
                <w:noProof/>
                <w:webHidden/>
              </w:rPr>
              <w:fldChar w:fldCharType="separate"/>
            </w:r>
            <w:r w:rsidR="0046628B">
              <w:rPr>
                <w:noProof/>
                <w:webHidden/>
              </w:rPr>
              <w:t>9</w:t>
            </w:r>
            <w:r w:rsidR="0046628B">
              <w:rPr>
                <w:noProof/>
                <w:webHidden/>
              </w:rPr>
              <w:fldChar w:fldCharType="end"/>
            </w:r>
          </w:hyperlink>
        </w:p>
        <w:p w:rsidR="0046628B" w:rsidRDefault="000A316B">
          <w:pPr>
            <w:pStyle w:val="TDC4"/>
            <w:tabs>
              <w:tab w:val="left" w:pos="1100"/>
              <w:tab w:val="right" w:leader="dot" w:pos="8828"/>
            </w:tabs>
            <w:rPr>
              <w:rFonts w:asciiTheme="minorHAnsi" w:eastAsiaTheme="minorEastAsia" w:hAnsiTheme="minorHAnsi" w:cstheme="minorBidi"/>
              <w:noProof/>
              <w:lang w:eastAsia="es-SV"/>
            </w:rPr>
          </w:pPr>
          <w:hyperlink w:anchor="_Toc491684900" w:history="1">
            <w:r w:rsidR="0046628B" w:rsidRPr="002841B2">
              <w:rPr>
                <w:rStyle w:val="Hipervnculo"/>
                <w:noProof/>
              </w:rPr>
              <w:t>A.</w:t>
            </w:r>
            <w:r w:rsidR="0046628B">
              <w:rPr>
                <w:rFonts w:asciiTheme="minorHAnsi" w:eastAsiaTheme="minorEastAsia" w:hAnsiTheme="minorHAnsi" w:cstheme="minorBidi"/>
                <w:noProof/>
                <w:lang w:eastAsia="es-SV"/>
              </w:rPr>
              <w:tab/>
            </w:r>
            <w:r w:rsidR="0046628B" w:rsidRPr="002841B2">
              <w:rPr>
                <w:rStyle w:val="Hipervnculo"/>
                <w:noProof/>
              </w:rPr>
              <w:t>POBLACIÓN USUARIA</w:t>
            </w:r>
            <w:r w:rsidR="0046628B">
              <w:rPr>
                <w:noProof/>
                <w:webHidden/>
              </w:rPr>
              <w:tab/>
            </w:r>
            <w:r w:rsidR="0046628B">
              <w:rPr>
                <w:noProof/>
                <w:webHidden/>
              </w:rPr>
              <w:fldChar w:fldCharType="begin"/>
            </w:r>
            <w:r w:rsidR="0046628B">
              <w:rPr>
                <w:noProof/>
                <w:webHidden/>
              </w:rPr>
              <w:instrText xml:space="preserve"> PAGEREF _Toc491684900 \h </w:instrText>
            </w:r>
            <w:r w:rsidR="0046628B">
              <w:rPr>
                <w:noProof/>
                <w:webHidden/>
              </w:rPr>
            </w:r>
            <w:r w:rsidR="0046628B">
              <w:rPr>
                <w:noProof/>
                <w:webHidden/>
              </w:rPr>
              <w:fldChar w:fldCharType="separate"/>
            </w:r>
            <w:r w:rsidR="0046628B">
              <w:rPr>
                <w:noProof/>
                <w:webHidden/>
              </w:rPr>
              <w:t>9</w:t>
            </w:r>
            <w:r w:rsidR="0046628B">
              <w:rPr>
                <w:noProof/>
                <w:webHidden/>
              </w:rPr>
              <w:fldChar w:fldCharType="end"/>
            </w:r>
          </w:hyperlink>
        </w:p>
        <w:p w:rsidR="0046628B" w:rsidRDefault="000A316B">
          <w:pPr>
            <w:pStyle w:val="TDC4"/>
            <w:tabs>
              <w:tab w:val="left" w:pos="1100"/>
              <w:tab w:val="right" w:leader="dot" w:pos="8828"/>
            </w:tabs>
            <w:rPr>
              <w:rFonts w:asciiTheme="minorHAnsi" w:eastAsiaTheme="minorEastAsia" w:hAnsiTheme="minorHAnsi" w:cstheme="minorBidi"/>
              <w:noProof/>
              <w:lang w:eastAsia="es-SV"/>
            </w:rPr>
          </w:pPr>
          <w:hyperlink w:anchor="_Toc491684901" w:history="1">
            <w:r w:rsidR="0046628B" w:rsidRPr="002841B2">
              <w:rPr>
                <w:rStyle w:val="Hipervnculo"/>
                <w:noProof/>
              </w:rPr>
              <w:t>B.</w:t>
            </w:r>
            <w:r w:rsidR="0046628B">
              <w:rPr>
                <w:rFonts w:asciiTheme="minorHAnsi" w:eastAsiaTheme="minorEastAsia" w:hAnsiTheme="minorHAnsi" w:cstheme="minorBidi"/>
                <w:noProof/>
                <w:lang w:eastAsia="es-SV"/>
              </w:rPr>
              <w:tab/>
            </w:r>
            <w:r w:rsidR="0046628B" w:rsidRPr="002841B2">
              <w:rPr>
                <w:rStyle w:val="Hipervnculo"/>
                <w:noProof/>
              </w:rPr>
              <w:t>PORTAFOLIO DE SERVICIOS</w:t>
            </w:r>
            <w:r w:rsidR="0046628B">
              <w:rPr>
                <w:noProof/>
                <w:webHidden/>
              </w:rPr>
              <w:tab/>
            </w:r>
            <w:r w:rsidR="0046628B">
              <w:rPr>
                <w:noProof/>
                <w:webHidden/>
              </w:rPr>
              <w:fldChar w:fldCharType="begin"/>
            </w:r>
            <w:r w:rsidR="0046628B">
              <w:rPr>
                <w:noProof/>
                <w:webHidden/>
              </w:rPr>
              <w:instrText xml:space="preserve"> PAGEREF _Toc491684901 \h </w:instrText>
            </w:r>
            <w:r w:rsidR="0046628B">
              <w:rPr>
                <w:noProof/>
                <w:webHidden/>
              </w:rPr>
            </w:r>
            <w:r w:rsidR="0046628B">
              <w:rPr>
                <w:noProof/>
                <w:webHidden/>
              </w:rPr>
              <w:fldChar w:fldCharType="separate"/>
            </w:r>
            <w:r w:rsidR="0046628B">
              <w:rPr>
                <w:noProof/>
                <w:webHidden/>
              </w:rPr>
              <w:t>10</w:t>
            </w:r>
            <w:r w:rsidR="0046628B">
              <w:rPr>
                <w:noProof/>
                <w:webHidden/>
              </w:rPr>
              <w:fldChar w:fldCharType="end"/>
            </w:r>
          </w:hyperlink>
        </w:p>
        <w:p w:rsidR="0046628B" w:rsidRDefault="000A316B">
          <w:pPr>
            <w:pStyle w:val="TDC5"/>
            <w:tabs>
              <w:tab w:val="left" w:pos="1320"/>
              <w:tab w:val="right" w:leader="dot" w:pos="8828"/>
            </w:tabs>
            <w:rPr>
              <w:rFonts w:asciiTheme="minorHAnsi" w:eastAsiaTheme="minorEastAsia" w:hAnsiTheme="minorHAnsi" w:cstheme="minorBidi"/>
              <w:noProof/>
              <w:lang w:eastAsia="es-SV"/>
            </w:rPr>
          </w:pPr>
          <w:hyperlink w:anchor="_Toc491684902" w:history="1">
            <w:r w:rsidR="0046628B" w:rsidRPr="002841B2">
              <w:rPr>
                <w:rStyle w:val="Hipervnculo"/>
                <w:b/>
                <w:noProof/>
              </w:rPr>
              <w:t>a)</w:t>
            </w:r>
            <w:r w:rsidR="0046628B">
              <w:rPr>
                <w:rFonts w:asciiTheme="minorHAnsi" w:eastAsiaTheme="minorEastAsia" w:hAnsiTheme="minorHAnsi" w:cstheme="minorBidi"/>
                <w:noProof/>
                <w:lang w:eastAsia="es-SV"/>
              </w:rPr>
              <w:tab/>
            </w:r>
            <w:r w:rsidR="0046628B" w:rsidRPr="002841B2">
              <w:rPr>
                <w:rStyle w:val="Hipervnculo"/>
                <w:b/>
                <w:noProof/>
              </w:rPr>
              <w:t>Servicios brindados en el primer nivel de atención</w:t>
            </w:r>
            <w:r w:rsidR="0046628B">
              <w:rPr>
                <w:noProof/>
                <w:webHidden/>
              </w:rPr>
              <w:tab/>
            </w:r>
            <w:r w:rsidR="0046628B">
              <w:rPr>
                <w:noProof/>
                <w:webHidden/>
              </w:rPr>
              <w:fldChar w:fldCharType="begin"/>
            </w:r>
            <w:r w:rsidR="0046628B">
              <w:rPr>
                <w:noProof/>
                <w:webHidden/>
              </w:rPr>
              <w:instrText xml:space="preserve"> PAGEREF _Toc491684902 \h </w:instrText>
            </w:r>
            <w:r w:rsidR="0046628B">
              <w:rPr>
                <w:noProof/>
                <w:webHidden/>
              </w:rPr>
            </w:r>
            <w:r w:rsidR="0046628B">
              <w:rPr>
                <w:noProof/>
                <w:webHidden/>
              </w:rPr>
              <w:fldChar w:fldCharType="separate"/>
            </w:r>
            <w:r w:rsidR="0046628B">
              <w:rPr>
                <w:noProof/>
                <w:webHidden/>
              </w:rPr>
              <w:t>11</w:t>
            </w:r>
            <w:r w:rsidR="0046628B">
              <w:rPr>
                <w:noProof/>
                <w:webHidden/>
              </w:rPr>
              <w:fldChar w:fldCharType="end"/>
            </w:r>
          </w:hyperlink>
        </w:p>
        <w:p w:rsidR="0046628B" w:rsidRDefault="000A316B">
          <w:pPr>
            <w:pStyle w:val="TDC5"/>
            <w:tabs>
              <w:tab w:val="left" w:pos="1320"/>
              <w:tab w:val="right" w:leader="dot" w:pos="8828"/>
            </w:tabs>
            <w:rPr>
              <w:rFonts w:asciiTheme="minorHAnsi" w:eastAsiaTheme="minorEastAsia" w:hAnsiTheme="minorHAnsi" w:cstheme="minorBidi"/>
              <w:noProof/>
              <w:lang w:eastAsia="es-SV"/>
            </w:rPr>
          </w:pPr>
          <w:hyperlink w:anchor="_Toc491684903" w:history="1">
            <w:r w:rsidR="0046628B" w:rsidRPr="002841B2">
              <w:rPr>
                <w:rStyle w:val="Hipervnculo"/>
                <w:b/>
                <w:noProof/>
              </w:rPr>
              <w:t>b)</w:t>
            </w:r>
            <w:r w:rsidR="0046628B">
              <w:rPr>
                <w:rFonts w:asciiTheme="minorHAnsi" w:eastAsiaTheme="minorEastAsia" w:hAnsiTheme="minorHAnsi" w:cstheme="minorBidi"/>
                <w:noProof/>
                <w:lang w:eastAsia="es-SV"/>
              </w:rPr>
              <w:tab/>
            </w:r>
            <w:r w:rsidR="0046628B" w:rsidRPr="002841B2">
              <w:rPr>
                <w:rStyle w:val="Hipervnculo"/>
                <w:b/>
                <w:noProof/>
              </w:rPr>
              <w:t>Atención de medicina especializada y sub-especializada.</w:t>
            </w:r>
            <w:r w:rsidR="0046628B">
              <w:rPr>
                <w:noProof/>
                <w:webHidden/>
              </w:rPr>
              <w:tab/>
            </w:r>
            <w:r w:rsidR="0046628B">
              <w:rPr>
                <w:noProof/>
                <w:webHidden/>
              </w:rPr>
              <w:fldChar w:fldCharType="begin"/>
            </w:r>
            <w:r w:rsidR="0046628B">
              <w:rPr>
                <w:noProof/>
                <w:webHidden/>
              </w:rPr>
              <w:instrText xml:space="preserve"> PAGEREF _Toc491684903 \h </w:instrText>
            </w:r>
            <w:r w:rsidR="0046628B">
              <w:rPr>
                <w:noProof/>
                <w:webHidden/>
              </w:rPr>
            </w:r>
            <w:r w:rsidR="0046628B">
              <w:rPr>
                <w:noProof/>
                <w:webHidden/>
              </w:rPr>
              <w:fldChar w:fldCharType="separate"/>
            </w:r>
            <w:r w:rsidR="0046628B">
              <w:rPr>
                <w:noProof/>
                <w:webHidden/>
              </w:rPr>
              <w:t>13</w:t>
            </w:r>
            <w:r w:rsidR="0046628B">
              <w:rPr>
                <w:noProof/>
                <w:webHidden/>
              </w:rPr>
              <w:fldChar w:fldCharType="end"/>
            </w:r>
          </w:hyperlink>
        </w:p>
        <w:p w:rsidR="0046628B" w:rsidRDefault="000A316B">
          <w:pPr>
            <w:pStyle w:val="TDC5"/>
            <w:tabs>
              <w:tab w:val="left" w:pos="1320"/>
              <w:tab w:val="right" w:leader="dot" w:pos="8828"/>
            </w:tabs>
            <w:rPr>
              <w:rFonts w:asciiTheme="minorHAnsi" w:eastAsiaTheme="minorEastAsia" w:hAnsiTheme="minorHAnsi" w:cstheme="minorBidi"/>
              <w:noProof/>
              <w:lang w:eastAsia="es-SV"/>
            </w:rPr>
          </w:pPr>
          <w:hyperlink w:anchor="_Toc491684904" w:history="1">
            <w:r w:rsidR="0046628B" w:rsidRPr="002841B2">
              <w:rPr>
                <w:rStyle w:val="Hipervnculo"/>
                <w:b/>
                <w:noProof/>
              </w:rPr>
              <w:t>c)</w:t>
            </w:r>
            <w:r w:rsidR="0046628B">
              <w:rPr>
                <w:rFonts w:asciiTheme="minorHAnsi" w:eastAsiaTheme="minorEastAsia" w:hAnsiTheme="minorHAnsi" w:cstheme="minorBidi"/>
                <w:noProof/>
                <w:lang w:eastAsia="es-SV"/>
              </w:rPr>
              <w:tab/>
            </w:r>
            <w:r w:rsidR="0046628B" w:rsidRPr="002841B2">
              <w:rPr>
                <w:rStyle w:val="Hipervnculo"/>
                <w:b/>
                <w:noProof/>
              </w:rPr>
              <w:t>Atención hospitalaria.</w:t>
            </w:r>
            <w:r w:rsidR="0046628B">
              <w:rPr>
                <w:noProof/>
                <w:webHidden/>
              </w:rPr>
              <w:tab/>
            </w:r>
            <w:r w:rsidR="0046628B">
              <w:rPr>
                <w:noProof/>
                <w:webHidden/>
              </w:rPr>
              <w:fldChar w:fldCharType="begin"/>
            </w:r>
            <w:r w:rsidR="0046628B">
              <w:rPr>
                <w:noProof/>
                <w:webHidden/>
              </w:rPr>
              <w:instrText xml:space="preserve"> PAGEREF _Toc491684904 \h </w:instrText>
            </w:r>
            <w:r w:rsidR="0046628B">
              <w:rPr>
                <w:noProof/>
                <w:webHidden/>
              </w:rPr>
            </w:r>
            <w:r w:rsidR="0046628B">
              <w:rPr>
                <w:noProof/>
                <w:webHidden/>
              </w:rPr>
              <w:fldChar w:fldCharType="separate"/>
            </w:r>
            <w:r w:rsidR="0046628B">
              <w:rPr>
                <w:noProof/>
                <w:webHidden/>
              </w:rPr>
              <w:t>14</w:t>
            </w:r>
            <w:r w:rsidR="0046628B">
              <w:rPr>
                <w:noProof/>
                <w:webHidden/>
              </w:rPr>
              <w:fldChar w:fldCharType="end"/>
            </w:r>
          </w:hyperlink>
        </w:p>
        <w:p w:rsidR="0046628B" w:rsidRDefault="000A316B">
          <w:pPr>
            <w:pStyle w:val="TDC5"/>
            <w:tabs>
              <w:tab w:val="left" w:pos="1320"/>
              <w:tab w:val="right" w:leader="dot" w:pos="8828"/>
            </w:tabs>
            <w:rPr>
              <w:rFonts w:asciiTheme="minorHAnsi" w:eastAsiaTheme="minorEastAsia" w:hAnsiTheme="minorHAnsi" w:cstheme="minorBidi"/>
              <w:noProof/>
              <w:lang w:eastAsia="es-SV"/>
            </w:rPr>
          </w:pPr>
          <w:hyperlink w:anchor="_Toc491684905" w:history="1">
            <w:r w:rsidR="0046628B" w:rsidRPr="002841B2">
              <w:rPr>
                <w:rStyle w:val="Hipervnculo"/>
                <w:b/>
                <w:noProof/>
              </w:rPr>
              <w:t>d)</w:t>
            </w:r>
            <w:r w:rsidR="0046628B">
              <w:rPr>
                <w:rFonts w:asciiTheme="minorHAnsi" w:eastAsiaTheme="minorEastAsia" w:hAnsiTheme="minorHAnsi" w:cstheme="minorBidi"/>
                <w:noProof/>
                <w:lang w:eastAsia="es-SV"/>
              </w:rPr>
              <w:tab/>
            </w:r>
            <w:r w:rsidR="0046628B" w:rsidRPr="002841B2">
              <w:rPr>
                <w:rStyle w:val="Hipervnculo"/>
                <w:b/>
                <w:noProof/>
              </w:rPr>
              <w:t>Proyecto educación del cerebro.</w:t>
            </w:r>
            <w:r w:rsidR="0046628B">
              <w:rPr>
                <w:noProof/>
                <w:webHidden/>
              </w:rPr>
              <w:tab/>
            </w:r>
            <w:r w:rsidR="0046628B">
              <w:rPr>
                <w:noProof/>
                <w:webHidden/>
              </w:rPr>
              <w:fldChar w:fldCharType="begin"/>
            </w:r>
            <w:r w:rsidR="0046628B">
              <w:rPr>
                <w:noProof/>
                <w:webHidden/>
              </w:rPr>
              <w:instrText xml:space="preserve"> PAGEREF _Toc491684905 \h </w:instrText>
            </w:r>
            <w:r w:rsidR="0046628B">
              <w:rPr>
                <w:noProof/>
                <w:webHidden/>
              </w:rPr>
            </w:r>
            <w:r w:rsidR="0046628B">
              <w:rPr>
                <w:noProof/>
                <w:webHidden/>
              </w:rPr>
              <w:fldChar w:fldCharType="separate"/>
            </w:r>
            <w:r w:rsidR="0046628B">
              <w:rPr>
                <w:noProof/>
                <w:webHidden/>
              </w:rPr>
              <w:t>17</w:t>
            </w:r>
            <w:r w:rsidR="0046628B">
              <w:rPr>
                <w:noProof/>
                <w:webHidden/>
              </w:rPr>
              <w:fldChar w:fldCharType="end"/>
            </w:r>
          </w:hyperlink>
        </w:p>
        <w:p w:rsidR="0046628B" w:rsidRDefault="000A316B">
          <w:pPr>
            <w:pStyle w:val="TDC4"/>
            <w:tabs>
              <w:tab w:val="left" w:pos="1100"/>
              <w:tab w:val="right" w:leader="dot" w:pos="8828"/>
            </w:tabs>
            <w:rPr>
              <w:rFonts w:asciiTheme="minorHAnsi" w:eastAsiaTheme="minorEastAsia" w:hAnsiTheme="minorHAnsi" w:cstheme="minorBidi"/>
              <w:noProof/>
              <w:lang w:eastAsia="es-SV"/>
            </w:rPr>
          </w:pPr>
          <w:hyperlink w:anchor="_Toc491684906" w:history="1">
            <w:r w:rsidR="0046628B" w:rsidRPr="002841B2">
              <w:rPr>
                <w:rStyle w:val="Hipervnculo"/>
                <w:noProof/>
              </w:rPr>
              <w:t>C.</w:t>
            </w:r>
            <w:r w:rsidR="0046628B">
              <w:rPr>
                <w:rFonts w:asciiTheme="minorHAnsi" w:eastAsiaTheme="minorEastAsia" w:hAnsiTheme="minorHAnsi" w:cstheme="minorBidi"/>
                <w:noProof/>
                <w:lang w:eastAsia="es-SV"/>
              </w:rPr>
              <w:tab/>
            </w:r>
            <w:r w:rsidR="0046628B" w:rsidRPr="002841B2">
              <w:rPr>
                <w:rStyle w:val="Hipervnculo"/>
                <w:noProof/>
              </w:rPr>
              <w:t>DISPENSACIÓN DE MEDICAMENTOS</w:t>
            </w:r>
            <w:r w:rsidR="0046628B">
              <w:rPr>
                <w:noProof/>
                <w:webHidden/>
              </w:rPr>
              <w:tab/>
            </w:r>
            <w:r w:rsidR="0046628B">
              <w:rPr>
                <w:noProof/>
                <w:webHidden/>
              </w:rPr>
              <w:fldChar w:fldCharType="begin"/>
            </w:r>
            <w:r w:rsidR="0046628B">
              <w:rPr>
                <w:noProof/>
                <w:webHidden/>
              </w:rPr>
              <w:instrText xml:space="preserve"> PAGEREF _Toc491684906 \h </w:instrText>
            </w:r>
            <w:r w:rsidR="0046628B">
              <w:rPr>
                <w:noProof/>
                <w:webHidden/>
              </w:rPr>
            </w:r>
            <w:r w:rsidR="0046628B">
              <w:rPr>
                <w:noProof/>
                <w:webHidden/>
              </w:rPr>
              <w:fldChar w:fldCharType="separate"/>
            </w:r>
            <w:r w:rsidR="0046628B">
              <w:rPr>
                <w:noProof/>
                <w:webHidden/>
              </w:rPr>
              <w:t>18</w:t>
            </w:r>
            <w:r w:rsidR="0046628B">
              <w:rPr>
                <w:noProof/>
                <w:webHidden/>
              </w:rPr>
              <w:fldChar w:fldCharType="end"/>
            </w:r>
          </w:hyperlink>
        </w:p>
        <w:p w:rsidR="0046628B" w:rsidRDefault="000A316B">
          <w:pPr>
            <w:pStyle w:val="TDC4"/>
            <w:tabs>
              <w:tab w:val="left" w:pos="1100"/>
              <w:tab w:val="right" w:leader="dot" w:pos="8828"/>
            </w:tabs>
            <w:rPr>
              <w:rFonts w:asciiTheme="minorHAnsi" w:eastAsiaTheme="minorEastAsia" w:hAnsiTheme="minorHAnsi" w:cstheme="minorBidi"/>
              <w:noProof/>
              <w:lang w:eastAsia="es-SV"/>
            </w:rPr>
          </w:pPr>
          <w:hyperlink w:anchor="_Toc491684907" w:history="1">
            <w:r w:rsidR="0046628B" w:rsidRPr="002841B2">
              <w:rPr>
                <w:rStyle w:val="Hipervnculo"/>
                <w:noProof/>
              </w:rPr>
              <w:t>D.</w:t>
            </w:r>
            <w:r w:rsidR="0046628B">
              <w:rPr>
                <w:rFonts w:asciiTheme="minorHAnsi" w:eastAsiaTheme="minorEastAsia" w:hAnsiTheme="minorHAnsi" w:cstheme="minorBidi"/>
                <w:noProof/>
                <w:lang w:eastAsia="es-SV"/>
              </w:rPr>
              <w:tab/>
            </w:r>
            <w:r w:rsidR="0046628B" w:rsidRPr="002841B2">
              <w:rPr>
                <w:rStyle w:val="Hipervnculo"/>
                <w:noProof/>
              </w:rPr>
              <w:t>PRESTACIONES Y BENEFICIOS</w:t>
            </w:r>
            <w:r w:rsidR="0046628B">
              <w:rPr>
                <w:noProof/>
                <w:webHidden/>
              </w:rPr>
              <w:tab/>
            </w:r>
            <w:r w:rsidR="0046628B">
              <w:rPr>
                <w:noProof/>
                <w:webHidden/>
              </w:rPr>
              <w:fldChar w:fldCharType="begin"/>
            </w:r>
            <w:r w:rsidR="0046628B">
              <w:rPr>
                <w:noProof/>
                <w:webHidden/>
              </w:rPr>
              <w:instrText xml:space="preserve"> PAGEREF _Toc491684907 \h </w:instrText>
            </w:r>
            <w:r w:rsidR="0046628B">
              <w:rPr>
                <w:noProof/>
                <w:webHidden/>
              </w:rPr>
            </w:r>
            <w:r w:rsidR="0046628B">
              <w:rPr>
                <w:noProof/>
                <w:webHidden/>
              </w:rPr>
              <w:fldChar w:fldCharType="separate"/>
            </w:r>
            <w:r w:rsidR="0046628B">
              <w:rPr>
                <w:noProof/>
                <w:webHidden/>
              </w:rPr>
              <w:t>19</w:t>
            </w:r>
            <w:r w:rsidR="0046628B">
              <w:rPr>
                <w:noProof/>
                <w:webHidden/>
              </w:rPr>
              <w:fldChar w:fldCharType="end"/>
            </w:r>
          </w:hyperlink>
        </w:p>
        <w:p w:rsidR="0046628B" w:rsidRDefault="000A316B">
          <w:pPr>
            <w:pStyle w:val="TDC3"/>
            <w:tabs>
              <w:tab w:val="left" w:pos="880"/>
              <w:tab w:val="right" w:leader="dot" w:pos="8828"/>
            </w:tabs>
            <w:rPr>
              <w:noProof/>
            </w:rPr>
          </w:pPr>
          <w:hyperlink w:anchor="_Toc491684908" w:history="1">
            <w:r w:rsidR="0046628B" w:rsidRPr="002841B2">
              <w:rPr>
                <w:rStyle w:val="Hipervnculo"/>
                <w:noProof/>
              </w:rPr>
              <w:t>2</w:t>
            </w:r>
            <w:r w:rsidR="0046628B">
              <w:rPr>
                <w:noProof/>
              </w:rPr>
              <w:tab/>
            </w:r>
            <w:r w:rsidR="0046628B" w:rsidRPr="002841B2">
              <w:rPr>
                <w:rStyle w:val="Hipervnculo"/>
                <w:noProof/>
              </w:rPr>
              <w:t>FORTALECIMIENTO ADMINISTRATIVO INSTITUCIONAL</w:t>
            </w:r>
            <w:r w:rsidR="0046628B">
              <w:rPr>
                <w:noProof/>
                <w:webHidden/>
              </w:rPr>
              <w:tab/>
            </w:r>
            <w:r w:rsidR="0046628B">
              <w:rPr>
                <w:noProof/>
                <w:webHidden/>
              </w:rPr>
              <w:fldChar w:fldCharType="begin"/>
            </w:r>
            <w:r w:rsidR="0046628B">
              <w:rPr>
                <w:noProof/>
                <w:webHidden/>
              </w:rPr>
              <w:instrText xml:space="preserve"> PAGEREF _Toc491684908 \h </w:instrText>
            </w:r>
            <w:r w:rsidR="0046628B">
              <w:rPr>
                <w:noProof/>
                <w:webHidden/>
              </w:rPr>
            </w:r>
            <w:r w:rsidR="0046628B">
              <w:rPr>
                <w:noProof/>
                <w:webHidden/>
              </w:rPr>
              <w:fldChar w:fldCharType="separate"/>
            </w:r>
            <w:r w:rsidR="0046628B">
              <w:rPr>
                <w:noProof/>
                <w:webHidden/>
              </w:rPr>
              <w:t>20</w:t>
            </w:r>
            <w:r w:rsidR="0046628B">
              <w:rPr>
                <w:noProof/>
                <w:webHidden/>
              </w:rPr>
              <w:fldChar w:fldCharType="end"/>
            </w:r>
          </w:hyperlink>
        </w:p>
        <w:p w:rsidR="0046628B" w:rsidRDefault="000A316B">
          <w:pPr>
            <w:pStyle w:val="TDC4"/>
            <w:tabs>
              <w:tab w:val="left" w:pos="1100"/>
              <w:tab w:val="right" w:leader="dot" w:pos="8828"/>
            </w:tabs>
            <w:rPr>
              <w:rFonts w:asciiTheme="minorHAnsi" w:eastAsiaTheme="minorEastAsia" w:hAnsiTheme="minorHAnsi" w:cstheme="minorBidi"/>
              <w:noProof/>
              <w:lang w:eastAsia="es-SV"/>
            </w:rPr>
          </w:pPr>
          <w:hyperlink w:anchor="_Toc491684909" w:history="1">
            <w:r w:rsidR="0046628B" w:rsidRPr="002841B2">
              <w:rPr>
                <w:rStyle w:val="Hipervnculo"/>
                <w:noProof/>
              </w:rPr>
              <w:t>A.</w:t>
            </w:r>
            <w:r w:rsidR="0046628B">
              <w:rPr>
                <w:rFonts w:asciiTheme="minorHAnsi" w:eastAsiaTheme="minorEastAsia" w:hAnsiTheme="minorHAnsi" w:cstheme="minorBidi"/>
                <w:noProof/>
                <w:lang w:eastAsia="es-SV"/>
              </w:rPr>
              <w:tab/>
            </w:r>
            <w:r w:rsidR="0046628B" w:rsidRPr="002841B2">
              <w:rPr>
                <w:rStyle w:val="Hipervnculo"/>
                <w:noProof/>
              </w:rPr>
              <w:t>DESARROLLO HUMANO</w:t>
            </w:r>
            <w:r w:rsidR="0046628B">
              <w:rPr>
                <w:noProof/>
                <w:webHidden/>
              </w:rPr>
              <w:tab/>
            </w:r>
            <w:r w:rsidR="0046628B">
              <w:rPr>
                <w:noProof/>
                <w:webHidden/>
              </w:rPr>
              <w:fldChar w:fldCharType="begin"/>
            </w:r>
            <w:r w:rsidR="0046628B">
              <w:rPr>
                <w:noProof/>
                <w:webHidden/>
              </w:rPr>
              <w:instrText xml:space="preserve"> PAGEREF _Toc491684909 \h </w:instrText>
            </w:r>
            <w:r w:rsidR="0046628B">
              <w:rPr>
                <w:noProof/>
                <w:webHidden/>
              </w:rPr>
            </w:r>
            <w:r w:rsidR="0046628B">
              <w:rPr>
                <w:noProof/>
                <w:webHidden/>
              </w:rPr>
              <w:fldChar w:fldCharType="separate"/>
            </w:r>
            <w:r w:rsidR="0046628B">
              <w:rPr>
                <w:noProof/>
                <w:webHidden/>
              </w:rPr>
              <w:t>20</w:t>
            </w:r>
            <w:r w:rsidR="0046628B">
              <w:rPr>
                <w:noProof/>
                <w:webHidden/>
              </w:rPr>
              <w:fldChar w:fldCharType="end"/>
            </w:r>
          </w:hyperlink>
        </w:p>
        <w:p w:rsidR="0046628B" w:rsidRDefault="000A316B">
          <w:pPr>
            <w:pStyle w:val="TDC4"/>
            <w:tabs>
              <w:tab w:val="left" w:pos="1100"/>
              <w:tab w:val="right" w:leader="dot" w:pos="8828"/>
            </w:tabs>
            <w:rPr>
              <w:rFonts w:asciiTheme="minorHAnsi" w:eastAsiaTheme="minorEastAsia" w:hAnsiTheme="minorHAnsi" w:cstheme="minorBidi"/>
              <w:noProof/>
              <w:lang w:eastAsia="es-SV"/>
            </w:rPr>
          </w:pPr>
          <w:hyperlink w:anchor="_Toc491684910" w:history="1">
            <w:r w:rsidR="0046628B" w:rsidRPr="002841B2">
              <w:rPr>
                <w:rStyle w:val="Hipervnculo"/>
                <w:noProof/>
              </w:rPr>
              <w:t>B.</w:t>
            </w:r>
            <w:r w:rsidR="0046628B">
              <w:rPr>
                <w:rFonts w:asciiTheme="minorHAnsi" w:eastAsiaTheme="minorEastAsia" w:hAnsiTheme="minorHAnsi" w:cstheme="minorBidi"/>
                <w:noProof/>
                <w:lang w:eastAsia="es-SV"/>
              </w:rPr>
              <w:tab/>
            </w:r>
            <w:r w:rsidR="0046628B" w:rsidRPr="002841B2">
              <w:rPr>
                <w:rStyle w:val="Hipervnculo"/>
                <w:noProof/>
              </w:rPr>
              <w:t>PROCESOS DE ADQUISICIÓN DE BIENES Y SERVICIOS</w:t>
            </w:r>
            <w:r w:rsidR="0046628B">
              <w:rPr>
                <w:noProof/>
                <w:webHidden/>
              </w:rPr>
              <w:tab/>
            </w:r>
            <w:r w:rsidR="0046628B">
              <w:rPr>
                <w:noProof/>
                <w:webHidden/>
              </w:rPr>
              <w:fldChar w:fldCharType="begin"/>
            </w:r>
            <w:r w:rsidR="0046628B">
              <w:rPr>
                <w:noProof/>
                <w:webHidden/>
              </w:rPr>
              <w:instrText xml:space="preserve"> PAGEREF _Toc491684910 \h </w:instrText>
            </w:r>
            <w:r w:rsidR="0046628B">
              <w:rPr>
                <w:noProof/>
                <w:webHidden/>
              </w:rPr>
            </w:r>
            <w:r w:rsidR="0046628B">
              <w:rPr>
                <w:noProof/>
                <w:webHidden/>
              </w:rPr>
              <w:fldChar w:fldCharType="separate"/>
            </w:r>
            <w:r w:rsidR="0046628B">
              <w:rPr>
                <w:noProof/>
                <w:webHidden/>
              </w:rPr>
              <w:t>21</w:t>
            </w:r>
            <w:r w:rsidR="0046628B">
              <w:rPr>
                <w:noProof/>
                <w:webHidden/>
              </w:rPr>
              <w:fldChar w:fldCharType="end"/>
            </w:r>
          </w:hyperlink>
        </w:p>
        <w:p w:rsidR="0046628B" w:rsidRDefault="000A316B">
          <w:pPr>
            <w:pStyle w:val="TDC4"/>
            <w:tabs>
              <w:tab w:val="left" w:pos="1100"/>
              <w:tab w:val="right" w:leader="dot" w:pos="8828"/>
            </w:tabs>
            <w:rPr>
              <w:rFonts w:asciiTheme="minorHAnsi" w:eastAsiaTheme="minorEastAsia" w:hAnsiTheme="minorHAnsi" w:cstheme="minorBidi"/>
              <w:noProof/>
              <w:lang w:eastAsia="es-SV"/>
            </w:rPr>
          </w:pPr>
          <w:hyperlink w:anchor="_Toc491684911" w:history="1">
            <w:r w:rsidR="0046628B" w:rsidRPr="002841B2">
              <w:rPr>
                <w:rStyle w:val="Hipervnculo"/>
                <w:noProof/>
              </w:rPr>
              <w:t>C.</w:t>
            </w:r>
            <w:r w:rsidR="0046628B">
              <w:rPr>
                <w:rFonts w:asciiTheme="minorHAnsi" w:eastAsiaTheme="minorEastAsia" w:hAnsiTheme="minorHAnsi" w:cstheme="minorBidi"/>
                <w:noProof/>
                <w:lang w:eastAsia="es-SV"/>
              </w:rPr>
              <w:tab/>
            </w:r>
            <w:r w:rsidR="0046628B" w:rsidRPr="002841B2">
              <w:rPr>
                <w:rStyle w:val="Hipervnculo"/>
                <w:noProof/>
              </w:rPr>
              <w:t>ADQUISICIÓN DE BIENES INMUEBLES</w:t>
            </w:r>
            <w:r w:rsidR="0046628B">
              <w:rPr>
                <w:noProof/>
                <w:webHidden/>
              </w:rPr>
              <w:tab/>
            </w:r>
            <w:r w:rsidR="0046628B">
              <w:rPr>
                <w:noProof/>
                <w:webHidden/>
              </w:rPr>
              <w:fldChar w:fldCharType="begin"/>
            </w:r>
            <w:r w:rsidR="0046628B">
              <w:rPr>
                <w:noProof/>
                <w:webHidden/>
              </w:rPr>
              <w:instrText xml:space="preserve"> PAGEREF _Toc491684911 \h </w:instrText>
            </w:r>
            <w:r w:rsidR="0046628B">
              <w:rPr>
                <w:noProof/>
                <w:webHidden/>
              </w:rPr>
            </w:r>
            <w:r w:rsidR="0046628B">
              <w:rPr>
                <w:noProof/>
                <w:webHidden/>
              </w:rPr>
              <w:fldChar w:fldCharType="separate"/>
            </w:r>
            <w:r w:rsidR="0046628B">
              <w:rPr>
                <w:noProof/>
                <w:webHidden/>
              </w:rPr>
              <w:t>22</w:t>
            </w:r>
            <w:r w:rsidR="0046628B">
              <w:rPr>
                <w:noProof/>
                <w:webHidden/>
              </w:rPr>
              <w:fldChar w:fldCharType="end"/>
            </w:r>
          </w:hyperlink>
        </w:p>
        <w:p w:rsidR="0046628B" w:rsidRDefault="000A316B">
          <w:pPr>
            <w:pStyle w:val="TDC3"/>
            <w:tabs>
              <w:tab w:val="left" w:pos="880"/>
              <w:tab w:val="right" w:leader="dot" w:pos="8828"/>
            </w:tabs>
            <w:rPr>
              <w:noProof/>
            </w:rPr>
          </w:pPr>
          <w:hyperlink w:anchor="_Toc491684912" w:history="1">
            <w:r w:rsidR="0046628B" w:rsidRPr="002841B2">
              <w:rPr>
                <w:rStyle w:val="Hipervnculo"/>
                <w:noProof/>
              </w:rPr>
              <w:t>3</w:t>
            </w:r>
            <w:r w:rsidR="0046628B">
              <w:rPr>
                <w:noProof/>
              </w:rPr>
              <w:tab/>
            </w:r>
            <w:r w:rsidR="0046628B" w:rsidRPr="002841B2">
              <w:rPr>
                <w:rStyle w:val="Hipervnculo"/>
                <w:noProof/>
              </w:rPr>
              <w:t>PRESUPUESTO INSTITUCIONAL</w:t>
            </w:r>
            <w:r w:rsidR="0046628B">
              <w:rPr>
                <w:noProof/>
                <w:webHidden/>
              </w:rPr>
              <w:tab/>
            </w:r>
            <w:r w:rsidR="0046628B">
              <w:rPr>
                <w:noProof/>
                <w:webHidden/>
              </w:rPr>
              <w:fldChar w:fldCharType="begin"/>
            </w:r>
            <w:r w:rsidR="0046628B">
              <w:rPr>
                <w:noProof/>
                <w:webHidden/>
              </w:rPr>
              <w:instrText xml:space="preserve"> PAGEREF _Toc491684912 \h </w:instrText>
            </w:r>
            <w:r w:rsidR="0046628B">
              <w:rPr>
                <w:noProof/>
                <w:webHidden/>
              </w:rPr>
            </w:r>
            <w:r w:rsidR="0046628B">
              <w:rPr>
                <w:noProof/>
                <w:webHidden/>
              </w:rPr>
              <w:fldChar w:fldCharType="separate"/>
            </w:r>
            <w:r w:rsidR="0046628B">
              <w:rPr>
                <w:noProof/>
                <w:webHidden/>
              </w:rPr>
              <w:t>22</w:t>
            </w:r>
            <w:r w:rsidR="0046628B">
              <w:rPr>
                <w:noProof/>
                <w:webHidden/>
              </w:rPr>
              <w:fldChar w:fldCharType="end"/>
            </w:r>
          </w:hyperlink>
        </w:p>
        <w:p w:rsidR="0046628B" w:rsidRDefault="000A316B">
          <w:pPr>
            <w:pStyle w:val="TDC4"/>
            <w:tabs>
              <w:tab w:val="left" w:pos="1100"/>
              <w:tab w:val="right" w:leader="dot" w:pos="8828"/>
            </w:tabs>
            <w:rPr>
              <w:rFonts w:asciiTheme="minorHAnsi" w:eastAsiaTheme="minorEastAsia" w:hAnsiTheme="minorHAnsi" w:cstheme="minorBidi"/>
              <w:noProof/>
              <w:lang w:eastAsia="es-SV"/>
            </w:rPr>
          </w:pPr>
          <w:hyperlink w:anchor="_Toc491684913" w:history="1">
            <w:r w:rsidR="0046628B" w:rsidRPr="002841B2">
              <w:rPr>
                <w:rStyle w:val="Hipervnculo"/>
                <w:noProof/>
              </w:rPr>
              <w:t>A.</w:t>
            </w:r>
            <w:r w:rsidR="0046628B">
              <w:rPr>
                <w:rFonts w:asciiTheme="minorHAnsi" w:eastAsiaTheme="minorEastAsia" w:hAnsiTheme="minorHAnsi" w:cstheme="minorBidi"/>
                <w:noProof/>
                <w:lang w:eastAsia="es-SV"/>
              </w:rPr>
              <w:tab/>
            </w:r>
            <w:r w:rsidR="0046628B" w:rsidRPr="002841B2">
              <w:rPr>
                <w:rStyle w:val="Hipervnculo"/>
                <w:noProof/>
              </w:rPr>
              <w:t>INVERSIÓN EN SERVICIOS DE SALUD.</w:t>
            </w:r>
            <w:r w:rsidR="0046628B">
              <w:rPr>
                <w:noProof/>
                <w:webHidden/>
              </w:rPr>
              <w:tab/>
            </w:r>
            <w:r w:rsidR="0046628B">
              <w:rPr>
                <w:noProof/>
                <w:webHidden/>
              </w:rPr>
              <w:fldChar w:fldCharType="begin"/>
            </w:r>
            <w:r w:rsidR="0046628B">
              <w:rPr>
                <w:noProof/>
                <w:webHidden/>
              </w:rPr>
              <w:instrText xml:space="preserve"> PAGEREF _Toc491684913 \h </w:instrText>
            </w:r>
            <w:r w:rsidR="0046628B">
              <w:rPr>
                <w:noProof/>
                <w:webHidden/>
              </w:rPr>
            </w:r>
            <w:r w:rsidR="0046628B">
              <w:rPr>
                <w:noProof/>
                <w:webHidden/>
              </w:rPr>
              <w:fldChar w:fldCharType="separate"/>
            </w:r>
            <w:r w:rsidR="0046628B">
              <w:rPr>
                <w:noProof/>
                <w:webHidden/>
              </w:rPr>
              <w:t>22</w:t>
            </w:r>
            <w:r w:rsidR="0046628B">
              <w:rPr>
                <w:noProof/>
                <w:webHidden/>
              </w:rPr>
              <w:fldChar w:fldCharType="end"/>
            </w:r>
          </w:hyperlink>
        </w:p>
        <w:p w:rsidR="0046628B" w:rsidRDefault="000A316B">
          <w:pPr>
            <w:pStyle w:val="TDC4"/>
            <w:tabs>
              <w:tab w:val="left" w:pos="1100"/>
              <w:tab w:val="right" w:leader="dot" w:pos="8828"/>
            </w:tabs>
            <w:rPr>
              <w:rFonts w:asciiTheme="minorHAnsi" w:eastAsiaTheme="minorEastAsia" w:hAnsiTheme="minorHAnsi" w:cstheme="minorBidi"/>
              <w:noProof/>
              <w:lang w:eastAsia="es-SV"/>
            </w:rPr>
          </w:pPr>
          <w:hyperlink w:anchor="_Toc491684914" w:history="1">
            <w:r w:rsidR="0046628B" w:rsidRPr="002841B2">
              <w:rPr>
                <w:rStyle w:val="Hipervnculo"/>
                <w:noProof/>
              </w:rPr>
              <w:t>B.</w:t>
            </w:r>
            <w:r w:rsidR="0046628B">
              <w:rPr>
                <w:rFonts w:asciiTheme="minorHAnsi" w:eastAsiaTheme="minorEastAsia" w:hAnsiTheme="minorHAnsi" w:cstheme="minorBidi"/>
                <w:noProof/>
                <w:lang w:eastAsia="es-SV"/>
              </w:rPr>
              <w:tab/>
            </w:r>
            <w:r w:rsidR="0046628B" w:rsidRPr="002841B2">
              <w:rPr>
                <w:rStyle w:val="Hipervnculo"/>
                <w:noProof/>
              </w:rPr>
              <w:t>PATRIMONIO INSTITUCIONAL ACUMULADO 2008-2016.</w:t>
            </w:r>
            <w:r w:rsidR="0046628B">
              <w:rPr>
                <w:noProof/>
                <w:webHidden/>
              </w:rPr>
              <w:tab/>
            </w:r>
            <w:r w:rsidR="0046628B">
              <w:rPr>
                <w:noProof/>
                <w:webHidden/>
              </w:rPr>
              <w:fldChar w:fldCharType="begin"/>
            </w:r>
            <w:r w:rsidR="0046628B">
              <w:rPr>
                <w:noProof/>
                <w:webHidden/>
              </w:rPr>
              <w:instrText xml:space="preserve"> PAGEREF _Toc491684914 \h </w:instrText>
            </w:r>
            <w:r w:rsidR="0046628B">
              <w:rPr>
                <w:noProof/>
                <w:webHidden/>
              </w:rPr>
            </w:r>
            <w:r w:rsidR="0046628B">
              <w:rPr>
                <w:noProof/>
                <w:webHidden/>
              </w:rPr>
              <w:fldChar w:fldCharType="separate"/>
            </w:r>
            <w:r w:rsidR="0046628B">
              <w:rPr>
                <w:noProof/>
                <w:webHidden/>
              </w:rPr>
              <w:t>23</w:t>
            </w:r>
            <w:r w:rsidR="0046628B">
              <w:rPr>
                <w:noProof/>
                <w:webHidden/>
              </w:rPr>
              <w:fldChar w:fldCharType="end"/>
            </w:r>
          </w:hyperlink>
        </w:p>
        <w:p w:rsidR="0046628B" w:rsidRDefault="000A316B">
          <w:pPr>
            <w:pStyle w:val="TDC4"/>
            <w:tabs>
              <w:tab w:val="left" w:pos="1100"/>
              <w:tab w:val="right" w:leader="dot" w:pos="8828"/>
            </w:tabs>
            <w:rPr>
              <w:rFonts w:asciiTheme="minorHAnsi" w:eastAsiaTheme="minorEastAsia" w:hAnsiTheme="minorHAnsi" w:cstheme="minorBidi"/>
              <w:noProof/>
              <w:lang w:eastAsia="es-SV"/>
            </w:rPr>
          </w:pPr>
          <w:hyperlink w:anchor="_Toc491684915" w:history="1">
            <w:r w:rsidR="0046628B" w:rsidRPr="002841B2">
              <w:rPr>
                <w:rStyle w:val="Hipervnculo"/>
                <w:noProof/>
              </w:rPr>
              <w:t>C.</w:t>
            </w:r>
            <w:r w:rsidR="0046628B">
              <w:rPr>
                <w:rFonts w:asciiTheme="minorHAnsi" w:eastAsiaTheme="minorEastAsia" w:hAnsiTheme="minorHAnsi" w:cstheme="minorBidi"/>
                <w:noProof/>
                <w:lang w:eastAsia="es-SV"/>
              </w:rPr>
              <w:tab/>
            </w:r>
            <w:r w:rsidR="0046628B" w:rsidRPr="002841B2">
              <w:rPr>
                <w:rStyle w:val="Hipervnculo"/>
                <w:noProof/>
              </w:rPr>
              <w:t>PRODUCTOS FINANCIEROS OBTENIDOS POR INVERSIONES</w:t>
            </w:r>
            <w:r w:rsidR="0046628B">
              <w:rPr>
                <w:noProof/>
                <w:webHidden/>
              </w:rPr>
              <w:tab/>
            </w:r>
            <w:r w:rsidR="0046628B">
              <w:rPr>
                <w:noProof/>
                <w:webHidden/>
              </w:rPr>
              <w:fldChar w:fldCharType="begin"/>
            </w:r>
            <w:r w:rsidR="0046628B">
              <w:rPr>
                <w:noProof/>
                <w:webHidden/>
              </w:rPr>
              <w:instrText xml:space="preserve"> PAGEREF _Toc491684915 \h </w:instrText>
            </w:r>
            <w:r w:rsidR="0046628B">
              <w:rPr>
                <w:noProof/>
                <w:webHidden/>
              </w:rPr>
            </w:r>
            <w:r w:rsidR="0046628B">
              <w:rPr>
                <w:noProof/>
                <w:webHidden/>
              </w:rPr>
              <w:fldChar w:fldCharType="separate"/>
            </w:r>
            <w:r w:rsidR="0046628B">
              <w:rPr>
                <w:noProof/>
                <w:webHidden/>
              </w:rPr>
              <w:t>24</w:t>
            </w:r>
            <w:r w:rsidR="0046628B">
              <w:rPr>
                <w:noProof/>
                <w:webHidden/>
              </w:rPr>
              <w:fldChar w:fldCharType="end"/>
            </w:r>
          </w:hyperlink>
        </w:p>
        <w:p w:rsidR="0046628B" w:rsidRDefault="000A316B">
          <w:pPr>
            <w:pStyle w:val="TDC4"/>
            <w:tabs>
              <w:tab w:val="left" w:pos="1100"/>
              <w:tab w:val="right" w:leader="dot" w:pos="8828"/>
            </w:tabs>
            <w:rPr>
              <w:rFonts w:asciiTheme="minorHAnsi" w:eastAsiaTheme="minorEastAsia" w:hAnsiTheme="minorHAnsi" w:cstheme="minorBidi"/>
              <w:noProof/>
              <w:lang w:eastAsia="es-SV"/>
            </w:rPr>
          </w:pPr>
          <w:hyperlink w:anchor="_Toc491684916" w:history="1">
            <w:r w:rsidR="0046628B" w:rsidRPr="002841B2">
              <w:rPr>
                <w:rStyle w:val="Hipervnculo"/>
                <w:noProof/>
              </w:rPr>
              <w:t>D.</w:t>
            </w:r>
            <w:r w:rsidR="0046628B">
              <w:rPr>
                <w:rFonts w:asciiTheme="minorHAnsi" w:eastAsiaTheme="minorEastAsia" w:hAnsiTheme="minorHAnsi" w:cstheme="minorBidi"/>
                <w:noProof/>
                <w:lang w:eastAsia="es-SV"/>
              </w:rPr>
              <w:tab/>
            </w:r>
            <w:r w:rsidR="0046628B" w:rsidRPr="002841B2">
              <w:rPr>
                <w:rStyle w:val="Hipervnculo"/>
                <w:noProof/>
              </w:rPr>
              <w:t>TRANSFERENCIAS DE IMPUESTOS AL MINISTERIO DE HACIENDA</w:t>
            </w:r>
            <w:r w:rsidR="0046628B">
              <w:rPr>
                <w:noProof/>
                <w:webHidden/>
              </w:rPr>
              <w:tab/>
            </w:r>
            <w:r w:rsidR="0046628B">
              <w:rPr>
                <w:noProof/>
                <w:webHidden/>
              </w:rPr>
              <w:fldChar w:fldCharType="begin"/>
            </w:r>
            <w:r w:rsidR="0046628B">
              <w:rPr>
                <w:noProof/>
                <w:webHidden/>
              </w:rPr>
              <w:instrText xml:space="preserve"> PAGEREF _Toc491684916 \h </w:instrText>
            </w:r>
            <w:r w:rsidR="0046628B">
              <w:rPr>
                <w:noProof/>
                <w:webHidden/>
              </w:rPr>
            </w:r>
            <w:r w:rsidR="0046628B">
              <w:rPr>
                <w:noProof/>
                <w:webHidden/>
              </w:rPr>
              <w:fldChar w:fldCharType="separate"/>
            </w:r>
            <w:r w:rsidR="0046628B">
              <w:rPr>
                <w:noProof/>
                <w:webHidden/>
              </w:rPr>
              <w:t>25</w:t>
            </w:r>
            <w:r w:rsidR="0046628B">
              <w:rPr>
                <w:noProof/>
                <w:webHidden/>
              </w:rPr>
              <w:fldChar w:fldCharType="end"/>
            </w:r>
          </w:hyperlink>
        </w:p>
        <w:p w:rsidR="0046628B" w:rsidRDefault="000A316B">
          <w:pPr>
            <w:pStyle w:val="TDC4"/>
            <w:tabs>
              <w:tab w:val="left" w:pos="1100"/>
              <w:tab w:val="right" w:leader="dot" w:pos="8828"/>
            </w:tabs>
            <w:rPr>
              <w:rFonts w:asciiTheme="minorHAnsi" w:eastAsiaTheme="minorEastAsia" w:hAnsiTheme="minorHAnsi" w:cstheme="minorBidi"/>
              <w:noProof/>
              <w:lang w:eastAsia="es-SV"/>
            </w:rPr>
          </w:pPr>
          <w:hyperlink w:anchor="_Toc491684917" w:history="1">
            <w:r w:rsidR="0046628B" w:rsidRPr="002841B2">
              <w:rPr>
                <w:rStyle w:val="Hipervnculo"/>
                <w:rFonts w:ascii="Cambria" w:eastAsia="Times New Roman" w:hAnsi="Cambria"/>
                <w:b/>
                <w:bCs/>
                <w:i/>
                <w:iCs/>
                <w:noProof/>
              </w:rPr>
              <w:t>E.</w:t>
            </w:r>
            <w:r w:rsidR="0046628B">
              <w:rPr>
                <w:rFonts w:asciiTheme="minorHAnsi" w:eastAsiaTheme="minorEastAsia" w:hAnsiTheme="minorHAnsi" w:cstheme="minorBidi"/>
                <w:noProof/>
                <w:lang w:eastAsia="es-SV"/>
              </w:rPr>
              <w:tab/>
            </w:r>
            <w:r w:rsidR="0046628B" w:rsidRPr="002841B2">
              <w:rPr>
                <w:rStyle w:val="Hipervnculo"/>
                <w:rFonts w:ascii="Cambria" w:eastAsia="Times New Roman" w:hAnsi="Cambria"/>
                <w:b/>
                <w:bCs/>
                <w:i/>
                <w:iCs/>
                <w:noProof/>
              </w:rPr>
              <w:t>RESERVAS INSTITUCIONALES</w:t>
            </w:r>
            <w:r w:rsidR="0046628B">
              <w:rPr>
                <w:noProof/>
                <w:webHidden/>
              </w:rPr>
              <w:tab/>
            </w:r>
            <w:r w:rsidR="0046628B">
              <w:rPr>
                <w:noProof/>
                <w:webHidden/>
              </w:rPr>
              <w:fldChar w:fldCharType="begin"/>
            </w:r>
            <w:r w:rsidR="0046628B">
              <w:rPr>
                <w:noProof/>
                <w:webHidden/>
              </w:rPr>
              <w:instrText xml:space="preserve"> PAGEREF _Toc491684917 \h </w:instrText>
            </w:r>
            <w:r w:rsidR="0046628B">
              <w:rPr>
                <w:noProof/>
                <w:webHidden/>
              </w:rPr>
            </w:r>
            <w:r w:rsidR="0046628B">
              <w:rPr>
                <w:noProof/>
                <w:webHidden/>
              </w:rPr>
              <w:fldChar w:fldCharType="separate"/>
            </w:r>
            <w:r w:rsidR="0046628B">
              <w:rPr>
                <w:noProof/>
                <w:webHidden/>
              </w:rPr>
              <w:t>25</w:t>
            </w:r>
            <w:r w:rsidR="0046628B">
              <w:rPr>
                <w:noProof/>
                <w:webHidden/>
              </w:rPr>
              <w:fldChar w:fldCharType="end"/>
            </w:r>
          </w:hyperlink>
        </w:p>
        <w:p w:rsidR="0046628B" w:rsidRDefault="000A316B">
          <w:pPr>
            <w:pStyle w:val="TDC2"/>
            <w:rPr>
              <w:noProof/>
            </w:rPr>
          </w:pPr>
          <w:hyperlink w:anchor="_Toc491684918" w:history="1">
            <w:r w:rsidR="0046628B" w:rsidRPr="00641340">
              <w:rPr>
                <w:rStyle w:val="Hipervnculo"/>
                <w:rFonts w:eastAsia="Calibri"/>
                <w:b/>
                <w:noProof/>
              </w:rPr>
              <w:t>IV.</w:t>
            </w:r>
            <w:r w:rsidR="0046628B" w:rsidRPr="00641340">
              <w:rPr>
                <w:b/>
                <w:noProof/>
              </w:rPr>
              <w:tab/>
            </w:r>
            <w:r w:rsidR="0046628B" w:rsidRPr="002841B2">
              <w:rPr>
                <w:rStyle w:val="Hipervnculo"/>
                <w:rFonts w:ascii="Cambria" w:eastAsia="Times New Roman" w:hAnsi="Cambria"/>
                <w:b/>
                <w:bCs/>
                <w:noProof/>
              </w:rPr>
              <w:t>CONCLUSIONES</w:t>
            </w:r>
            <w:r w:rsidR="0046628B">
              <w:rPr>
                <w:noProof/>
                <w:webHidden/>
              </w:rPr>
              <w:tab/>
            </w:r>
            <w:r w:rsidR="0046628B">
              <w:rPr>
                <w:noProof/>
                <w:webHidden/>
              </w:rPr>
              <w:fldChar w:fldCharType="begin"/>
            </w:r>
            <w:r w:rsidR="0046628B">
              <w:rPr>
                <w:noProof/>
                <w:webHidden/>
              </w:rPr>
              <w:instrText xml:space="preserve"> PAGEREF _Toc491684918 \h </w:instrText>
            </w:r>
            <w:r w:rsidR="0046628B">
              <w:rPr>
                <w:noProof/>
                <w:webHidden/>
              </w:rPr>
            </w:r>
            <w:r w:rsidR="0046628B">
              <w:rPr>
                <w:noProof/>
                <w:webHidden/>
              </w:rPr>
              <w:fldChar w:fldCharType="separate"/>
            </w:r>
            <w:r w:rsidR="0046628B">
              <w:rPr>
                <w:noProof/>
                <w:webHidden/>
              </w:rPr>
              <w:t>26</w:t>
            </w:r>
            <w:r w:rsidR="0046628B">
              <w:rPr>
                <w:noProof/>
                <w:webHidden/>
              </w:rPr>
              <w:fldChar w:fldCharType="end"/>
            </w:r>
          </w:hyperlink>
        </w:p>
        <w:p w:rsidR="00431E1B" w:rsidRDefault="00E61FA9">
          <w:r w:rsidRPr="0082520B">
            <w:rPr>
              <w:rFonts w:asciiTheme="minorHAnsi" w:eastAsiaTheme="minorEastAsia" w:hAnsiTheme="minorHAnsi" w:cstheme="minorBidi"/>
              <w:lang w:eastAsia="es-SV"/>
            </w:rPr>
            <w:fldChar w:fldCharType="end"/>
          </w:r>
        </w:p>
      </w:sdtContent>
    </w:sdt>
    <w:p w:rsidR="00BE4A02" w:rsidRPr="007210B7" w:rsidRDefault="00BE4A02" w:rsidP="00381D10">
      <w:pPr>
        <w:pStyle w:val="Ttulo2"/>
        <w:numPr>
          <w:ilvl w:val="0"/>
          <w:numId w:val="10"/>
        </w:numPr>
        <w:rPr>
          <w:b/>
        </w:rPr>
      </w:pPr>
      <w:bookmarkStart w:id="17" w:name="_Toc424558688"/>
      <w:bookmarkStart w:id="18" w:name="_Toc491684896"/>
      <w:r w:rsidRPr="007210B7">
        <w:rPr>
          <w:b/>
        </w:rPr>
        <w:t>INTRODUCCIÓN</w:t>
      </w:r>
      <w:bookmarkEnd w:id="17"/>
      <w:bookmarkEnd w:id="18"/>
      <w:r w:rsidR="00DD5581">
        <w:rPr>
          <w:b/>
        </w:rPr>
        <w:t xml:space="preserve"> </w:t>
      </w:r>
    </w:p>
    <w:p w:rsidR="00E11CA6" w:rsidRPr="00CB29EF" w:rsidRDefault="00CE5370" w:rsidP="007210B7">
      <w:pPr>
        <w:spacing w:before="200" w:line="276" w:lineRule="auto"/>
        <w:jc w:val="both"/>
        <w:rPr>
          <w:rFonts w:ascii="Century Gothic" w:hAnsi="Century Gothic"/>
        </w:rPr>
      </w:pPr>
      <w:r w:rsidRPr="00CB29EF">
        <w:rPr>
          <w:rFonts w:ascii="Century Gothic" w:hAnsi="Century Gothic"/>
        </w:rPr>
        <w:t xml:space="preserve">El ISBM continúa bajo la conducción del </w:t>
      </w:r>
      <w:r w:rsidR="00D121F6" w:rsidRPr="00CB29EF">
        <w:rPr>
          <w:rFonts w:ascii="Century Gothic" w:hAnsi="Century Gothic"/>
        </w:rPr>
        <w:t>Prof. Rafael Antonio Coto López, como Director Presidente</w:t>
      </w:r>
      <w:r w:rsidRPr="00CB29EF">
        <w:rPr>
          <w:rFonts w:ascii="Century Gothic" w:hAnsi="Century Gothic"/>
        </w:rPr>
        <w:t xml:space="preserve"> de su Consejo Directivo y Presidente</w:t>
      </w:r>
      <w:r w:rsidR="00D121F6" w:rsidRPr="00CB29EF">
        <w:rPr>
          <w:rFonts w:ascii="Century Gothic" w:hAnsi="Century Gothic"/>
        </w:rPr>
        <w:t xml:space="preserve"> del I</w:t>
      </w:r>
      <w:r w:rsidRPr="00CB29EF">
        <w:rPr>
          <w:rFonts w:ascii="Century Gothic" w:hAnsi="Century Gothic"/>
        </w:rPr>
        <w:t xml:space="preserve">nstituto, nombramiento que concluye hasta 2019 y </w:t>
      </w:r>
      <w:r w:rsidR="008C7528" w:rsidRPr="00CB29EF">
        <w:rPr>
          <w:rFonts w:ascii="Century Gothic" w:hAnsi="Century Gothic"/>
        </w:rPr>
        <w:t xml:space="preserve">que </w:t>
      </w:r>
      <w:r w:rsidRPr="00CB29EF">
        <w:rPr>
          <w:rFonts w:ascii="Century Gothic" w:hAnsi="Century Gothic"/>
        </w:rPr>
        <w:t xml:space="preserve">fue efectuado </w:t>
      </w:r>
      <w:r w:rsidR="003640F3" w:rsidRPr="00CB29EF">
        <w:rPr>
          <w:rFonts w:ascii="Century Gothic" w:hAnsi="Century Gothic"/>
        </w:rPr>
        <w:t xml:space="preserve">por </w:t>
      </w:r>
      <w:r w:rsidR="00D121F6" w:rsidRPr="00CB29EF">
        <w:rPr>
          <w:rFonts w:ascii="Century Gothic" w:hAnsi="Century Gothic"/>
        </w:rPr>
        <w:t xml:space="preserve">el señor Presidente de la República, </w:t>
      </w:r>
      <w:r w:rsidR="008C7528" w:rsidRPr="00CB29EF">
        <w:rPr>
          <w:rFonts w:ascii="Century Gothic" w:hAnsi="Century Gothic"/>
        </w:rPr>
        <w:t>p</w:t>
      </w:r>
      <w:r w:rsidR="00D121F6" w:rsidRPr="00CB29EF">
        <w:rPr>
          <w:rFonts w:ascii="Century Gothic" w:hAnsi="Century Gothic"/>
        </w:rPr>
        <w:t>rofesor Salvador Sánchez Cerén</w:t>
      </w:r>
      <w:r w:rsidRPr="00CB29EF">
        <w:rPr>
          <w:rFonts w:ascii="Century Gothic" w:hAnsi="Century Gothic"/>
        </w:rPr>
        <w:t>.  El plazo sobre el cual se rinde este informe</w:t>
      </w:r>
      <w:r w:rsidR="001156AA" w:rsidRPr="00CB29EF">
        <w:rPr>
          <w:rFonts w:ascii="Century Gothic" w:hAnsi="Century Gothic"/>
        </w:rPr>
        <w:t xml:space="preserve"> comprende</w:t>
      </w:r>
      <w:r w:rsidR="008C7528" w:rsidRPr="00CB29EF">
        <w:rPr>
          <w:rFonts w:ascii="Century Gothic" w:hAnsi="Century Gothic"/>
        </w:rPr>
        <w:t xml:space="preserve"> </w:t>
      </w:r>
      <w:r w:rsidRPr="00CB29EF">
        <w:rPr>
          <w:rFonts w:ascii="Century Gothic" w:hAnsi="Century Gothic"/>
        </w:rPr>
        <w:t>de junio de 2016</w:t>
      </w:r>
      <w:r w:rsidR="00BE7D9B" w:rsidRPr="00CB29EF">
        <w:rPr>
          <w:rFonts w:ascii="Century Gothic" w:hAnsi="Century Gothic"/>
        </w:rPr>
        <w:t xml:space="preserve"> a </w:t>
      </w:r>
      <w:r w:rsidRPr="00CB29EF">
        <w:rPr>
          <w:rFonts w:ascii="Century Gothic" w:hAnsi="Century Gothic"/>
        </w:rPr>
        <w:t>julio</w:t>
      </w:r>
      <w:r w:rsidR="00BE7D9B" w:rsidRPr="00CB29EF">
        <w:rPr>
          <w:rFonts w:ascii="Century Gothic" w:hAnsi="Century Gothic"/>
        </w:rPr>
        <w:t xml:space="preserve"> de 201</w:t>
      </w:r>
      <w:r w:rsidRPr="00CB29EF">
        <w:rPr>
          <w:rFonts w:ascii="Century Gothic" w:hAnsi="Century Gothic"/>
        </w:rPr>
        <w:t xml:space="preserve">7, </w:t>
      </w:r>
      <w:r w:rsidR="008C7528" w:rsidRPr="00CB29EF">
        <w:rPr>
          <w:rFonts w:ascii="Century Gothic" w:hAnsi="Century Gothic"/>
        </w:rPr>
        <w:t xml:space="preserve">período </w:t>
      </w:r>
      <w:r w:rsidRPr="00CB29EF">
        <w:rPr>
          <w:rFonts w:ascii="Century Gothic" w:hAnsi="Century Gothic"/>
        </w:rPr>
        <w:t xml:space="preserve">durante el cual se han hecho todos los esfuerzos necesarios para continuar brindando la cobertura integral de salud de la comunidad usuaria, lo cual incluye </w:t>
      </w:r>
      <w:r w:rsidR="00E11CA6" w:rsidRPr="00CB29EF">
        <w:rPr>
          <w:rFonts w:ascii="Century Gothic" w:hAnsi="Century Gothic"/>
        </w:rPr>
        <w:t>la salud mental</w:t>
      </w:r>
      <w:r w:rsidRPr="00CB29EF">
        <w:rPr>
          <w:rFonts w:ascii="Century Gothic" w:hAnsi="Century Gothic"/>
        </w:rPr>
        <w:t xml:space="preserve">, </w:t>
      </w:r>
      <w:r w:rsidR="008C7528" w:rsidRPr="00CB29EF">
        <w:rPr>
          <w:rFonts w:ascii="Century Gothic" w:hAnsi="Century Gothic"/>
        </w:rPr>
        <w:t>el fomento</w:t>
      </w:r>
      <w:r w:rsidRPr="00CB29EF">
        <w:rPr>
          <w:rFonts w:ascii="Century Gothic" w:hAnsi="Century Gothic"/>
        </w:rPr>
        <w:t xml:space="preserve"> </w:t>
      </w:r>
      <w:r w:rsidR="008C7528" w:rsidRPr="00CB29EF">
        <w:rPr>
          <w:rFonts w:ascii="Century Gothic" w:hAnsi="Century Gothic"/>
        </w:rPr>
        <w:t>d</w:t>
      </w:r>
      <w:r w:rsidRPr="00CB29EF">
        <w:rPr>
          <w:rFonts w:ascii="Century Gothic" w:hAnsi="Century Gothic"/>
        </w:rPr>
        <w:t>el autocuido</w:t>
      </w:r>
      <w:r w:rsidR="008C7528" w:rsidRPr="00CB29EF">
        <w:rPr>
          <w:rFonts w:ascii="Century Gothic" w:hAnsi="Century Gothic"/>
        </w:rPr>
        <w:t>,</w:t>
      </w:r>
      <w:r w:rsidRPr="00CB29EF">
        <w:rPr>
          <w:rFonts w:ascii="Century Gothic" w:hAnsi="Century Gothic"/>
        </w:rPr>
        <w:t xml:space="preserve"> así como </w:t>
      </w:r>
      <w:r w:rsidR="008C7528" w:rsidRPr="00CB29EF">
        <w:rPr>
          <w:rFonts w:ascii="Century Gothic" w:hAnsi="Century Gothic"/>
        </w:rPr>
        <w:t>replicar otro año</w:t>
      </w:r>
      <w:r w:rsidRPr="00CB29EF">
        <w:rPr>
          <w:rFonts w:ascii="Century Gothic" w:hAnsi="Century Gothic"/>
        </w:rPr>
        <w:t xml:space="preserve"> más el </w:t>
      </w:r>
      <w:r w:rsidR="00D959B3" w:rsidRPr="00CB29EF">
        <w:rPr>
          <w:rFonts w:ascii="Century Gothic" w:hAnsi="Century Gothic"/>
        </w:rPr>
        <w:t>proyecto de Educación del Cerebro</w:t>
      </w:r>
      <w:r w:rsidR="00E11CA6" w:rsidRPr="00CB29EF">
        <w:rPr>
          <w:rFonts w:ascii="Century Gothic" w:hAnsi="Century Gothic"/>
        </w:rPr>
        <w:t xml:space="preserve">, </w:t>
      </w:r>
      <w:r w:rsidRPr="00CB29EF">
        <w:rPr>
          <w:rFonts w:ascii="Century Gothic" w:hAnsi="Century Gothic"/>
        </w:rPr>
        <w:t xml:space="preserve">para el adecuado manejo de emociones, ya que esto es importante para la salud mental </w:t>
      </w:r>
      <w:r w:rsidR="001156AA" w:rsidRPr="00CB29EF">
        <w:rPr>
          <w:rFonts w:ascii="Century Gothic" w:hAnsi="Century Gothic"/>
        </w:rPr>
        <w:t>de la comunidad usuaria del ISBM</w:t>
      </w:r>
      <w:r w:rsidRPr="00CB29EF">
        <w:rPr>
          <w:rFonts w:ascii="Century Gothic" w:hAnsi="Century Gothic"/>
        </w:rPr>
        <w:t xml:space="preserve">. De igual forma, hemos cumplido responsablemente con la entrega de otros beneficios para el sector docente, </w:t>
      </w:r>
      <w:r w:rsidR="001156AA" w:rsidRPr="00CB29EF">
        <w:rPr>
          <w:rFonts w:ascii="Century Gothic" w:hAnsi="Century Gothic"/>
        </w:rPr>
        <w:t>tales como</w:t>
      </w:r>
      <w:r w:rsidRPr="00CB29EF">
        <w:rPr>
          <w:rFonts w:ascii="Century Gothic" w:hAnsi="Century Gothic"/>
        </w:rPr>
        <w:t xml:space="preserve"> </w:t>
      </w:r>
      <w:r w:rsidR="00BB1EF5" w:rsidRPr="00CB29EF">
        <w:rPr>
          <w:rFonts w:ascii="Century Gothic" w:hAnsi="Century Gothic"/>
        </w:rPr>
        <w:t xml:space="preserve">las </w:t>
      </w:r>
      <w:r w:rsidRPr="00CB29EF">
        <w:rPr>
          <w:rFonts w:ascii="Century Gothic" w:hAnsi="Century Gothic"/>
        </w:rPr>
        <w:t xml:space="preserve">ayudas por gastos funerarios, pago de subsidios temporales, </w:t>
      </w:r>
      <w:r w:rsidR="00BB1EF5" w:rsidRPr="00CB29EF">
        <w:rPr>
          <w:rFonts w:ascii="Century Gothic" w:hAnsi="Century Gothic"/>
        </w:rPr>
        <w:t>reembolsos por gastos médicos, entre otros. S</w:t>
      </w:r>
      <w:r w:rsidRPr="00CB29EF">
        <w:rPr>
          <w:rFonts w:ascii="Century Gothic" w:hAnsi="Century Gothic"/>
        </w:rPr>
        <w:t xml:space="preserve">eguimos fieles a nuestro lema que es </w:t>
      </w:r>
      <w:r w:rsidR="007308E2" w:rsidRPr="00CB29EF">
        <w:rPr>
          <w:rFonts w:ascii="Century Gothic" w:hAnsi="Century Gothic"/>
        </w:rPr>
        <w:t>“Crecemos junto al Magisterio”</w:t>
      </w:r>
      <w:r w:rsidR="00E11CA6" w:rsidRPr="00CB29EF">
        <w:rPr>
          <w:rFonts w:ascii="Century Gothic" w:hAnsi="Century Gothic"/>
        </w:rPr>
        <w:t xml:space="preserve">. </w:t>
      </w:r>
    </w:p>
    <w:p w:rsidR="003F39B1" w:rsidRPr="00CB29EF" w:rsidRDefault="003F39B1" w:rsidP="007210B7">
      <w:pPr>
        <w:spacing w:before="200" w:line="276" w:lineRule="auto"/>
        <w:jc w:val="both"/>
        <w:rPr>
          <w:rFonts w:ascii="Century Gothic" w:hAnsi="Century Gothic"/>
        </w:rPr>
      </w:pPr>
    </w:p>
    <w:p w:rsidR="003F39B1" w:rsidRPr="00CB29EF" w:rsidRDefault="003F39B1" w:rsidP="003F39B1">
      <w:pPr>
        <w:autoSpaceDE w:val="0"/>
        <w:autoSpaceDN w:val="0"/>
        <w:adjustRightInd w:val="0"/>
        <w:spacing w:before="200" w:line="276" w:lineRule="auto"/>
        <w:jc w:val="both"/>
        <w:rPr>
          <w:rFonts w:ascii="Century Gothic" w:hAnsi="Century Gothic"/>
        </w:rPr>
      </w:pPr>
      <w:r w:rsidRPr="00CB29EF">
        <w:rPr>
          <w:rFonts w:ascii="Century Gothic" w:hAnsi="Century Gothic"/>
        </w:rPr>
        <w:t xml:space="preserve">Las acciones institucionales están encaminadas al cumplimiento del Plan Estratégico 2014-2019, </w:t>
      </w:r>
      <w:r w:rsidR="008104FE" w:rsidRPr="00CB29EF">
        <w:rPr>
          <w:rFonts w:ascii="Century Gothic" w:hAnsi="Century Gothic"/>
        </w:rPr>
        <w:t>que tiene</w:t>
      </w:r>
      <w:r w:rsidRPr="00CB29EF">
        <w:rPr>
          <w:rFonts w:ascii="Century Gothic" w:hAnsi="Century Gothic"/>
        </w:rPr>
        <w:t xml:space="preserve"> como base los siguientes objetivos estratégicos: </w:t>
      </w:r>
    </w:p>
    <w:p w:rsidR="003F39B1" w:rsidRPr="00CB29EF" w:rsidRDefault="003F39B1" w:rsidP="003F39B1">
      <w:pPr>
        <w:autoSpaceDE w:val="0"/>
        <w:autoSpaceDN w:val="0"/>
        <w:adjustRightInd w:val="0"/>
        <w:spacing w:before="200" w:line="276" w:lineRule="auto"/>
        <w:jc w:val="both"/>
        <w:rPr>
          <w:rFonts w:ascii="Century Gothic" w:hAnsi="Century Gothic"/>
        </w:rPr>
      </w:pPr>
      <w:r w:rsidRPr="00CB29EF">
        <w:rPr>
          <w:rFonts w:ascii="Century Gothic" w:hAnsi="Century Gothic"/>
        </w:rPr>
        <w:t xml:space="preserve">1- Fortalecer el Modelo de Asistencia médica-hospitalaria </w:t>
      </w:r>
    </w:p>
    <w:p w:rsidR="003F39B1" w:rsidRPr="00CB29EF" w:rsidRDefault="003F39B1" w:rsidP="003F39B1">
      <w:pPr>
        <w:autoSpaceDE w:val="0"/>
        <w:autoSpaceDN w:val="0"/>
        <w:adjustRightInd w:val="0"/>
        <w:spacing w:before="200" w:line="276" w:lineRule="auto"/>
        <w:jc w:val="both"/>
        <w:rPr>
          <w:rFonts w:ascii="Century Gothic" w:hAnsi="Century Gothic"/>
        </w:rPr>
      </w:pPr>
      <w:r w:rsidRPr="00CB29EF">
        <w:rPr>
          <w:rFonts w:ascii="Century Gothic" w:hAnsi="Century Gothic"/>
        </w:rPr>
        <w:t xml:space="preserve">2- Mantener la sostenibilidad financiera </w:t>
      </w:r>
    </w:p>
    <w:p w:rsidR="003F39B1" w:rsidRPr="00CB29EF" w:rsidRDefault="003F39B1" w:rsidP="003F39B1">
      <w:pPr>
        <w:autoSpaceDE w:val="0"/>
        <w:autoSpaceDN w:val="0"/>
        <w:adjustRightInd w:val="0"/>
        <w:spacing w:before="200" w:line="276" w:lineRule="auto"/>
        <w:jc w:val="both"/>
        <w:rPr>
          <w:rFonts w:ascii="Century Gothic" w:hAnsi="Century Gothic"/>
        </w:rPr>
      </w:pPr>
      <w:r w:rsidRPr="00CB29EF">
        <w:rPr>
          <w:rFonts w:ascii="Century Gothic" w:hAnsi="Century Gothic"/>
        </w:rPr>
        <w:t xml:space="preserve">3- Fortalecer las capacidades Técnicas y Administrativas del Instituto </w:t>
      </w:r>
    </w:p>
    <w:p w:rsidR="003F39B1" w:rsidRPr="00CB29EF" w:rsidRDefault="003F39B1" w:rsidP="003F39B1">
      <w:pPr>
        <w:autoSpaceDE w:val="0"/>
        <w:autoSpaceDN w:val="0"/>
        <w:adjustRightInd w:val="0"/>
        <w:spacing w:before="200" w:line="276" w:lineRule="auto"/>
        <w:jc w:val="both"/>
        <w:rPr>
          <w:rFonts w:ascii="Century Gothic" w:hAnsi="Century Gothic"/>
        </w:rPr>
      </w:pPr>
      <w:r w:rsidRPr="00CB29EF">
        <w:rPr>
          <w:rFonts w:ascii="Century Gothic" w:hAnsi="Century Gothic"/>
        </w:rPr>
        <w:t xml:space="preserve">4- Fortalecer el proceso de Comunicación e Información </w:t>
      </w:r>
    </w:p>
    <w:p w:rsidR="003F39B1" w:rsidRPr="00CB29EF" w:rsidRDefault="003F39B1" w:rsidP="003F39B1">
      <w:pPr>
        <w:autoSpaceDE w:val="0"/>
        <w:autoSpaceDN w:val="0"/>
        <w:adjustRightInd w:val="0"/>
        <w:spacing w:before="200" w:line="276" w:lineRule="auto"/>
        <w:jc w:val="both"/>
        <w:rPr>
          <w:rFonts w:ascii="Century Gothic" w:hAnsi="Century Gothic"/>
        </w:rPr>
      </w:pPr>
      <w:r w:rsidRPr="00CB29EF">
        <w:rPr>
          <w:rFonts w:ascii="Century Gothic" w:hAnsi="Century Gothic"/>
        </w:rPr>
        <w:t xml:space="preserve">5- Fortalecer la Modernización Tecnológica </w:t>
      </w:r>
    </w:p>
    <w:p w:rsidR="003F39B1" w:rsidRPr="00CB29EF" w:rsidRDefault="003F39B1" w:rsidP="003F39B1">
      <w:pPr>
        <w:autoSpaceDE w:val="0"/>
        <w:autoSpaceDN w:val="0"/>
        <w:adjustRightInd w:val="0"/>
        <w:spacing w:before="200" w:line="276" w:lineRule="auto"/>
        <w:jc w:val="both"/>
        <w:rPr>
          <w:rFonts w:ascii="Century Gothic" w:hAnsi="Century Gothic"/>
        </w:rPr>
      </w:pPr>
      <w:r w:rsidRPr="00CB29EF">
        <w:rPr>
          <w:rFonts w:ascii="Century Gothic" w:hAnsi="Century Gothic"/>
        </w:rPr>
        <w:t xml:space="preserve">6- Fomentar proyectos de cooperación y proyectos internacionales </w:t>
      </w:r>
    </w:p>
    <w:p w:rsidR="003F39B1" w:rsidRPr="00CB29EF" w:rsidRDefault="003F39B1" w:rsidP="003F39B1">
      <w:pPr>
        <w:spacing w:before="200" w:line="276" w:lineRule="auto"/>
        <w:jc w:val="both"/>
        <w:rPr>
          <w:rFonts w:ascii="Century Gothic" w:hAnsi="Century Gothic"/>
        </w:rPr>
      </w:pPr>
    </w:p>
    <w:p w:rsidR="003F39B1" w:rsidRPr="00CB29EF" w:rsidRDefault="003B399F" w:rsidP="001C7550">
      <w:pPr>
        <w:spacing w:before="200" w:line="276" w:lineRule="auto"/>
        <w:jc w:val="both"/>
        <w:rPr>
          <w:rFonts w:ascii="Century Gothic" w:hAnsi="Century Gothic"/>
        </w:rPr>
      </w:pPr>
      <w:r w:rsidRPr="00CB29EF">
        <w:rPr>
          <w:rFonts w:ascii="Century Gothic" w:hAnsi="Century Gothic"/>
        </w:rPr>
        <w:t>Debemos reconocer que tuvimos retos que enfrentar y resolver de la mejor manera posible en los temas de hospitales y medicamentos, ya que por ejemplo, en este período no se pudo suscribir nuevo convenio con el PNUD que permitiera, entre otros, la compra de una cantidad importante de medicamentos, debido a observaciones de auditorías relacionadas con las conciliaciones del proyecto amparado en el convenio; sin embargo, se mantuvo la proyección de suscribir nuevo convenio para 2017, lo cual se aprobó en el mes de julio de este año, como más adelante se comenta. P</w:t>
      </w:r>
      <w:r w:rsidR="006D1F56" w:rsidRPr="00CB29EF">
        <w:rPr>
          <w:rFonts w:ascii="Century Gothic" w:hAnsi="Century Gothic"/>
        </w:rPr>
        <w:t>or esta y otras razones, el cierre del ejercicio fiscal 2016 reflejó la más baja ejecución porcentual: 93%. S</w:t>
      </w:r>
      <w:r w:rsidR="009A5B5B" w:rsidRPr="00CB29EF">
        <w:rPr>
          <w:rFonts w:ascii="Century Gothic" w:hAnsi="Century Gothic"/>
        </w:rPr>
        <w:t>in embargo,</w:t>
      </w:r>
      <w:r w:rsidR="00BB1EF5" w:rsidRPr="00CB29EF">
        <w:rPr>
          <w:rFonts w:ascii="Century Gothic" w:hAnsi="Century Gothic"/>
        </w:rPr>
        <w:t xml:space="preserve"> se toma</w:t>
      </w:r>
      <w:r w:rsidR="009A5B5B" w:rsidRPr="00CB29EF">
        <w:rPr>
          <w:rFonts w:ascii="Century Gothic" w:hAnsi="Century Gothic"/>
        </w:rPr>
        <w:t>ron</w:t>
      </w:r>
      <w:r w:rsidR="00BB1EF5" w:rsidRPr="00CB29EF">
        <w:rPr>
          <w:rFonts w:ascii="Century Gothic" w:hAnsi="Century Gothic"/>
        </w:rPr>
        <w:t xml:space="preserve"> decisiones que han mantenido a flote los servicios y</w:t>
      </w:r>
      <w:r w:rsidR="008C7528" w:rsidRPr="00CB29EF">
        <w:rPr>
          <w:rFonts w:ascii="Century Gothic" w:hAnsi="Century Gothic"/>
        </w:rPr>
        <w:t>,</w:t>
      </w:r>
      <w:r w:rsidR="00BB1EF5" w:rsidRPr="00CB29EF">
        <w:rPr>
          <w:rFonts w:ascii="Century Gothic" w:hAnsi="Century Gothic"/>
        </w:rPr>
        <w:t xml:space="preserve"> considerando los problemas financieros </w:t>
      </w:r>
      <w:r w:rsidR="008C7528" w:rsidRPr="00CB29EF">
        <w:rPr>
          <w:rFonts w:ascii="Century Gothic" w:hAnsi="Century Gothic"/>
        </w:rPr>
        <w:t xml:space="preserve">y partiendo de estudios actuariales, se tuvo que </w:t>
      </w:r>
      <w:r w:rsidR="00BB1EF5" w:rsidRPr="00CB29EF">
        <w:rPr>
          <w:rFonts w:ascii="Century Gothic" w:hAnsi="Century Gothic"/>
        </w:rPr>
        <w:t>formular propuestas de reformas en relación a las aportaciones para la cobertura de salud de</w:t>
      </w:r>
      <w:r w:rsidR="008C7528" w:rsidRPr="00CB29EF">
        <w:rPr>
          <w:rFonts w:ascii="Century Gothic" w:hAnsi="Century Gothic"/>
        </w:rPr>
        <w:t>l grupo familiar de</w:t>
      </w:r>
      <w:r w:rsidR="00BB1EF5" w:rsidRPr="00CB29EF">
        <w:rPr>
          <w:rFonts w:ascii="Century Gothic" w:hAnsi="Century Gothic"/>
        </w:rPr>
        <w:t xml:space="preserve"> los docentes</w:t>
      </w:r>
      <w:r w:rsidR="008C7528" w:rsidRPr="00CB29EF">
        <w:rPr>
          <w:rFonts w:ascii="Century Gothic" w:hAnsi="Century Gothic"/>
        </w:rPr>
        <w:t>. Tambi</w:t>
      </w:r>
      <w:r w:rsidR="00BB1EF5" w:rsidRPr="00CB29EF">
        <w:rPr>
          <w:rFonts w:ascii="Century Gothic" w:hAnsi="Century Gothic"/>
        </w:rPr>
        <w:t xml:space="preserve">én es justo </w:t>
      </w:r>
      <w:r w:rsidR="008C7528" w:rsidRPr="00CB29EF">
        <w:rPr>
          <w:rFonts w:ascii="Century Gothic" w:hAnsi="Century Gothic"/>
        </w:rPr>
        <w:t xml:space="preserve">decir </w:t>
      </w:r>
      <w:r w:rsidR="00BB1EF5" w:rsidRPr="00CB29EF">
        <w:rPr>
          <w:rFonts w:ascii="Century Gothic" w:hAnsi="Century Gothic"/>
        </w:rPr>
        <w:t xml:space="preserve">que se hicieron movimientos </w:t>
      </w:r>
      <w:r w:rsidR="008104FE" w:rsidRPr="00CB29EF">
        <w:rPr>
          <w:rFonts w:ascii="Century Gothic" w:hAnsi="Century Gothic"/>
        </w:rPr>
        <w:t>importantes</w:t>
      </w:r>
      <w:r w:rsidR="00BB1EF5" w:rsidRPr="00CB29EF">
        <w:rPr>
          <w:rFonts w:ascii="Century Gothic" w:hAnsi="Century Gothic"/>
        </w:rPr>
        <w:t xml:space="preserve"> que permitieron disponer de algunos recursos financieros que, en </w:t>
      </w:r>
      <w:r w:rsidR="00F96250" w:rsidRPr="00CB29EF">
        <w:rPr>
          <w:rFonts w:ascii="Century Gothic" w:hAnsi="Century Gothic"/>
        </w:rPr>
        <w:t>gran parte</w:t>
      </w:r>
      <w:r w:rsidR="00BB1EF5" w:rsidRPr="00CB29EF">
        <w:rPr>
          <w:rFonts w:ascii="Century Gothic" w:hAnsi="Century Gothic"/>
        </w:rPr>
        <w:t xml:space="preserve">, se </w:t>
      </w:r>
      <w:r w:rsidR="008C7528" w:rsidRPr="00CB29EF">
        <w:rPr>
          <w:rFonts w:ascii="Century Gothic" w:hAnsi="Century Gothic"/>
        </w:rPr>
        <w:t>orientaron a</w:t>
      </w:r>
      <w:r w:rsidR="00BB1EF5" w:rsidRPr="00CB29EF">
        <w:rPr>
          <w:rFonts w:ascii="Century Gothic" w:hAnsi="Century Gothic"/>
        </w:rPr>
        <w:t xml:space="preserve"> reforzar presupuestariamente los rubros que corresponden a los servicios de salud.</w:t>
      </w:r>
      <w:r w:rsidR="008C7528" w:rsidRPr="00CB29EF">
        <w:rPr>
          <w:rFonts w:ascii="Century Gothic" w:hAnsi="Century Gothic"/>
        </w:rPr>
        <w:t xml:space="preserve"> </w:t>
      </w:r>
      <w:r w:rsidR="001156AA" w:rsidRPr="00CB29EF">
        <w:rPr>
          <w:rFonts w:ascii="Century Gothic" w:hAnsi="Century Gothic"/>
        </w:rPr>
        <w:t xml:space="preserve">Por eso consideramos que, a pesar de las dificultades, el ISBM es una </w:t>
      </w:r>
      <w:r w:rsidR="008C7528" w:rsidRPr="00CB29EF">
        <w:rPr>
          <w:rFonts w:ascii="Century Gothic" w:hAnsi="Century Gothic"/>
        </w:rPr>
        <w:t xml:space="preserve">empresa pública </w:t>
      </w:r>
      <w:r w:rsidR="001156AA" w:rsidRPr="00CB29EF">
        <w:rPr>
          <w:rFonts w:ascii="Century Gothic" w:hAnsi="Century Gothic"/>
        </w:rPr>
        <w:t xml:space="preserve">que </w:t>
      </w:r>
      <w:r w:rsidR="008C7528" w:rsidRPr="00CB29EF">
        <w:rPr>
          <w:rFonts w:ascii="Century Gothic" w:hAnsi="Century Gothic"/>
        </w:rPr>
        <w:t xml:space="preserve">sigue cumpliendo </w:t>
      </w:r>
      <w:r w:rsidR="00E11CA6" w:rsidRPr="00CB29EF">
        <w:rPr>
          <w:rFonts w:ascii="Century Gothic" w:hAnsi="Century Gothic"/>
        </w:rPr>
        <w:t>con los grandes objetivos del Plan Quinq</w:t>
      </w:r>
      <w:r w:rsidR="001C7550" w:rsidRPr="00CB29EF">
        <w:rPr>
          <w:rFonts w:ascii="Century Gothic" w:hAnsi="Century Gothic"/>
        </w:rPr>
        <w:t>uenal de Desarrollo</w:t>
      </w:r>
      <w:r w:rsidR="00F300ED" w:rsidRPr="00CB29EF">
        <w:rPr>
          <w:rFonts w:ascii="Century Gothic" w:hAnsi="Century Gothic"/>
        </w:rPr>
        <w:t xml:space="preserve"> (PQD),</w:t>
      </w:r>
      <w:r w:rsidR="001C7550" w:rsidRPr="00CB29EF">
        <w:rPr>
          <w:rFonts w:ascii="Century Gothic" w:hAnsi="Century Gothic"/>
        </w:rPr>
        <w:t xml:space="preserve"> como lo es el </w:t>
      </w:r>
      <w:r w:rsidR="00E11CA6" w:rsidRPr="00CB29EF">
        <w:rPr>
          <w:rFonts w:ascii="Century Gothic" w:hAnsi="Century Gothic"/>
        </w:rPr>
        <w:t xml:space="preserve">Objetivo 4: </w:t>
      </w:r>
      <w:r w:rsidR="00E11CA6" w:rsidRPr="00CB29EF">
        <w:rPr>
          <w:rFonts w:ascii="Century Gothic" w:hAnsi="Century Gothic"/>
          <w:i/>
        </w:rPr>
        <w:t>Asegurar gradualmente a la población salvadoreña, el acceso y cobertura universal a servicios de salud de calidad</w:t>
      </w:r>
      <w:r w:rsidR="00E11CA6" w:rsidRPr="00CB29EF">
        <w:rPr>
          <w:rFonts w:ascii="Century Gothic" w:hAnsi="Century Gothic"/>
        </w:rPr>
        <w:t>, en las líneas</w:t>
      </w:r>
      <w:r w:rsidR="0099391C" w:rsidRPr="00CB29EF">
        <w:rPr>
          <w:rFonts w:ascii="Century Gothic" w:hAnsi="Century Gothic"/>
        </w:rPr>
        <w:t xml:space="preserve"> 1, 2 y 3,</w:t>
      </w:r>
      <w:r w:rsidR="001C7550" w:rsidRPr="00CB29EF">
        <w:rPr>
          <w:rFonts w:ascii="Century Gothic" w:hAnsi="Century Gothic"/>
        </w:rPr>
        <w:t xml:space="preserve"> el cual compete directamente al Sistema Nacional de Salud del cual forma parte este Instituto, de manera real y efectiva.</w:t>
      </w:r>
    </w:p>
    <w:p w:rsidR="003F39B1" w:rsidRPr="00CB29EF" w:rsidRDefault="003F39B1" w:rsidP="003F39B1">
      <w:pPr>
        <w:autoSpaceDE w:val="0"/>
        <w:autoSpaceDN w:val="0"/>
        <w:adjustRightInd w:val="0"/>
        <w:rPr>
          <w:rFonts w:cs="Calibri"/>
        </w:rPr>
      </w:pPr>
    </w:p>
    <w:p w:rsidR="00F010F9" w:rsidRPr="00CB29EF" w:rsidRDefault="00E51B8E" w:rsidP="007210B7">
      <w:pPr>
        <w:spacing w:before="200" w:line="276" w:lineRule="auto"/>
        <w:jc w:val="both"/>
        <w:rPr>
          <w:rFonts w:ascii="Century Gothic" w:hAnsi="Century Gothic"/>
        </w:rPr>
      </w:pPr>
      <w:r w:rsidRPr="00CB29EF">
        <w:rPr>
          <w:rFonts w:ascii="Century Gothic" w:hAnsi="Century Gothic"/>
        </w:rPr>
        <w:t xml:space="preserve">La gestión realizada </w:t>
      </w:r>
      <w:r w:rsidR="00E344FC" w:rsidRPr="00CB29EF">
        <w:rPr>
          <w:rFonts w:ascii="Century Gothic" w:hAnsi="Century Gothic"/>
        </w:rPr>
        <w:t xml:space="preserve">por el ISBM en el período comprendido de junio 2016 a julio 2017, representa una inversión financiera de </w:t>
      </w:r>
      <w:r w:rsidR="00B0554C" w:rsidRPr="00CB29EF">
        <w:rPr>
          <w:rFonts w:ascii="Century Gothic" w:hAnsi="Century Gothic"/>
        </w:rPr>
        <w:t xml:space="preserve">US </w:t>
      </w:r>
      <w:r w:rsidR="00E344FC" w:rsidRPr="00CB29EF">
        <w:rPr>
          <w:rFonts w:ascii="Century Gothic" w:hAnsi="Century Gothic"/>
        </w:rPr>
        <w:t>$69,505,700.45.</w:t>
      </w:r>
    </w:p>
    <w:p w:rsidR="00290ED7" w:rsidRPr="00CB29EF" w:rsidRDefault="00F010F9" w:rsidP="007210B7">
      <w:pPr>
        <w:spacing w:before="200" w:line="276" w:lineRule="auto"/>
        <w:jc w:val="both"/>
        <w:rPr>
          <w:rFonts w:ascii="Century Gothic" w:hAnsi="Century Gothic"/>
        </w:rPr>
      </w:pPr>
      <w:r w:rsidRPr="00CB29EF">
        <w:rPr>
          <w:rFonts w:ascii="Century Gothic" w:hAnsi="Century Gothic"/>
        </w:rPr>
        <w:t xml:space="preserve">Otro hecho importante </w:t>
      </w:r>
      <w:r w:rsidR="008D5571" w:rsidRPr="00CB29EF">
        <w:rPr>
          <w:rFonts w:ascii="Century Gothic" w:hAnsi="Century Gothic"/>
        </w:rPr>
        <w:t>aconteció</w:t>
      </w:r>
      <w:r w:rsidRPr="00CB29EF">
        <w:rPr>
          <w:rFonts w:ascii="Century Gothic" w:hAnsi="Century Gothic"/>
        </w:rPr>
        <w:t xml:space="preserve"> en mayo de 2017, </w:t>
      </w:r>
      <w:r w:rsidR="008D5571" w:rsidRPr="00CB29EF">
        <w:rPr>
          <w:rFonts w:ascii="Century Gothic" w:hAnsi="Century Gothic"/>
        </w:rPr>
        <w:t>cuando</w:t>
      </w:r>
      <w:r w:rsidR="007157AC" w:rsidRPr="00CB29EF">
        <w:rPr>
          <w:rFonts w:ascii="Century Gothic" w:hAnsi="Century Gothic"/>
        </w:rPr>
        <w:t xml:space="preserve"> </w:t>
      </w:r>
      <w:r w:rsidR="001156AA" w:rsidRPr="00CB29EF">
        <w:rPr>
          <w:rFonts w:ascii="Century Gothic" w:hAnsi="Century Gothic"/>
        </w:rPr>
        <w:t xml:space="preserve">el Consejo Directivo aprobó un proyecto de reformas a la Ley del ISBM, dentro de las cuales se encuentra la del </w:t>
      </w:r>
      <w:r w:rsidR="0099391C" w:rsidRPr="00CB29EF">
        <w:rPr>
          <w:rFonts w:ascii="Century Gothic" w:hAnsi="Century Gothic"/>
        </w:rPr>
        <w:t>literal b) del Art. 54</w:t>
      </w:r>
      <w:r w:rsidR="00290ED7" w:rsidRPr="00CB29EF">
        <w:rPr>
          <w:rFonts w:ascii="Century Gothic" w:hAnsi="Century Gothic"/>
        </w:rPr>
        <w:t xml:space="preserve"> de la</w:t>
      </w:r>
      <w:r w:rsidR="001E4319" w:rsidRPr="00CB29EF">
        <w:rPr>
          <w:rFonts w:ascii="Century Gothic" w:hAnsi="Century Gothic"/>
        </w:rPr>
        <w:t xml:space="preserve"> Ley del ISBM</w:t>
      </w:r>
      <w:r w:rsidR="00290ED7" w:rsidRPr="00CB29EF">
        <w:rPr>
          <w:rFonts w:ascii="Century Gothic" w:hAnsi="Century Gothic"/>
        </w:rPr>
        <w:t>.</w:t>
      </w:r>
    </w:p>
    <w:p w:rsidR="00290ED7" w:rsidRPr="00CB29EF" w:rsidRDefault="00F96250" w:rsidP="007210B7">
      <w:pPr>
        <w:spacing w:before="200" w:line="276" w:lineRule="auto"/>
        <w:jc w:val="both"/>
        <w:rPr>
          <w:rFonts w:ascii="Century Gothic" w:hAnsi="Century Gothic"/>
        </w:rPr>
      </w:pPr>
      <w:r w:rsidRPr="00CB29EF">
        <w:rPr>
          <w:rFonts w:ascii="Century Gothic" w:hAnsi="Century Gothic"/>
        </w:rPr>
        <w:t xml:space="preserve">Se continuó realizando acciones </w:t>
      </w:r>
      <w:r w:rsidR="00290ED7" w:rsidRPr="00CB29EF">
        <w:rPr>
          <w:rFonts w:ascii="Century Gothic" w:hAnsi="Century Gothic"/>
        </w:rPr>
        <w:t xml:space="preserve">para el fortalecimiento del patrimonio institucional, </w:t>
      </w:r>
      <w:r w:rsidRPr="00CB29EF">
        <w:rPr>
          <w:rFonts w:ascii="Century Gothic" w:hAnsi="Century Gothic"/>
        </w:rPr>
        <w:t>mediante la adquisici</w:t>
      </w:r>
      <w:r w:rsidR="00542EFA" w:rsidRPr="00CB29EF">
        <w:rPr>
          <w:rFonts w:ascii="Century Gothic" w:hAnsi="Century Gothic"/>
        </w:rPr>
        <w:t xml:space="preserve">ón de </w:t>
      </w:r>
      <w:r w:rsidR="007157AC" w:rsidRPr="00CB29EF">
        <w:rPr>
          <w:rFonts w:ascii="Century Gothic" w:hAnsi="Century Gothic"/>
        </w:rPr>
        <w:t>2</w:t>
      </w:r>
      <w:r w:rsidR="00623035" w:rsidRPr="00CB29EF">
        <w:rPr>
          <w:rFonts w:ascii="Century Gothic" w:hAnsi="Century Gothic"/>
        </w:rPr>
        <w:t xml:space="preserve"> </w:t>
      </w:r>
      <w:r w:rsidR="00542EFA" w:rsidRPr="00CB29EF">
        <w:rPr>
          <w:rFonts w:ascii="Century Gothic" w:hAnsi="Century Gothic"/>
        </w:rPr>
        <w:t>inmuebles</w:t>
      </w:r>
      <w:r w:rsidRPr="00CB29EF">
        <w:rPr>
          <w:rFonts w:ascii="Century Gothic" w:hAnsi="Century Gothic"/>
        </w:rPr>
        <w:t xml:space="preserve"> y se inaugur</w:t>
      </w:r>
      <w:r w:rsidR="00F010F9" w:rsidRPr="00CB29EF">
        <w:rPr>
          <w:rFonts w:ascii="Century Gothic" w:hAnsi="Century Gothic"/>
        </w:rPr>
        <w:t>ó</w:t>
      </w:r>
      <w:r w:rsidRPr="00CB29EF">
        <w:rPr>
          <w:rFonts w:ascii="Century Gothic" w:hAnsi="Century Gothic"/>
        </w:rPr>
        <w:t xml:space="preserve"> las nuevas instalaciones donde hoy funciona el Policlínico Magisterial de la ciudad de Santa Ana, </w:t>
      </w:r>
      <w:r w:rsidR="00623035" w:rsidRPr="00CB29EF">
        <w:rPr>
          <w:rFonts w:ascii="Century Gothic" w:hAnsi="Century Gothic"/>
        </w:rPr>
        <w:t xml:space="preserve">siendo </w:t>
      </w:r>
      <w:r w:rsidR="00B74DBC" w:rsidRPr="00CB29EF">
        <w:rPr>
          <w:rFonts w:ascii="Century Gothic" w:hAnsi="Century Gothic"/>
        </w:rPr>
        <w:t>este</w:t>
      </w:r>
      <w:r w:rsidR="00623035" w:rsidRPr="00CB29EF">
        <w:rPr>
          <w:rFonts w:ascii="Century Gothic" w:hAnsi="Century Gothic"/>
        </w:rPr>
        <w:t xml:space="preserve"> </w:t>
      </w:r>
      <w:r w:rsidR="00542EFA" w:rsidRPr="00CB29EF">
        <w:rPr>
          <w:rFonts w:ascii="Century Gothic" w:hAnsi="Century Gothic"/>
        </w:rPr>
        <w:t>un edificio moderno</w:t>
      </w:r>
      <w:r w:rsidR="00623035" w:rsidRPr="00CB29EF">
        <w:rPr>
          <w:rFonts w:ascii="Century Gothic" w:hAnsi="Century Gothic"/>
        </w:rPr>
        <w:t>, accesible,</w:t>
      </w:r>
      <w:r w:rsidR="00542EFA" w:rsidRPr="00CB29EF">
        <w:rPr>
          <w:rFonts w:ascii="Century Gothic" w:hAnsi="Century Gothic"/>
        </w:rPr>
        <w:t xml:space="preserve"> </w:t>
      </w:r>
      <w:r w:rsidR="00623035" w:rsidRPr="00CB29EF">
        <w:rPr>
          <w:rFonts w:ascii="Century Gothic" w:hAnsi="Century Gothic"/>
        </w:rPr>
        <w:t xml:space="preserve">bien ubicado y </w:t>
      </w:r>
      <w:r w:rsidR="00542EFA" w:rsidRPr="00CB29EF">
        <w:rPr>
          <w:rFonts w:ascii="Century Gothic" w:hAnsi="Century Gothic"/>
        </w:rPr>
        <w:t xml:space="preserve">que cuenta con </w:t>
      </w:r>
      <w:r w:rsidR="00B74DBC" w:rsidRPr="00CB29EF">
        <w:rPr>
          <w:rFonts w:ascii="Century Gothic" w:hAnsi="Century Gothic"/>
        </w:rPr>
        <w:t>generación eléctrica</w:t>
      </w:r>
      <w:r w:rsidR="00542EFA" w:rsidRPr="00CB29EF">
        <w:rPr>
          <w:rFonts w:ascii="Century Gothic" w:hAnsi="Century Gothic"/>
        </w:rPr>
        <w:t xml:space="preserve"> solar, </w:t>
      </w:r>
      <w:r w:rsidRPr="00CB29EF">
        <w:rPr>
          <w:rFonts w:ascii="Century Gothic" w:hAnsi="Century Gothic"/>
        </w:rPr>
        <w:t>constituy</w:t>
      </w:r>
      <w:r w:rsidR="00542EFA" w:rsidRPr="00CB29EF">
        <w:rPr>
          <w:rFonts w:ascii="Century Gothic" w:hAnsi="Century Gothic"/>
        </w:rPr>
        <w:t>éndose é</w:t>
      </w:r>
      <w:r w:rsidRPr="00CB29EF">
        <w:rPr>
          <w:rFonts w:ascii="Century Gothic" w:hAnsi="Century Gothic"/>
        </w:rPr>
        <w:t>ste en el prototipo de lo que el ISBM se ha propuesto implementar gradualmente para los establecimientos de salud donde se brind</w:t>
      </w:r>
      <w:r w:rsidR="00B74DBC" w:rsidRPr="00CB29EF">
        <w:rPr>
          <w:rFonts w:ascii="Century Gothic" w:hAnsi="Century Gothic"/>
        </w:rPr>
        <w:t>e</w:t>
      </w:r>
      <w:r w:rsidR="00542EFA" w:rsidRPr="00CB29EF">
        <w:rPr>
          <w:rFonts w:ascii="Century Gothic" w:hAnsi="Century Gothic"/>
        </w:rPr>
        <w:t>,</w:t>
      </w:r>
      <w:r w:rsidRPr="00CB29EF">
        <w:rPr>
          <w:rFonts w:ascii="Century Gothic" w:hAnsi="Century Gothic"/>
        </w:rPr>
        <w:t xml:space="preserve"> de manera directa</w:t>
      </w:r>
      <w:r w:rsidR="00542EFA" w:rsidRPr="00CB29EF">
        <w:rPr>
          <w:rFonts w:ascii="Century Gothic" w:hAnsi="Century Gothic"/>
        </w:rPr>
        <w:t>,</w:t>
      </w:r>
      <w:r w:rsidRPr="00CB29EF">
        <w:rPr>
          <w:rFonts w:ascii="Century Gothic" w:hAnsi="Century Gothic"/>
        </w:rPr>
        <w:t xml:space="preserve"> el primer nivel de atención</w:t>
      </w:r>
      <w:r w:rsidR="00542EFA" w:rsidRPr="00CB29EF">
        <w:rPr>
          <w:rFonts w:ascii="Century Gothic" w:hAnsi="Century Gothic"/>
        </w:rPr>
        <w:t xml:space="preserve"> en salud, a nivel nacional. </w:t>
      </w:r>
    </w:p>
    <w:p w:rsidR="00BE4A02" w:rsidRPr="00CB29EF" w:rsidRDefault="00542EFA" w:rsidP="00AF11D4">
      <w:pPr>
        <w:spacing w:before="200" w:line="276" w:lineRule="auto"/>
        <w:jc w:val="both"/>
        <w:rPr>
          <w:rFonts w:ascii="Century Gothic" w:hAnsi="Century Gothic"/>
        </w:rPr>
      </w:pPr>
      <w:r w:rsidRPr="00CB29EF">
        <w:rPr>
          <w:rFonts w:ascii="Century Gothic" w:hAnsi="Century Gothic"/>
        </w:rPr>
        <w:t xml:space="preserve">  </w:t>
      </w:r>
    </w:p>
    <w:p w:rsidR="00740CEA" w:rsidRPr="00CB29EF" w:rsidRDefault="00740CEA" w:rsidP="00BE4A02">
      <w:pPr>
        <w:jc w:val="both"/>
        <w:rPr>
          <w:rFonts w:ascii="Century Gothic" w:hAnsi="Century Gothic"/>
        </w:rPr>
      </w:pPr>
    </w:p>
    <w:p w:rsidR="001E4319" w:rsidRPr="00CB29EF" w:rsidRDefault="001E4319" w:rsidP="00BE4A02">
      <w:pPr>
        <w:jc w:val="both"/>
        <w:rPr>
          <w:rFonts w:ascii="Century Gothic" w:hAnsi="Century Gothic"/>
          <w:highlight w:val="magenta"/>
        </w:rPr>
      </w:pPr>
    </w:p>
    <w:p w:rsidR="00F168B1" w:rsidRPr="00CB29EF" w:rsidRDefault="00F168B1" w:rsidP="00BE4A02">
      <w:pPr>
        <w:jc w:val="both"/>
        <w:rPr>
          <w:rFonts w:ascii="Century Gothic" w:hAnsi="Century Gothic"/>
        </w:rPr>
      </w:pPr>
    </w:p>
    <w:p w:rsidR="00BE4A02" w:rsidRPr="00CB29EF" w:rsidRDefault="00BE4A02" w:rsidP="00381D10">
      <w:pPr>
        <w:pStyle w:val="Ttulo2"/>
        <w:numPr>
          <w:ilvl w:val="0"/>
          <w:numId w:val="10"/>
        </w:numPr>
        <w:rPr>
          <w:b/>
          <w:color w:val="auto"/>
        </w:rPr>
      </w:pPr>
      <w:bookmarkStart w:id="19" w:name="_Toc424558689"/>
      <w:bookmarkStart w:id="20" w:name="_Toc491684897"/>
      <w:r w:rsidRPr="00CB29EF">
        <w:rPr>
          <w:b/>
          <w:color w:val="auto"/>
        </w:rPr>
        <w:t>ANTECEDENTES</w:t>
      </w:r>
      <w:bookmarkEnd w:id="19"/>
      <w:bookmarkEnd w:id="20"/>
      <w:r w:rsidRPr="00CB29EF">
        <w:rPr>
          <w:b/>
          <w:color w:val="auto"/>
        </w:rPr>
        <w:t xml:space="preserve"> </w:t>
      </w:r>
    </w:p>
    <w:p w:rsidR="00BE4A02" w:rsidRPr="00CB29EF" w:rsidRDefault="00BE4A02" w:rsidP="00DA501E">
      <w:pPr>
        <w:spacing w:before="200" w:line="276" w:lineRule="auto"/>
        <w:jc w:val="both"/>
        <w:rPr>
          <w:rFonts w:ascii="Century Gothic" w:hAnsi="Century Gothic"/>
        </w:rPr>
      </w:pPr>
      <w:r w:rsidRPr="00CB29EF">
        <w:rPr>
          <w:rFonts w:ascii="Century Gothic" w:hAnsi="Century Gothic"/>
        </w:rPr>
        <w:t xml:space="preserve">En el período </w:t>
      </w:r>
      <w:r w:rsidR="00D13FA9" w:rsidRPr="00CB29EF">
        <w:rPr>
          <w:rFonts w:ascii="Century Gothic" w:hAnsi="Century Gothic"/>
        </w:rPr>
        <w:t xml:space="preserve">comprendido de </w:t>
      </w:r>
      <w:r w:rsidR="00DA501E" w:rsidRPr="00CB29EF">
        <w:rPr>
          <w:rFonts w:ascii="Century Gothic" w:hAnsi="Century Gothic"/>
        </w:rPr>
        <w:t>junio 201</w:t>
      </w:r>
      <w:r w:rsidR="00542EFA" w:rsidRPr="00CB29EF">
        <w:rPr>
          <w:rFonts w:ascii="Century Gothic" w:hAnsi="Century Gothic"/>
        </w:rPr>
        <w:t>6</w:t>
      </w:r>
      <w:r w:rsidR="00DA501E" w:rsidRPr="00CB29EF">
        <w:rPr>
          <w:rFonts w:ascii="Century Gothic" w:hAnsi="Century Gothic"/>
        </w:rPr>
        <w:t xml:space="preserve"> a </w:t>
      </w:r>
      <w:r w:rsidR="00AF11D4" w:rsidRPr="00CB29EF">
        <w:rPr>
          <w:rFonts w:ascii="Century Gothic" w:hAnsi="Century Gothic"/>
        </w:rPr>
        <w:t>julio</w:t>
      </w:r>
      <w:r w:rsidR="00DA501E" w:rsidRPr="00CB29EF">
        <w:rPr>
          <w:rFonts w:ascii="Century Gothic" w:hAnsi="Century Gothic"/>
        </w:rPr>
        <w:t xml:space="preserve"> 201</w:t>
      </w:r>
      <w:r w:rsidR="00542EFA" w:rsidRPr="00CB29EF">
        <w:rPr>
          <w:rFonts w:ascii="Century Gothic" w:hAnsi="Century Gothic"/>
        </w:rPr>
        <w:t>7</w:t>
      </w:r>
      <w:r w:rsidR="00D13FA9" w:rsidRPr="00CB29EF">
        <w:rPr>
          <w:rFonts w:ascii="Century Gothic" w:hAnsi="Century Gothic"/>
        </w:rPr>
        <w:t>, destaca</w:t>
      </w:r>
      <w:r w:rsidR="005E564B" w:rsidRPr="00CB29EF">
        <w:rPr>
          <w:rFonts w:ascii="Century Gothic" w:hAnsi="Century Gothic"/>
        </w:rPr>
        <w:t>n</w:t>
      </w:r>
      <w:r w:rsidR="00D13FA9" w:rsidRPr="00CB29EF">
        <w:rPr>
          <w:rFonts w:ascii="Century Gothic" w:hAnsi="Century Gothic"/>
        </w:rPr>
        <w:t xml:space="preserve"> </w:t>
      </w:r>
      <w:r w:rsidRPr="00CB29EF">
        <w:rPr>
          <w:rFonts w:ascii="Century Gothic" w:hAnsi="Century Gothic"/>
        </w:rPr>
        <w:t>los siguientes logros:</w:t>
      </w:r>
      <w:r w:rsidR="00BD37B3" w:rsidRPr="00CB29EF">
        <w:rPr>
          <w:rFonts w:ascii="Century Gothic" w:hAnsi="Century Gothic"/>
        </w:rPr>
        <w:t xml:space="preserve"> </w:t>
      </w:r>
    </w:p>
    <w:p w:rsidR="002818FC" w:rsidRPr="00CB29EF" w:rsidRDefault="002818FC" w:rsidP="00DA501E">
      <w:pPr>
        <w:spacing w:before="200" w:line="276" w:lineRule="auto"/>
        <w:jc w:val="both"/>
        <w:rPr>
          <w:rFonts w:ascii="Century Gothic" w:hAnsi="Century Gothic"/>
        </w:rPr>
      </w:pPr>
    </w:p>
    <w:p w:rsidR="00775AC7" w:rsidRPr="00CB29EF" w:rsidRDefault="002818FC" w:rsidP="00F26A85">
      <w:pPr>
        <w:pStyle w:val="Prrafodelista"/>
        <w:numPr>
          <w:ilvl w:val="3"/>
          <w:numId w:val="1"/>
        </w:numPr>
        <w:ind w:left="709"/>
        <w:jc w:val="both"/>
        <w:rPr>
          <w:rFonts w:ascii="Century Gothic" w:hAnsi="Century Gothic"/>
        </w:rPr>
      </w:pPr>
      <w:r w:rsidRPr="00CB29EF">
        <w:rPr>
          <w:rFonts w:ascii="Century Gothic" w:hAnsi="Century Gothic"/>
        </w:rPr>
        <w:t xml:space="preserve">El ISBM ha tenido avances importantes en </w:t>
      </w:r>
      <w:r w:rsidR="001F4524" w:rsidRPr="00CB29EF">
        <w:rPr>
          <w:rFonts w:ascii="Century Gothic" w:hAnsi="Century Gothic"/>
        </w:rPr>
        <w:t xml:space="preserve">el </w:t>
      </w:r>
      <w:r w:rsidR="00802106" w:rsidRPr="00CB29EF">
        <w:rPr>
          <w:rFonts w:ascii="Century Gothic" w:hAnsi="Century Gothic"/>
        </w:rPr>
        <w:t>período</w:t>
      </w:r>
      <w:r w:rsidR="008D5571" w:rsidRPr="00CB29EF">
        <w:rPr>
          <w:rFonts w:ascii="Century Gothic" w:hAnsi="Century Gothic"/>
        </w:rPr>
        <w:t>,</w:t>
      </w:r>
      <w:r w:rsidR="00802106" w:rsidRPr="00CB29EF">
        <w:rPr>
          <w:rFonts w:ascii="Century Gothic" w:hAnsi="Century Gothic"/>
        </w:rPr>
        <w:t xml:space="preserve"> ya que cada vez se consolida más </w:t>
      </w:r>
      <w:r w:rsidRPr="00CB29EF">
        <w:rPr>
          <w:rFonts w:ascii="Century Gothic" w:hAnsi="Century Gothic"/>
        </w:rPr>
        <w:t xml:space="preserve">el proyecto de </w:t>
      </w:r>
      <w:r w:rsidR="008D5571" w:rsidRPr="00CB29EF">
        <w:rPr>
          <w:rFonts w:ascii="Century Gothic" w:hAnsi="Century Gothic"/>
        </w:rPr>
        <w:t>P</w:t>
      </w:r>
      <w:r w:rsidRPr="00CB29EF">
        <w:rPr>
          <w:rFonts w:ascii="Century Gothic" w:hAnsi="Century Gothic"/>
        </w:rPr>
        <w:t xml:space="preserve">oliclínicos y </w:t>
      </w:r>
      <w:r w:rsidR="008D5571" w:rsidRPr="00CB29EF">
        <w:rPr>
          <w:rFonts w:ascii="Century Gothic" w:hAnsi="Century Gothic"/>
        </w:rPr>
        <w:t>C</w:t>
      </w:r>
      <w:r w:rsidRPr="00CB29EF">
        <w:rPr>
          <w:rFonts w:ascii="Century Gothic" w:hAnsi="Century Gothic"/>
        </w:rPr>
        <w:t>on</w:t>
      </w:r>
      <w:r w:rsidRPr="00CB29EF">
        <w:rPr>
          <w:rFonts w:ascii="Century Gothic" w:hAnsi="Century Gothic"/>
        </w:rPr>
        <w:softHyphen/>
        <w:t xml:space="preserve">sultorios </w:t>
      </w:r>
      <w:r w:rsidR="008D5571" w:rsidRPr="00CB29EF">
        <w:rPr>
          <w:rFonts w:ascii="Century Gothic" w:hAnsi="Century Gothic"/>
        </w:rPr>
        <w:t>M</w:t>
      </w:r>
      <w:r w:rsidRPr="00CB29EF">
        <w:rPr>
          <w:rFonts w:ascii="Century Gothic" w:hAnsi="Century Gothic"/>
        </w:rPr>
        <w:t>agisteriales, implementado desde el año 2011</w:t>
      </w:r>
      <w:r w:rsidR="003E47E6" w:rsidRPr="00CB29EF">
        <w:rPr>
          <w:rFonts w:ascii="Century Gothic" w:hAnsi="Century Gothic"/>
        </w:rPr>
        <w:t>,</w:t>
      </w:r>
      <w:r w:rsidRPr="00CB29EF">
        <w:rPr>
          <w:rFonts w:ascii="Century Gothic" w:hAnsi="Century Gothic"/>
        </w:rPr>
        <w:t xml:space="preserve"> </w:t>
      </w:r>
      <w:r w:rsidR="008D5571" w:rsidRPr="00CB29EF">
        <w:rPr>
          <w:rFonts w:ascii="Century Gothic" w:hAnsi="Century Gothic"/>
        </w:rPr>
        <w:t xml:space="preserve">y </w:t>
      </w:r>
      <w:r w:rsidRPr="00CB29EF">
        <w:rPr>
          <w:rFonts w:ascii="Century Gothic" w:hAnsi="Century Gothic"/>
        </w:rPr>
        <w:t xml:space="preserve">que significa una de las principales apuestas en la mejora de los servicios de salud </w:t>
      </w:r>
      <w:r w:rsidR="008D5571" w:rsidRPr="00CB29EF">
        <w:rPr>
          <w:rFonts w:ascii="Century Gothic" w:hAnsi="Century Gothic"/>
        </w:rPr>
        <w:t>par</w:t>
      </w:r>
      <w:r w:rsidRPr="00CB29EF">
        <w:rPr>
          <w:rFonts w:ascii="Century Gothic" w:hAnsi="Century Gothic"/>
        </w:rPr>
        <w:t>a los docentes y sus grupos familiares</w:t>
      </w:r>
      <w:r w:rsidR="001114FE" w:rsidRPr="00CB29EF">
        <w:rPr>
          <w:rFonts w:ascii="Century Gothic" w:hAnsi="Century Gothic"/>
        </w:rPr>
        <w:t>. A</w:t>
      </w:r>
      <w:r w:rsidR="00F26A85" w:rsidRPr="00CB29EF">
        <w:rPr>
          <w:rFonts w:ascii="Century Gothic" w:hAnsi="Century Gothic"/>
        </w:rPr>
        <w:t>demás de los Policlínicos que ya se tenía</w:t>
      </w:r>
      <w:r w:rsidR="00B0554C" w:rsidRPr="00CB29EF">
        <w:rPr>
          <w:rFonts w:ascii="Century Gothic" w:hAnsi="Century Gothic"/>
        </w:rPr>
        <w:t>n</w:t>
      </w:r>
      <w:r w:rsidR="00F26A85" w:rsidRPr="00CB29EF">
        <w:rPr>
          <w:rFonts w:ascii="Century Gothic" w:hAnsi="Century Gothic"/>
        </w:rPr>
        <w:t>, este año el Consejo Directivo aprobó la reconversión en Policlínicos tipo “B”, de los que fueron los Consultorios de La Palma, Chalatenango; Santiago de María, Usulután; y Quezaltepeque, La Libertad</w:t>
      </w:r>
      <w:r w:rsidR="001114FE" w:rsidRPr="00CB29EF">
        <w:rPr>
          <w:rFonts w:ascii="Century Gothic" w:hAnsi="Century Gothic"/>
        </w:rPr>
        <w:t>;</w:t>
      </w:r>
      <w:r w:rsidR="00F26A85" w:rsidRPr="00CB29EF">
        <w:rPr>
          <w:rFonts w:ascii="Century Gothic" w:hAnsi="Century Gothic"/>
        </w:rPr>
        <w:t xml:space="preserve"> </w:t>
      </w:r>
      <w:r w:rsidR="001114FE" w:rsidRPr="00CB29EF">
        <w:rPr>
          <w:rFonts w:ascii="Century Gothic" w:hAnsi="Century Gothic"/>
        </w:rPr>
        <w:t>a</w:t>
      </w:r>
      <w:r w:rsidR="00F26A85" w:rsidRPr="00CB29EF">
        <w:rPr>
          <w:rFonts w:ascii="Century Gothic" w:hAnsi="Century Gothic"/>
        </w:rPr>
        <w:t>simismo, aprobaron la creación de los Consultorios de Armenia, en Sonsonate, y el de Cara Sucia en jurisdicción de San Francisco Menéndez, Ahuachap</w:t>
      </w:r>
      <w:r w:rsidR="00CF7579" w:rsidRPr="00CB29EF">
        <w:rPr>
          <w:rFonts w:ascii="Century Gothic" w:hAnsi="Century Gothic"/>
        </w:rPr>
        <w:t>án</w:t>
      </w:r>
      <w:r w:rsidR="00F26A85" w:rsidRPr="00CB29EF">
        <w:rPr>
          <w:rFonts w:ascii="Century Gothic" w:hAnsi="Century Gothic"/>
        </w:rPr>
        <w:t>,</w:t>
      </w:r>
    </w:p>
    <w:p w:rsidR="00775AC7" w:rsidRPr="00CB29EF" w:rsidRDefault="00775AC7" w:rsidP="00775AC7">
      <w:pPr>
        <w:pStyle w:val="Prrafodelista"/>
        <w:ind w:left="709"/>
        <w:jc w:val="both"/>
        <w:rPr>
          <w:rFonts w:ascii="Century Gothic" w:hAnsi="Century Gothic"/>
          <w:highlight w:val="yellow"/>
        </w:rPr>
      </w:pPr>
    </w:p>
    <w:p w:rsidR="00F26A85" w:rsidRPr="00CB29EF" w:rsidRDefault="00F26A85" w:rsidP="00F26A85">
      <w:pPr>
        <w:pStyle w:val="Prrafodelista"/>
        <w:ind w:left="709"/>
        <w:jc w:val="both"/>
        <w:rPr>
          <w:rFonts w:ascii="Century Gothic" w:hAnsi="Century Gothic"/>
        </w:rPr>
      </w:pPr>
      <w:r w:rsidRPr="00CB29EF">
        <w:rPr>
          <w:rFonts w:ascii="Century Gothic" w:hAnsi="Century Gothic"/>
        </w:rPr>
        <w:t>Seg</w:t>
      </w:r>
      <w:r w:rsidR="000D7755" w:rsidRPr="00CB29EF">
        <w:rPr>
          <w:rFonts w:ascii="Century Gothic" w:hAnsi="Century Gothic"/>
        </w:rPr>
        <w:t>ún datos actualizad</w:t>
      </w:r>
      <w:r w:rsidRPr="00CB29EF">
        <w:rPr>
          <w:rFonts w:ascii="Century Gothic" w:hAnsi="Century Gothic"/>
        </w:rPr>
        <w:t xml:space="preserve">os, </w:t>
      </w:r>
      <w:r w:rsidR="002818FC" w:rsidRPr="00CB29EF">
        <w:rPr>
          <w:rFonts w:ascii="Century Gothic" w:hAnsi="Century Gothic"/>
        </w:rPr>
        <w:t xml:space="preserve">como prestador directo de los servicios de salud en el primer nivel de atención, </w:t>
      </w:r>
      <w:r w:rsidR="002C064D" w:rsidRPr="00CB29EF">
        <w:rPr>
          <w:rFonts w:ascii="Century Gothic" w:hAnsi="Century Gothic"/>
        </w:rPr>
        <w:t xml:space="preserve">el </w:t>
      </w:r>
      <w:r w:rsidR="000D7755" w:rsidRPr="00CB29EF">
        <w:rPr>
          <w:rFonts w:ascii="Century Gothic" w:hAnsi="Century Gothic"/>
        </w:rPr>
        <w:t xml:space="preserve">Instituto </w:t>
      </w:r>
      <w:r w:rsidR="002C064D" w:rsidRPr="00CB29EF">
        <w:rPr>
          <w:rFonts w:ascii="Century Gothic" w:hAnsi="Century Gothic"/>
        </w:rPr>
        <w:t xml:space="preserve">tiene abiertos </w:t>
      </w:r>
      <w:r w:rsidR="000D7755" w:rsidRPr="00CB29EF">
        <w:rPr>
          <w:rFonts w:ascii="Century Gothic" w:hAnsi="Century Gothic"/>
        </w:rPr>
        <w:t>5</w:t>
      </w:r>
      <w:r w:rsidR="00084002" w:rsidRPr="00CB29EF">
        <w:rPr>
          <w:rFonts w:ascii="Century Gothic" w:hAnsi="Century Gothic"/>
        </w:rPr>
        <w:t>5</w:t>
      </w:r>
      <w:r w:rsidRPr="00CB29EF">
        <w:rPr>
          <w:rFonts w:ascii="Century Gothic" w:hAnsi="Century Gothic"/>
        </w:rPr>
        <w:t xml:space="preserve"> </w:t>
      </w:r>
      <w:r w:rsidR="002C064D" w:rsidRPr="00CB29EF">
        <w:rPr>
          <w:rFonts w:ascii="Century Gothic" w:hAnsi="Century Gothic"/>
        </w:rPr>
        <w:t>establecimientos</w:t>
      </w:r>
      <w:r w:rsidR="00962033" w:rsidRPr="00CB29EF">
        <w:rPr>
          <w:rFonts w:ascii="Century Gothic" w:hAnsi="Century Gothic"/>
        </w:rPr>
        <w:t xml:space="preserve"> a nivel nacional</w:t>
      </w:r>
      <w:r w:rsidR="001114FE" w:rsidRPr="00CB29EF">
        <w:rPr>
          <w:rFonts w:ascii="Century Gothic" w:hAnsi="Century Gothic"/>
        </w:rPr>
        <w:t>:</w:t>
      </w:r>
      <w:r w:rsidRPr="00CB29EF">
        <w:rPr>
          <w:rFonts w:ascii="Century Gothic" w:hAnsi="Century Gothic"/>
        </w:rPr>
        <w:t xml:space="preserve"> 2</w:t>
      </w:r>
      <w:r w:rsidR="00B0554C" w:rsidRPr="00CB29EF">
        <w:rPr>
          <w:rFonts w:ascii="Century Gothic" w:hAnsi="Century Gothic"/>
        </w:rPr>
        <w:t>5</w:t>
      </w:r>
      <w:r w:rsidRPr="00CB29EF">
        <w:rPr>
          <w:rFonts w:ascii="Century Gothic" w:hAnsi="Century Gothic"/>
        </w:rPr>
        <w:t xml:space="preserve"> Policlínicos y 3</w:t>
      </w:r>
      <w:r w:rsidR="00084002" w:rsidRPr="00CB29EF">
        <w:rPr>
          <w:rFonts w:ascii="Century Gothic" w:hAnsi="Century Gothic"/>
        </w:rPr>
        <w:t>0</w:t>
      </w:r>
      <w:r w:rsidRPr="00CB29EF">
        <w:rPr>
          <w:rFonts w:ascii="Century Gothic" w:hAnsi="Century Gothic"/>
        </w:rPr>
        <w:t xml:space="preserve"> Consultorios</w:t>
      </w:r>
      <w:r w:rsidR="002C064D" w:rsidRPr="00CB29EF">
        <w:rPr>
          <w:rFonts w:ascii="Century Gothic" w:hAnsi="Century Gothic"/>
        </w:rPr>
        <w:t>.</w:t>
      </w:r>
      <w:r w:rsidR="00084002" w:rsidRPr="00CB29EF">
        <w:rPr>
          <w:rFonts w:ascii="Century Gothic" w:hAnsi="Century Gothic"/>
        </w:rPr>
        <w:t xml:space="preserve">  </w:t>
      </w:r>
    </w:p>
    <w:p w:rsidR="00F26A85" w:rsidRPr="00CB29EF" w:rsidRDefault="00F26A85" w:rsidP="00775AC7">
      <w:pPr>
        <w:pStyle w:val="Prrafodelista"/>
        <w:ind w:left="709"/>
        <w:jc w:val="both"/>
        <w:rPr>
          <w:rFonts w:ascii="Century Gothic" w:hAnsi="Century Gothic"/>
        </w:rPr>
      </w:pPr>
    </w:p>
    <w:p w:rsidR="002818FC" w:rsidRPr="00CB29EF" w:rsidRDefault="002818FC" w:rsidP="00775AC7">
      <w:pPr>
        <w:pStyle w:val="Prrafodelista"/>
        <w:ind w:left="709"/>
        <w:jc w:val="both"/>
        <w:rPr>
          <w:rFonts w:ascii="Century Gothic" w:hAnsi="Century Gothic"/>
        </w:rPr>
      </w:pPr>
      <w:r w:rsidRPr="00CB29EF">
        <w:rPr>
          <w:rFonts w:ascii="Century Gothic" w:hAnsi="Century Gothic"/>
        </w:rPr>
        <w:t>En 2</w:t>
      </w:r>
      <w:r w:rsidR="00B0554C" w:rsidRPr="00CB29EF">
        <w:rPr>
          <w:rFonts w:ascii="Century Gothic" w:hAnsi="Century Gothic"/>
        </w:rPr>
        <w:t>3</w:t>
      </w:r>
      <w:r w:rsidRPr="00CB29EF">
        <w:rPr>
          <w:rFonts w:ascii="Century Gothic" w:hAnsi="Century Gothic"/>
        </w:rPr>
        <w:t xml:space="preserve"> Policlínicos se cuenta con Botiquín institucional y</w:t>
      </w:r>
      <w:r w:rsidR="0047360F" w:rsidRPr="00CB29EF">
        <w:rPr>
          <w:rFonts w:ascii="Century Gothic" w:hAnsi="Century Gothic"/>
        </w:rPr>
        <w:t>,</w:t>
      </w:r>
      <w:r w:rsidRPr="00CB29EF">
        <w:rPr>
          <w:rFonts w:ascii="Century Gothic" w:hAnsi="Century Gothic"/>
        </w:rPr>
        <w:t xml:space="preserve"> en </w:t>
      </w:r>
      <w:r w:rsidR="00B0554C" w:rsidRPr="00CB29EF">
        <w:rPr>
          <w:rFonts w:ascii="Century Gothic" w:hAnsi="Century Gothic"/>
        </w:rPr>
        <w:t>seis</w:t>
      </w:r>
      <w:r w:rsidRPr="00CB29EF">
        <w:rPr>
          <w:rFonts w:ascii="Century Gothic" w:hAnsi="Century Gothic"/>
        </w:rPr>
        <w:t xml:space="preserve"> de ellos</w:t>
      </w:r>
      <w:r w:rsidR="0047360F" w:rsidRPr="00CB29EF">
        <w:rPr>
          <w:rFonts w:ascii="Century Gothic" w:hAnsi="Century Gothic"/>
        </w:rPr>
        <w:t>,</w:t>
      </w:r>
      <w:r w:rsidRPr="00CB29EF">
        <w:rPr>
          <w:rFonts w:ascii="Century Gothic" w:hAnsi="Century Gothic"/>
        </w:rPr>
        <w:t xml:space="preserve"> también se ha logrado brindar nuestros propios s</w:t>
      </w:r>
      <w:r w:rsidR="00B0554C" w:rsidRPr="00CB29EF">
        <w:rPr>
          <w:rFonts w:ascii="Century Gothic" w:hAnsi="Century Gothic"/>
        </w:rPr>
        <w:t>ervicios de laboratorio clínico</w:t>
      </w:r>
      <w:r w:rsidRPr="00CB29EF">
        <w:rPr>
          <w:rFonts w:ascii="Century Gothic" w:hAnsi="Century Gothic"/>
        </w:rPr>
        <w:t xml:space="preserve">. Los Policlínicos que aún no cuentan con Botiquín, lo tendrán a corto plazo, </w:t>
      </w:r>
      <w:r w:rsidR="002C064D" w:rsidRPr="00CB29EF">
        <w:rPr>
          <w:rFonts w:ascii="Century Gothic" w:hAnsi="Century Gothic"/>
        </w:rPr>
        <w:t>siendo estos</w:t>
      </w:r>
      <w:r w:rsidRPr="00CB29EF">
        <w:rPr>
          <w:rFonts w:ascii="Century Gothic" w:hAnsi="Century Gothic"/>
        </w:rPr>
        <w:t xml:space="preserve"> los </w:t>
      </w:r>
      <w:r w:rsidR="00B0554C" w:rsidRPr="00CB29EF">
        <w:rPr>
          <w:rFonts w:ascii="Century Gothic" w:hAnsi="Century Gothic"/>
        </w:rPr>
        <w:t>de La Palma y Quezaltepeque, que próximamente serán inaugurados como tales</w:t>
      </w:r>
      <w:r w:rsidR="002C064D" w:rsidRPr="00CB29EF">
        <w:rPr>
          <w:rFonts w:ascii="Century Gothic" w:hAnsi="Century Gothic"/>
        </w:rPr>
        <w:t>;</w:t>
      </w:r>
      <w:r w:rsidR="00B0554C" w:rsidRPr="00CB29EF">
        <w:rPr>
          <w:rFonts w:ascii="Century Gothic" w:hAnsi="Century Gothic"/>
        </w:rPr>
        <w:t xml:space="preserve"> así también</w:t>
      </w:r>
      <w:r w:rsidR="002C064D" w:rsidRPr="00CB29EF">
        <w:rPr>
          <w:rFonts w:ascii="Century Gothic" w:hAnsi="Century Gothic"/>
        </w:rPr>
        <w:t>,</w:t>
      </w:r>
      <w:r w:rsidR="00B0554C" w:rsidRPr="00CB29EF">
        <w:rPr>
          <w:rFonts w:ascii="Century Gothic" w:hAnsi="Century Gothic"/>
        </w:rPr>
        <w:t xml:space="preserve"> se espera inaugurar dentro de poco </w:t>
      </w:r>
      <w:r w:rsidR="002C064D" w:rsidRPr="00CB29EF">
        <w:rPr>
          <w:rFonts w:ascii="Century Gothic" w:hAnsi="Century Gothic"/>
        </w:rPr>
        <w:t>el</w:t>
      </w:r>
      <w:r w:rsidR="00B0554C" w:rsidRPr="00CB29EF">
        <w:rPr>
          <w:rFonts w:ascii="Century Gothic" w:hAnsi="Century Gothic"/>
        </w:rPr>
        <w:t xml:space="preserve"> Consultorio de Armenia y</w:t>
      </w:r>
      <w:r w:rsidR="002C064D" w:rsidRPr="00CB29EF">
        <w:rPr>
          <w:rFonts w:ascii="Century Gothic" w:hAnsi="Century Gothic"/>
        </w:rPr>
        <w:t>,</w:t>
      </w:r>
      <w:r w:rsidR="00B0554C" w:rsidRPr="00CB29EF">
        <w:rPr>
          <w:rFonts w:ascii="Century Gothic" w:hAnsi="Century Gothic"/>
        </w:rPr>
        <w:t xml:space="preserve"> </w:t>
      </w:r>
      <w:r w:rsidR="002C064D" w:rsidRPr="00CB29EF">
        <w:rPr>
          <w:rFonts w:ascii="Century Gothic" w:hAnsi="Century Gothic"/>
        </w:rPr>
        <w:t xml:space="preserve">después, </w:t>
      </w:r>
      <w:r w:rsidR="00B0554C" w:rsidRPr="00CB29EF">
        <w:rPr>
          <w:rFonts w:ascii="Century Gothic" w:hAnsi="Century Gothic"/>
        </w:rPr>
        <w:t>el de Cara Sucia</w:t>
      </w:r>
      <w:r w:rsidR="001114FE" w:rsidRPr="00CB29EF">
        <w:rPr>
          <w:rFonts w:ascii="Century Gothic" w:hAnsi="Century Gothic"/>
        </w:rPr>
        <w:t>. S</w:t>
      </w:r>
      <w:r w:rsidR="002C064D" w:rsidRPr="00CB29EF">
        <w:rPr>
          <w:rFonts w:ascii="Century Gothic" w:hAnsi="Century Gothic"/>
        </w:rPr>
        <w:t>e encuentra cerrado por problemas de inmueble, el Consultorio de San Juan Nonualco, La Paz</w:t>
      </w:r>
      <w:r w:rsidR="00B0554C" w:rsidRPr="00CB29EF">
        <w:rPr>
          <w:rFonts w:ascii="Century Gothic" w:hAnsi="Century Gothic"/>
        </w:rPr>
        <w:t xml:space="preserve">. </w:t>
      </w:r>
    </w:p>
    <w:p w:rsidR="002818FC" w:rsidRPr="00CB29EF" w:rsidRDefault="002818FC" w:rsidP="002818FC">
      <w:pPr>
        <w:pStyle w:val="Prrafodelista"/>
        <w:ind w:left="709"/>
        <w:jc w:val="both"/>
        <w:rPr>
          <w:rFonts w:ascii="Century Gothic" w:hAnsi="Century Gothic"/>
        </w:rPr>
      </w:pPr>
    </w:p>
    <w:p w:rsidR="002818FC" w:rsidRPr="00CB29EF" w:rsidRDefault="001C695B" w:rsidP="002818FC">
      <w:pPr>
        <w:pStyle w:val="Prrafodelista"/>
        <w:ind w:left="709"/>
        <w:jc w:val="both"/>
        <w:rPr>
          <w:rFonts w:ascii="Century Gothic" w:hAnsi="Century Gothic"/>
        </w:rPr>
      </w:pPr>
      <w:r w:rsidRPr="00CB29EF">
        <w:rPr>
          <w:rFonts w:ascii="Century Gothic" w:hAnsi="Century Gothic"/>
        </w:rPr>
        <w:t>Del mismo modo,</w:t>
      </w:r>
      <w:r w:rsidR="002818FC" w:rsidRPr="00CB29EF">
        <w:rPr>
          <w:rFonts w:ascii="Century Gothic" w:hAnsi="Century Gothic"/>
        </w:rPr>
        <w:t xml:space="preserve"> se cuenta con un Centro de Especialidades, 3 Centros Odontológicos</w:t>
      </w:r>
      <w:r w:rsidR="002D6B37" w:rsidRPr="00CB29EF">
        <w:rPr>
          <w:rFonts w:ascii="Century Gothic" w:hAnsi="Century Gothic"/>
        </w:rPr>
        <w:t>,</w:t>
      </w:r>
      <w:r w:rsidR="002818FC" w:rsidRPr="00CB29EF">
        <w:rPr>
          <w:rFonts w:ascii="Century Gothic" w:hAnsi="Century Gothic"/>
        </w:rPr>
        <w:t xml:space="preserve"> 3 Centros de Atención en Fisioterapia</w:t>
      </w:r>
      <w:r w:rsidR="002D6B37" w:rsidRPr="00CB29EF">
        <w:rPr>
          <w:rFonts w:ascii="Century Gothic" w:hAnsi="Century Gothic"/>
        </w:rPr>
        <w:t xml:space="preserve"> </w:t>
      </w:r>
      <w:r w:rsidRPr="00CB29EF">
        <w:rPr>
          <w:rFonts w:ascii="Century Gothic" w:hAnsi="Century Gothic"/>
        </w:rPr>
        <w:t>y 2</w:t>
      </w:r>
      <w:r w:rsidR="002D6B37" w:rsidRPr="00CB29EF">
        <w:rPr>
          <w:rFonts w:ascii="Century Gothic" w:hAnsi="Century Gothic"/>
        </w:rPr>
        <w:t xml:space="preserve"> Centros de Atención Regional</w:t>
      </w:r>
      <w:r w:rsidR="002818FC" w:rsidRPr="00CB29EF">
        <w:rPr>
          <w:rFonts w:ascii="Century Gothic" w:hAnsi="Century Gothic"/>
        </w:rPr>
        <w:t>.</w:t>
      </w:r>
    </w:p>
    <w:p w:rsidR="002818FC" w:rsidRPr="00CB29EF" w:rsidRDefault="002818FC" w:rsidP="002818FC">
      <w:pPr>
        <w:pStyle w:val="Prrafodelista"/>
        <w:ind w:left="709"/>
        <w:jc w:val="both"/>
        <w:rPr>
          <w:rFonts w:ascii="Century Gothic" w:hAnsi="Century Gothic"/>
        </w:rPr>
      </w:pPr>
    </w:p>
    <w:p w:rsidR="002818FC" w:rsidRPr="00CB29EF" w:rsidRDefault="002818FC" w:rsidP="002818FC">
      <w:pPr>
        <w:pStyle w:val="Prrafodelista"/>
        <w:spacing w:before="200" w:after="0"/>
        <w:ind w:left="709"/>
        <w:jc w:val="both"/>
        <w:rPr>
          <w:rFonts w:ascii="Century Gothic" w:hAnsi="Century Gothic"/>
        </w:rPr>
      </w:pPr>
      <w:r w:rsidRPr="00CB29EF">
        <w:rPr>
          <w:rFonts w:ascii="Century Gothic" w:hAnsi="Century Gothic"/>
        </w:rPr>
        <w:t>Es importante hacer énfasis en el trabajo que se ha desarrollado en el área de la salud mental, la prevención y el auto cuido</w:t>
      </w:r>
      <w:r w:rsidR="001114FE" w:rsidRPr="00CB29EF">
        <w:rPr>
          <w:rFonts w:ascii="Century Gothic" w:hAnsi="Century Gothic"/>
        </w:rPr>
        <w:t>. L</w:t>
      </w:r>
      <w:r w:rsidRPr="00CB29EF">
        <w:rPr>
          <w:rFonts w:ascii="Century Gothic" w:hAnsi="Century Gothic"/>
        </w:rPr>
        <w:t>a atención en estas áreas permite que no existan graves perturbaciones en el equilibrio psicológico y emocional por cuadros depresivos, trastornos del estado de ánimo y el estrés laboral, familiar y social; se evitan compli</w:t>
      </w:r>
      <w:r w:rsidRPr="00CB29EF">
        <w:rPr>
          <w:rFonts w:ascii="Century Gothic" w:hAnsi="Century Gothic"/>
        </w:rPr>
        <w:softHyphen/>
        <w:t>caciones clínicas y se logra una pronta recuperación de la salud. Con estos enfoques, se realizaron intervenciones en varios centros educativos mejorando la capacidad de resiliencia de la población atendida y la salud de las comunidades educativas.</w:t>
      </w:r>
    </w:p>
    <w:p w:rsidR="002818FC" w:rsidRPr="00CB29EF" w:rsidRDefault="002818FC" w:rsidP="002818FC">
      <w:pPr>
        <w:pStyle w:val="Prrafodelista"/>
        <w:spacing w:before="200" w:after="0"/>
        <w:ind w:left="709"/>
        <w:jc w:val="both"/>
        <w:rPr>
          <w:rFonts w:ascii="Century Gothic" w:hAnsi="Century Gothic"/>
          <w:highlight w:val="yellow"/>
        </w:rPr>
      </w:pPr>
    </w:p>
    <w:p w:rsidR="002818FC" w:rsidRPr="00CB29EF" w:rsidRDefault="002818FC" w:rsidP="002818FC">
      <w:pPr>
        <w:pStyle w:val="Prrafodelista"/>
        <w:numPr>
          <w:ilvl w:val="3"/>
          <w:numId w:val="1"/>
        </w:numPr>
        <w:ind w:left="709" w:hanging="357"/>
        <w:jc w:val="both"/>
        <w:rPr>
          <w:rFonts w:ascii="Century Gothic" w:hAnsi="Century Gothic"/>
        </w:rPr>
      </w:pPr>
      <w:r w:rsidRPr="00CB29EF">
        <w:rPr>
          <w:rFonts w:ascii="Century Gothic" w:hAnsi="Century Gothic"/>
        </w:rPr>
        <w:t>Con la finalidad de apoyar a</w:t>
      </w:r>
      <w:r w:rsidR="001114FE" w:rsidRPr="00CB29EF">
        <w:rPr>
          <w:rFonts w:ascii="Century Gothic" w:hAnsi="Century Gothic"/>
        </w:rPr>
        <w:t xml:space="preserve"> </w:t>
      </w:r>
      <w:r w:rsidRPr="00CB29EF">
        <w:rPr>
          <w:rFonts w:ascii="Century Gothic" w:hAnsi="Century Gothic"/>
        </w:rPr>
        <w:t>l</w:t>
      </w:r>
      <w:r w:rsidR="001114FE" w:rsidRPr="00CB29EF">
        <w:rPr>
          <w:rFonts w:ascii="Century Gothic" w:hAnsi="Century Gothic"/>
        </w:rPr>
        <w:t>a comunidad</w:t>
      </w:r>
      <w:r w:rsidRPr="00CB29EF">
        <w:rPr>
          <w:rFonts w:ascii="Century Gothic" w:hAnsi="Century Gothic"/>
        </w:rPr>
        <w:t xml:space="preserve"> usuari</w:t>
      </w:r>
      <w:r w:rsidR="001114FE" w:rsidRPr="00CB29EF">
        <w:rPr>
          <w:rFonts w:ascii="Century Gothic" w:hAnsi="Century Gothic"/>
        </w:rPr>
        <w:t>a</w:t>
      </w:r>
      <w:r w:rsidRPr="00CB29EF">
        <w:rPr>
          <w:rFonts w:ascii="Century Gothic" w:hAnsi="Century Gothic"/>
        </w:rPr>
        <w:t xml:space="preserve"> en la optimización de su tiempo de actividades esco</w:t>
      </w:r>
      <w:r w:rsidRPr="00CB29EF">
        <w:rPr>
          <w:rFonts w:ascii="Century Gothic" w:hAnsi="Century Gothic"/>
        </w:rPr>
        <w:softHyphen/>
        <w:t>lares, se llevó a cabo la ampliación de horarios en</w:t>
      </w:r>
      <w:r w:rsidR="001114FE" w:rsidRPr="00CB29EF">
        <w:rPr>
          <w:rFonts w:ascii="Century Gothic" w:hAnsi="Century Gothic"/>
        </w:rPr>
        <w:t xml:space="preserve"> los</w:t>
      </w:r>
      <w:r w:rsidRPr="00CB29EF">
        <w:rPr>
          <w:rFonts w:ascii="Century Gothic" w:hAnsi="Century Gothic"/>
        </w:rPr>
        <w:t xml:space="preserve"> Policlínicos Magisteriales de Santa Ana, San Salvador, Santa Tecla y Soyapango</w:t>
      </w:r>
      <w:r w:rsidR="001114FE" w:rsidRPr="00CB29EF">
        <w:rPr>
          <w:rFonts w:ascii="Century Gothic" w:hAnsi="Century Gothic"/>
        </w:rPr>
        <w:t>,</w:t>
      </w:r>
      <w:r w:rsidRPr="00CB29EF">
        <w:rPr>
          <w:rFonts w:ascii="Century Gothic" w:hAnsi="Century Gothic"/>
        </w:rPr>
        <w:t xml:space="preserve"> en horarios de lunes a viernes de 6:00 am a 6:00 pm, manteniéndose los días sábado en horario regular de 7:00 am a 12:00 m. Actualmente se estudia qué otros establecimientos necesitarían también, de forma gradual, ampliar su horario de atención.</w:t>
      </w:r>
    </w:p>
    <w:p w:rsidR="002818FC" w:rsidRPr="00CB29EF" w:rsidRDefault="002818FC" w:rsidP="002818FC">
      <w:pPr>
        <w:pStyle w:val="Prrafodelista"/>
        <w:ind w:left="709"/>
        <w:jc w:val="both"/>
        <w:rPr>
          <w:rFonts w:ascii="Century Gothic" w:hAnsi="Century Gothic"/>
        </w:rPr>
      </w:pPr>
    </w:p>
    <w:p w:rsidR="002818FC" w:rsidRPr="00CB29EF" w:rsidRDefault="002818FC" w:rsidP="002818FC">
      <w:pPr>
        <w:pStyle w:val="Prrafodelista"/>
        <w:numPr>
          <w:ilvl w:val="3"/>
          <w:numId w:val="1"/>
        </w:numPr>
        <w:ind w:left="709"/>
        <w:jc w:val="both"/>
        <w:rPr>
          <w:rFonts w:ascii="Century Gothic" w:hAnsi="Century Gothic"/>
        </w:rPr>
      </w:pPr>
      <w:r w:rsidRPr="00CB29EF">
        <w:rPr>
          <w:rFonts w:ascii="Century Gothic" w:hAnsi="Century Gothic"/>
        </w:rPr>
        <w:t>El patrimonio institucional se vio fortalecido ya que se adquirieron dos inmuebles para funcionamiento de establecimientos institucionales, uno en la ciudad de San Salvador y el otro en Sensuntepeque, Cabañas, lo cual representa una inversión de $ 515,000.00.</w:t>
      </w:r>
    </w:p>
    <w:p w:rsidR="002818FC" w:rsidRPr="00CB29EF" w:rsidRDefault="002818FC" w:rsidP="002818FC">
      <w:pPr>
        <w:pStyle w:val="Prrafodelista"/>
        <w:rPr>
          <w:rFonts w:ascii="Century Gothic" w:hAnsi="Century Gothic"/>
        </w:rPr>
      </w:pPr>
    </w:p>
    <w:p w:rsidR="002818FC" w:rsidRPr="00CB29EF" w:rsidRDefault="002818FC" w:rsidP="002818FC">
      <w:pPr>
        <w:pStyle w:val="Prrafodelista"/>
        <w:ind w:left="709"/>
        <w:jc w:val="both"/>
        <w:rPr>
          <w:rFonts w:ascii="Century Gothic" w:hAnsi="Century Gothic"/>
        </w:rPr>
      </w:pPr>
      <w:r w:rsidRPr="00CB29EF">
        <w:rPr>
          <w:rFonts w:ascii="Century Gothic" w:hAnsi="Century Gothic"/>
        </w:rPr>
        <w:t>Además, se adquirió un microbús para uso de las diferentes actividades institucionales, realizando una inversión de $16,249.77.</w:t>
      </w:r>
    </w:p>
    <w:p w:rsidR="002818FC" w:rsidRPr="00CB29EF" w:rsidRDefault="002818FC" w:rsidP="002818FC">
      <w:pPr>
        <w:pStyle w:val="Prrafodelista"/>
        <w:rPr>
          <w:rFonts w:ascii="Century Gothic" w:hAnsi="Century Gothic"/>
        </w:rPr>
      </w:pPr>
    </w:p>
    <w:p w:rsidR="002818FC" w:rsidRPr="00CB29EF" w:rsidRDefault="002818FC" w:rsidP="002818FC">
      <w:pPr>
        <w:pStyle w:val="Prrafodelista"/>
        <w:numPr>
          <w:ilvl w:val="3"/>
          <w:numId w:val="1"/>
        </w:numPr>
        <w:ind w:left="709"/>
        <w:jc w:val="both"/>
        <w:rPr>
          <w:rFonts w:ascii="Century Gothic" w:hAnsi="Century Gothic"/>
        </w:rPr>
      </w:pPr>
      <w:r w:rsidRPr="00CB29EF">
        <w:rPr>
          <w:rFonts w:ascii="Century Gothic" w:hAnsi="Century Gothic"/>
        </w:rPr>
        <w:t xml:space="preserve">Durante el período comprendido específicamente entre junio 2016 a julio 2017, se obtuvieron productos financieros por arriba de los tres millones de dólares, derivados de inversiones en el sistema financiero y la buena administración de los recursos. </w:t>
      </w:r>
      <w:r w:rsidRPr="00CB29EF">
        <w:rPr>
          <w:rFonts w:eastAsia="Calibri" w:cs="Calibri"/>
          <w:w w:val="99"/>
          <w:sz w:val="48"/>
          <w:szCs w:val="48"/>
        </w:rPr>
        <w:t xml:space="preserve"> </w:t>
      </w:r>
    </w:p>
    <w:p w:rsidR="002818FC" w:rsidRPr="00CB29EF" w:rsidRDefault="002818FC" w:rsidP="002818FC">
      <w:pPr>
        <w:pStyle w:val="Prrafodelista"/>
        <w:rPr>
          <w:rFonts w:ascii="Century Gothic" w:hAnsi="Century Gothic"/>
        </w:rPr>
      </w:pPr>
    </w:p>
    <w:p w:rsidR="002818FC" w:rsidRPr="00CB29EF" w:rsidRDefault="002818FC" w:rsidP="002818FC">
      <w:pPr>
        <w:pStyle w:val="Prrafodelista"/>
        <w:numPr>
          <w:ilvl w:val="3"/>
          <w:numId w:val="1"/>
        </w:numPr>
        <w:ind w:left="709"/>
        <w:jc w:val="both"/>
        <w:rPr>
          <w:rFonts w:ascii="Century Gothic" w:hAnsi="Century Gothic"/>
        </w:rPr>
      </w:pPr>
      <w:r w:rsidRPr="00CB29EF">
        <w:rPr>
          <w:rFonts w:ascii="Century Gothic" w:hAnsi="Century Gothic"/>
        </w:rPr>
        <w:t>Como parte del fortalecimiento de infraestructura se desarrollaron, en el período, los siguientes proyectos:</w:t>
      </w:r>
    </w:p>
    <w:p w:rsidR="002818FC" w:rsidRPr="00CB29EF" w:rsidRDefault="002818FC" w:rsidP="002818FC">
      <w:pPr>
        <w:pStyle w:val="Prrafodelista"/>
        <w:rPr>
          <w:rFonts w:ascii="Century Gothic" w:hAnsi="Century Gothic"/>
        </w:rPr>
      </w:pPr>
    </w:p>
    <w:p w:rsidR="002818FC" w:rsidRPr="00CB29EF" w:rsidRDefault="002818FC" w:rsidP="00D21DC1">
      <w:pPr>
        <w:pStyle w:val="Default"/>
        <w:numPr>
          <w:ilvl w:val="0"/>
          <w:numId w:val="45"/>
        </w:numPr>
        <w:spacing w:before="200" w:line="276" w:lineRule="auto"/>
        <w:jc w:val="both"/>
        <w:rPr>
          <w:rFonts w:ascii="Century Gothic" w:hAnsi="Century Gothic" w:cs="Times New Roman"/>
          <w:color w:val="auto"/>
          <w:sz w:val="22"/>
          <w:szCs w:val="22"/>
        </w:rPr>
      </w:pPr>
      <w:r w:rsidRPr="00CB29EF">
        <w:rPr>
          <w:rFonts w:ascii="Century Gothic" w:hAnsi="Century Gothic" w:cs="Times New Roman"/>
          <w:color w:val="auto"/>
          <w:sz w:val="22"/>
          <w:szCs w:val="22"/>
        </w:rPr>
        <w:t xml:space="preserve">Adecuación de edificio del ISBM para instalar Policlínico Magisterial de Santa Ana, bajo estándares de eficiencia energética, accesibilidad y funcionalidad, con una inversión de US$749,781.30. El proyecto fue inaugurado el pasado mes de abril de 2017 </w:t>
      </w:r>
    </w:p>
    <w:p w:rsidR="002818FC" w:rsidRPr="00CB29EF" w:rsidRDefault="002818FC" w:rsidP="002818FC">
      <w:pPr>
        <w:pStyle w:val="Default"/>
        <w:numPr>
          <w:ilvl w:val="0"/>
          <w:numId w:val="45"/>
        </w:numPr>
        <w:spacing w:before="200" w:line="276" w:lineRule="auto"/>
        <w:rPr>
          <w:rFonts w:ascii="Century Gothic" w:hAnsi="Century Gothic" w:cs="Times New Roman"/>
          <w:color w:val="auto"/>
          <w:sz w:val="22"/>
          <w:szCs w:val="22"/>
        </w:rPr>
      </w:pPr>
      <w:r w:rsidRPr="00CB29EF">
        <w:rPr>
          <w:rFonts w:ascii="Century Gothic" w:hAnsi="Century Gothic" w:cs="Times New Roman"/>
          <w:color w:val="auto"/>
          <w:sz w:val="22"/>
          <w:szCs w:val="22"/>
        </w:rPr>
        <w:t>Readecuación del área del Botiquín de San Salvador, con una inversión de US$26,466.34</w:t>
      </w:r>
      <w:r w:rsidR="001114FE" w:rsidRPr="00CB29EF">
        <w:rPr>
          <w:rFonts w:ascii="Century Gothic" w:hAnsi="Century Gothic" w:cs="Times New Roman"/>
          <w:color w:val="auto"/>
          <w:sz w:val="22"/>
          <w:szCs w:val="22"/>
        </w:rPr>
        <w:t>.</w:t>
      </w:r>
      <w:r w:rsidRPr="00CB29EF">
        <w:rPr>
          <w:rFonts w:ascii="Century Gothic" w:hAnsi="Century Gothic" w:cs="Times New Roman"/>
          <w:color w:val="auto"/>
          <w:sz w:val="22"/>
          <w:szCs w:val="22"/>
        </w:rPr>
        <w:t xml:space="preserve"> </w:t>
      </w:r>
    </w:p>
    <w:p w:rsidR="002818FC" w:rsidRPr="00CB29EF" w:rsidRDefault="002818FC" w:rsidP="002818FC">
      <w:pPr>
        <w:pStyle w:val="Default"/>
        <w:numPr>
          <w:ilvl w:val="0"/>
          <w:numId w:val="45"/>
        </w:numPr>
        <w:spacing w:before="200" w:line="276" w:lineRule="auto"/>
        <w:rPr>
          <w:rFonts w:ascii="Century Gothic" w:hAnsi="Century Gothic" w:cs="Times New Roman"/>
          <w:color w:val="auto"/>
          <w:sz w:val="22"/>
          <w:szCs w:val="22"/>
        </w:rPr>
      </w:pPr>
      <w:r w:rsidRPr="00CB29EF">
        <w:rPr>
          <w:rFonts w:ascii="Century Gothic" w:hAnsi="Century Gothic" w:cs="Times New Roman"/>
          <w:color w:val="auto"/>
          <w:sz w:val="22"/>
          <w:szCs w:val="22"/>
        </w:rPr>
        <w:t xml:space="preserve">Cerramiento perimetral en terreno rural, ubicado en cantón </w:t>
      </w:r>
      <w:r w:rsidR="001C3609" w:rsidRPr="00CB29EF">
        <w:rPr>
          <w:rFonts w:ascii="Century Gothic" w:hAnsi="Century Gothic" w:cs="Times New Roman"/>
          <w:color w:val="auto"/>
          <w:sz w:val="22"/>
          <w:szCs w:val="22"/>
        </w:rPr>
        <w:t>E</w:t>
      </w:r>
      <w:r w:rsidRPr="00CB29EF">
        <w:rPr>
          <w:rFonts w:ascii="Century Gothic" w:hAnsi="Century Gothic" w:cs="Times New Roman"/>
          <w:color w:val="auto"/>
          <w:sz w:val="22"/>
          <w:szCs w:val="22"/>
        </w:rPr>
        <w:t xml:space="preserve">l </w:t>
      </w:r>
      <w:r w:rsidR="001C3609" w:rsidRPr="00CB29EF">
        <w:rPr>
          <w:rFonts w:ascii="Century Gothic" w:hAnsi="Century Gothic" w:cs="Times New Roman"/>
          <w:color w:val="auto"/>
          <w:sz w:val="22"/>
          <w:szCs w:val="22"/>
        </w:rPr>
        <w:t>Z</w:t>
      </w:r>
      <w:r w:rsidRPr="00CB29EF">
        <w:rPr>
          <w:rFonts w:ascii="Century Gothic" w:hAnsi="Century Gothic" w:cs="Times New Roman"/>
          <w:color w:val="auto"/>
          <w:sz w:val="22"/>
          <w:szCs w:val="22"/>
        </w:rPr>
        <w:t>apote, municipio de Ayutuxtepeque, con una inversión de US$36,176.02</w:t>
      </w:r>
      <w:r w:rsidR="001114FE" w:rsidRPr="00CB29EF">
        <w:rPr>
          <w:rFonts w:ascii="Century Gothic" w:hAnsi="Century Gothic" w:cs="Times New Roman"/>
          <w:color w:val="auto"/>
          <w:sz w:val="22"/>
          <w:szCs w:val="22"/>
        </w:rPr>
        <w:t>.</w:t>
      </w:r>
      <w:r w:rsidRPr="00CB29EF">
        <w:rPr>
          <w:rFonts w:ascii="Century Gothic" w:hAnsi="Century Gothic" w:cs="Times New Roman"/>
          <w:color w:val="auto"/>
          <w:sz w:val="22"/>
          <w:szCs w:val="22"/>
        </w:rPr>
        <w:t xml:space="preserve"> </w:t>
      </w:r>
    </w:p>
    <w:p w:rsidR="002818FC" w:rsidRPr="00CB29EF" w:rsidRDefault="002818FC" w:rsidP="002818FC">
      <w:pPr>
        <w:pStyle w:val="Default"/>
        <w:numPr>
          <w:ilvl w:val="0"/>
          <w:numId w:val="45"/>
        </w:numPr>
        <w:spacing w:before="200" w:line="276" w:lineRule="auto"/>
        <w:rPr>
          <w:rFonts w:ascii="Century Gothic" w:hAnsi="Century Gothic" w:cs="Times New Roman"/>
          <w:color w:val="auto"/>
          <w:sz w:val="22"/>
          <w:szCs w:val="22"/>
        </w:rPr>
      </w:pPr>
      <w:r w:rsidRPr="00CB29EF">
        <w:rPr>
          <w:rFonts w:ascii="Century Gothic" w:hAnsi="Century Gothic" w:cs="Times New Roman"/>
          <w:color w:val="auto"/>
          <w:sz w:val="22"/>
          <w:szCs w:val="22"/>
        </w:rPr>
        <w:t>Remodelación y readecuación de áreas de recepción de documentos y comedor para el personal de Oficinas Centrales, con una inversión de US$ 39,792.19</w:t>
      </w:r>
      <w:r w:rsidR="001114FE" w:rsidRPr="00CB29EF">
        <w:rPr>
          <w:rFonts w:ascii="Century Gothic" w:hAnsi="Century Gothic" w:cs="Times New Roman"/>
          <w:color w:val="auto"/>
          <w:sz w:val="22"/>
          <w:szCs w:val="22"/>
        </w:rPr>
        <w:t>.</w:t>
      </w:r>
      <w:r w:rsidRPr="00CB29EF">
        <w:rPr>
          <w:rFonts w:ascii="Century Gothic" w:hAnsi="Century Gothic" w:cs="Times New Roman"/>
          <w:color w:val="auto"/>
          <w:sz w:val="22"/>
          <w:szCs w:val="22"/>
        </w:rPr>
        <w:t xml:space="preserve"> </w:t>
      </w:r>
    </w:p>
    <w:p w:rsidR="002818FC" w:rsidRDefault="002818FC" w:rsidP="002818FC">
      <w:pPr>
        <w:pStyle w:val="Default"/>
        <w:rPr>
          <w:sz w:val="22"/>
          <w:szCs w:val="22"/>
        </w:rPr>
      </w:pPr>
    </w:p>
    <w:p w:rsidR="002818FC" w:rsidRPr="00CB29EF" w:rsidRDefault="002818FC" w:rsidP="002818FC">
      <w:pPr>
        <w:pStyle w:val="Default"/>
        <w:spacing w:before="200" w:line="276" w:lineRule="auto"/>
        <w:ind w:left="709"/>
        <w:jc w:val="both"/>
        <w:rPr>
          <w:rFonts w:ascii="Century Gothic" w:hAnsi="Century Gothic" w:cs="Times New Roman"/>
          <w:color w:val="auto"/>
          <w:sz w:val="22"/>
          <w:szCs w:val="22"/>
        </w:rPr>
      </w:pPr>
      <w:r w:rsidRPr="00CB29EF">
        <w:rPr>
          <w:rFonts w:ascii="Century Gothic" w:hAnsi="Century Gothic" w:cs="Times New Roman"/>
          <w:color w:val="auto"/>
          <w:sz w:val="22"/>
          <w:szCs w:val="22"/>
        </w:rPr>
        <w:t>Es de mencionar</w:t>
      </w:r>
      <w:r w:rsidR="00907B0B" w:rsidRPr="00CB29EF">
        <w:rPr>
          <w:rFonts w:ascii="Century Gothic" w:hAnsi="Century Gothic" w:cs="Times New Roman"/>
          <w:color w:val="auto"/>
          <w:sz w:val="22"/>
          <w:szCs w:val="22"/>
        </w:rPr>
        <w:t>,</w:t>
      </w:r>
      <w:r w:rsidRPr="00CB29EF">
        <w:rPr>
          <w:rFonts w:ascii="Century Gothic" w:hAnsi="Century Gothic" w:cs="Times New Roman"/>
          <w:color w:val="auto"/>
          <w:sz w:val="22"/>
          <w:szCs w:val="22"/>
        </w:rPr>
        <w:t xml:space="preserve"> que en todos los proyectos de infraestructura se ha contemplado la incorporación de criterios de eficiencia energética en el uso de las luminarias y aires acondicionados. </w:t>
      </w:r>
    </w:p>
    <w:p w:rsidR="002818FC" w:rsidRPr="00CB29EF" w:rsidRDefault="002818FC" w:rsidP="002818FC">
      <w:pPr>
        <w:pStyle w:val="Default"/>
        <w:spacing w:before="200" w:line="276" w:lineRule="auto"/>
        <w:ind w:left="709"/>
        <w:jc w:val="both"/>
        <w:rPr>
          <w:rFonts w:ascii="Century Gothic" w:hAnsi="Century Gothic" w:cs="Times New Roman"/>
          <w:color w:val="auto"/>
          <w:sz w:val="22"/>
          <w:szCs w:val="22"/>
        </w:rPr>
      </w:pPr>
      <w:r w:rsidRPr="00CB29EF">
        <w:rPr>
          <w:rFonts w:ascii="Century Gothic" w:hAnsi="Century Gothic" w:cs="Times New Roman"/>
          <w:color w:val="auto"/>
          <w:sz w:val="22"/>
          <w:szCs w:val="22"/>
        </w:rPr>
        <w:t xml:space="preserve">También se hicieron otras intervenciones consideradas como menores en una decena de establecimientos, tales como pintura, readecuaciones y reparaciones menores, lo que significó una inversión mayor de US 97,000.00. </w:t>
      </w:r>
    </w:p>
    <w:p w:rsidR="002818FC" w:rsidRPr="00CB29EF" w:rsidRDefault="002818FC" w:rsidP="002818FC">
      <w:pPr>
        <w:pStyle w:val="Prrafodelista"/>
        <w:rPr>
          <w:rFonts w:ascii="Century Gothic" w:hAnsi="Century Gothic"/>
        </w:rPr>
      </w:pPr>
    </w:p>
    <w:p w:rsidR="002818FC" w:rsidRPr="00CB29EF" w:rsidRDefault="002818FC" w:rsidP="002818FC">
      <w:pPr>
        <w:pStyle w:val="Prrafodelista"/>
        <w:numPr>
          <w:ilvl w:val="3"/>
          <w:numId w:val="1"/>
        </w:numPr>
        <w:ind w:left="709"/>
        <w:jc w:val="both"/>
        <w:rPr>
          <w:rFonts w:ascii="Century Gothic" w:hAnsi="Century Gothic"/>
        </w:rPr>
      </w:pPr>
      <w:r w:rsidRPr="00CB29EF">
        <w:rPr>
          <w:rFonts w:ascii="Century Gothic" w:hAnsi="Century Gothic"/>
        </w:rPr>
        <w:t>En cuanto al área administrativa institucional, en febrero de 2017 se actualizó el Organigrama General, cambiando la denominación de la Sección de Archivo y Correspondencia por el de Sección de Gestión Documental y Archivos, de acuerdo a los lineamientos del Instituto de Acceso a la Información Pública.</w:t>
      </w:r>
    </w:p>
    <w:p w:rsidR="002818FC" w:rsidRPr="00CB29EF" w:rsidRDefault="002818FC" w:rsidP="002818FC">
      <w:pPr>
        <w:pStyle w:val="Prrafodelista"/>
        <w:ind w:left="709"/>
        <w:jc w:val="both"/>
        <w:rPr>
          <w:rFonts w:ascii="Century Gothic" w:hAnsi="Century Gothic"/>
        </w:rPr>
      </w:pPr>
    </w:p>
    <w:p w:rsidR="002818FC" w:rsidRPr="00CB29EF" w:rsidRDefault="002818FC" w:rsidP="002818FC">
      <w:pPr>
        <w:pStyle w:val="Prrafodelista"/>
        <w:ind w:left="709"/>
        <w:jc w:val="both"/>
        <w:rPr>
          <w:rFonts w:ascii="Century Gothic" w:hAnsi="Century Gothic"/>
        </w:rPr>
      </w:pPr>
      <w:r w:rsidRPr="00CB29EF">
        <w:rPr>
          <w:rFonts w:ascii="Century Gothic" w:hAnsi="Century Gothic"/>
        </w:rPr>
        <w:t>También se continuó efectuando acciones para fortalecer más el control interno administrativo institucional</w:t>
      </w:r>
      <w:r w:rsidR="00907B0B" w:rsidRPr="00CB29EF">
        <w:rPr>
          <w:rFonts w:ascii="Century Gothic" w:hAnsi="Century Gothic"/>
        </w:rPr>
        <w:t>,</w:t>
      </w:r>
      <w:r w:rsidRPr="00CB29EF">
        <w:rPr>
          <w:rFonts w:ascii="Century Gothic" w:hAnsi="Century Gothic"/>
        </w:rPr>
        <w:t xml:space="preserve"> a través de la actualización de los siguientes sistemas informáticos que se integran con el Sistema de Ejecución Presupuestaria:</w:t>
      </w:r>
    </w:p>
    <w:p w:rsidR="002818FC" w:rsidRPr="00CB29EF" w:rsidRDefault="002818FC" w:rsidP="002818FC">
      <w:pPr>
        <w:pStyle w:val="Prrafodelista"/>
        <w:ind w:left="709"/>
        <w:jc w:val="both"/>
        <w:rPr>
          <w:rFonts w:ascii="Century Gothic" w:hAnsi="Century Gothic"/>
        </w:rPr>
      </w:pPr>
    </w:p>
    <w:p w:rsidR="002818FC" w:rsidRPr="00CB29EF" w:rsidRDefault="002818FC" w:rsidP="002818FC">
      <w:pPr>
        <w:pStyle w:val="Prrafodelista"/>
        <w:numPr>
          <w:ilvl w:val="0"/>
          <w:numId w:val="42"/>
        </w:numPr>
        <w:jc w:val="both"/>
        <w:rPr>
          <w:rFonts w:ascii="Century Gothic" w:eastAsia="Arial" w:hAnsi="Century Gothic" w:cs="Arial"/>
          <w:lang w:eastAsia="es-SV"/>
        </w:rPr>
      </w:pPr>
      <w:r w:rsidRPr="00CB29EF">
        <w:rPr>
          <w:rFonts w:ascii="Century Gothic" w:eastAsia="Calibri" w:hAnsi="Century Gothic" w:cs="Calibri"/>
          <w:lang w:eastAsia="es-SV"/>
        </w:rPr>
        <w:t>Sistema del Expediente del Docente y su grupo familiar.</w:t>
      </w:r>
    </w:p>
    <w:p w:rsidR="002818FC" w:rsidRPr="00CB29EF" w:rsidRDefault="002818FC" w:rsidP="002818FC">
      <w:pPr>
        <w:pStyle w:val="Prrafodelista"/>
        <w:numPr>
          <w:ilvl w:val="0"/>
          <w:numId w:val="42"/>
        </w:numPr>
        <w:jc w:val="both"/>
        <w:rPr>
          <w:rFonts w:ascii="Century Gothic" w:eastAsia="Arial" w:hAnsi="Century Gothic" w:cs="Arial"/>
          <w:lang w:eastAsia="es-SV"/>
        </w:rPr>
      </w:pPr>
      <w:r w:rsidRPr="00CB29EF">
        <w:rPr>
          <w:rFonts w:ascii="Century Gothic" w:eastAsia="Calibri" w:hAnsi="Century Gothic" w:cs="Calibri"/>
          <w:lang w:eastAsia="es-SV"/>
        </w:rPr>
        <w:t>Sistema de Gestión de Procesos de Adquisiciones y Contrataciones.</w:t>
      </w:r>
    </w:p>
    <w:p w:rsidR="002818FC" w:rsidRPr="00CB29EF" w:rsidRDefault="002818FC" w:rsidP="002818FC">
      <w:pPr>
        <w:pStyle w:val="Prrafodelista"/>
        <w:numPr>
          <w:ilvl w:val="0"/>
          <w:numId w:val="42"/>
        </w:numPr>
        <w:ind w:hanging="357"/>
        <w:jc w:val="both"/>
        <w:rPr>
          <w:rFonts w:ascii="Century Gothic" w:eastAsia="Arial" w:hAnsi="Century Gothic" w:cs="Arial"/>
          <w:lang w:eastAsia="es-SV"/>
        </w:rPr>
      </w:pPr>
      <w:r w:rsidRPr="00CB29EF">
        <w:rPr>
          <w:rFonts w:ascii="Century Gothic" w:eastAsia="Calibri" w:hAnsi="Century Gothic" w:cs="Calibri"/>
          <w:lang w:eastAsia="es-SV"/>
        </w:rPr>
        <w:t>Sistema de Administración y Seguimiento de Pagos Institucionales.</w:t>
      </w:r>
    </w:p>
    <w:p w:rsidR="002818FC" w:rsidRPr="00CB29EF" w:rsidRDefault="002818FC" w:rsidP="002818FC">
      <w:pPr>
        <w:pStyle w:val="Prrafodelista"/>
        <w:numPr>
          <w:ilvl w:val="0"/>
          <w:numId w:val="42"/>
        </w:numPr>
        <w:jc w:val="both"/>
        <w:rPr>
          <w:rFonts w:ascii="Century Gothic" w:hAnsi="Century Gothic"/>
        </w:rPr>
      </w:pPr>
      <w:r w:rsidRPr="00CB29EF">
        <w:rPr>
          <w:rFonts w:ascii="Century Gothic" w:hAnsi="Century Gothic"/>
        </w:rPr>
        <w:t>Sistema de Desarrollo Humano.</w:t>
      </w:r>
    </w:p>
    <w:p w:rsidR="002818FC" w:rsidRPr="00CB29EF" w:rsidRDefault="002818FC" w:rsidP="002818FC">
      <w:pPr>
        <w:ind w:left="708"/>
        <w:jc w:val="both"/>
        <w:rPr>
          <w:rFonts w:ascii="Century Gothic" w:hAnsi="Century Gothic"/>
        </w:rPr>
      </w:pPr>
      <w:r w:rsidRPr="00CB29EF">
        <w:rPr>
          <w:rFonts w:ascii="Century Gothic" w:hAnsi="Century Gothic"/>
        </w:rPr>
        <w:t xml:space="preserve">Además, se aprobaron las Normas Técnicas de Control Interno </w:t>
      </w:r>
      <w:r w:rsidR="00907B0B" w:rsidRPr="00CB29EF">
        <w:rPr>
          <w:rFonts w:ascii="Century Gothic" w:hAnsi="Century Gothic"/>
        </w:rPr>
        <w:t xml:space="preserve">Específicas </w:t>
      </w:r>
      <w:r w:rsidRPr="00CB29EF">
        <w:rPr>
          <w:rFonts w:ascii="Century Gothic" w:hAnsi="Century Gothic"/>
        </w:rPr>
        <w:t>del ISBM, las cuales fueron publicadas en el Diario Oficial N° 20, Tomo 414, de fecha 30 de enero de 2017.</w:t>
      </w:r>
    </w:p>
    <w:p w:rsidR="002818FC" w:rsidRPr="00CB29EF" w:rsidRDefault="002818FC" w:rsidP="002818FC">
      <w:pPr>
        <w:spacing w:line="200" w:lineRule="exact"/>
        <w:ind w:left="708"/>
        <w:rPr>
          <w:rFonts w:ascii="Century Gothic" w:hAnsi="Century Gothic"/>
        </w:rPr>
      </w:pPr>
    </w:p>
    <w:p w:rsidR="002818FC" w:rsidRPr="00CB29EF" w:rsidRDefault="002818FC" w:rsidP="002818FC">
      <w:pPr>
        <w:pStyle w:val="Prrafodelista"/>
        <w:numPr>
          <w:ilvl w:val="3"/>
          <w:numId w:val="1"/>
        </w:numPr>
        <w:ind w:left="709"/>
        <w:jc w:val="both"/>
        <w:rPr>
          <w:rFonts w:ascii="Century Gothic" w:hAnsi="Century Gothic"/>
        </w:rPr>
      </w:pPr>
      <w:r w:rsidRPr="00CB29EF">
        <w:rPr>
          <w:rFonts w:ascii="Century Gothic" w:hAnsi="Century Gothic"/>
        </w:rPr>
        <w:t>El ISBM continuó trabajando de lleno con el Sistema Nacional de Salud, teniendo participación efectiva en los siguientes espacios:</w:t>
      </w:r>
    </w:p>
    <w:p w:rsidR="002818FC" w:rsidRPr="00CB29EF" w:rsidRDefault="002818FC" w:rsidP="002818FC">
      <w:pPr>
        <w:pStyle w:val="Prrafodelista"/>
        <w:numPr>
          <w:ilvl w:val="0"/>
          <w:numId w:val="41"/>
        </w:numPr>
        <w:tabs>
          <w:tab w:val="left" w:pos="546"/>
        </w:tabs>
        <w:rPr>
          <w:rFonts w:ascii="Century Gothic" w:eastAsia="Arial" w:hAnsi="Century Gothic" w:cs="Arial"/>
          <w:lang w:eastAsia="es-SV"/>
        </w:rPr>
      </w:pPr>
      <w:r w:rsidRPr="00CB29EF">
        <w:rPr>
          <w:rFonts w:ascii="Century Gothic" w:eastAsia="Calibri" w:hAnsi="Century Gothic" w:cs="Calibri"/>
          <w:lang w:eastAsia="es-SV"/>
        </w:rPr>
        <w:t>Comisión Intersectorial de Salud (CISALUD) (POLÍTICA Y TÉCNICA).</w:t>
      </w:r>
    </w:p>
    <w:p w:rsidR="002818FC" w:rsidRPr="00CB29EF" w:rsidRDefault="002818FC" w:rsidP="002818FC">
      <w:pPr>
        <w:pStyle w:val="Prrafodelista"/>
        <w:numPr>
          <w:ilvl w:val="0"/>
          <w:numId w:val="41"/>
        </w:numPr>
        <w:tabs>
          <w:tab w:val="left" w:pos="546"/>
        </w:tabs>
        <w:rPr>
          <w:rFonts w:ascii="Century Gothic" w:eastAsia="Calibri" w:hAnsi="Century Gothic" w:cs="Calibri"/>
          <w:lang w:eastAsia="es-SV"/>
        </w:rPr>
      </w:pPr>
      <w:r w:rsidRPr="00CB29EF">
        <w:rPr>
          <w:rFonts w:ascii="Century Gothic" w:eastAsia="Calibri" w:hAnsi="Century Gothic" w:cs="Calibri"/>
          <w:lang w:eastAsia="es-SV"/>
        </w:rPr>
        <w:t>Participación en Comités: Lepina, Salud Sexual y reproductiva, Alianza Neonatal, Prevención de quemados, Salud Visual, Salud Mental, Salud Bucal, entre otros.</w:t>
      </w:r>
    </w:p>
    <w:p w:rsidR="002818FC" w:rsidRPr="00CB29EF" w:rsidRDefault="002818FC" w:rsidP="002818FC">
      <w:pPr>
        <w:pStyle w:val="Prrafodelista"/>
        <w:numPr>
          <w:ilvl w:val="0"/>
          <w:numId w:val="41"/>
        </w:numPr>
        <w:tabs>
          <w:tab w:val="left" w:pos="546"/>
        </w:tabs>
        <w:rPr>
          <w:rFonts w:ascii="Century Gothic" w:eastAsia="Calibri" w:hAnsi="Century Gothic" w:cs="Calibri"/>
          <w:lang w:eastAsia="es-SV"/>
        </w:rPr>
      </w:pPr>
      <w:r w:rsidRPr="00CB29EF">
        <w:rPr>
          <w:rFonts w:ascii="Century Gothic" w:eastAsia="Calibri" w:hAnsi="Century Gothic" w:cs="Calibri"/>
          <w:lang w:eastAsia="es-SV"/>
        </w:rPr>
        <w:t>Comité de la Dirección Nacional de Medicamentos.</w:t>
      </w:r>
    </w:p>
    <w:p w:rsidR="002818FC" w:rsidRPr="00CB29EF" w:rsidRDefault="002818FC" w:rsidP="002818FC">
      <w:pPr>
        <w:pStyle w:val="Prrafodelista"/>
        <w:numPr>
          <w:ilvl w:val="0"/>
          <w:numId w:val="41"/>
        </w:numPr>
        <w:tabs>
          <w:tab w:val="left" w:pos="546"/>
        </w:tabs>
        <w:rPr>
          <w:rFonts w:ascii="Century Gothic" w:eastAsia="Calibri" w:hAnsi="Century Gothic" w:cs="Calibri"/>
          <w:lang w:eastAsia="es-SV"/>
        </w:rPr>
      </w:pPr>
      <w:r w:rsidRPr="00CB29EF">
        <w:rPr>
          <w:rFonts w:ascii="Century Gothic" w:eastAsia="Calibri" w:hAnsi="Century Gothic" w:cs="Calibri"/>
          <w:lang w:eastAsia="es-SV"/>
        </w:rPr>
        <w:t>Miembro de sala situacional en desastres naturales.</w:t>
      </w:r>
    </w:p>
    <w:p w:rsidR="002818FC" w:rsidRPr="00CB29EF" w:rsidRDefault="002818FC" w:rsidP="002818FC">
      <w:pPr>
        <w:pStyle w:val="Prrafodelista"/>
        <w:numPr>
          <w:ilvl w:val="0"/>
          <w:numId w:val="41"/>
        </w:numPr>
        <w:tabs>
          <w:tab w:val="left" w:pos="546"/>
        </w:tabs>
        <w:rPr>
          <w:rFonts w:ascii="Century Gothic" w:eastAsia="Calibri" w:hAnsi="Century Gothic" w:cs="Calibri"/>
          <w:lang w:eastAsia="es-SV"/>
        </w:rPr>
      </w:pPr>
      <w:r w:rsidRPr="00CB29EF">
        <w:rPr>
          <w:rFonts w:ascii="Century Gothic" w:eastAsia="Calibri" w:hAnsi="Century Gothic" w:cs="Calibri"/>
          <w:lang w:eastAsia="es-SV"/>
        </w:rPr>
        <w:t>Miembro de la Comisión Técnica para la ejecución de la Política Nacional del Cáncer.</w:t>
      </w:r>
    </w:p>
    <w:p w:rsidR="002818FC" w:rsidRPr="00CB29EF" w:rsidRDefault="002818FC" w:rsidP="002818FC">
      <w:pPr>
        <w:pStyle w:val="Prrafodelista"/>
        <w:tabs>
          <w:tab w:val="left" w:pos="546"/>
        </w:tabs>
        <w:ind w:left="1069"/>
        <w:rPr>
          <w:rFonts w:ascii="Century Gothic" w:eastAsia="Calibri" w:hAnsi="Century Gothic" w:cs="Calibri"/>
          <w:lang w:eastAsia="es-SV"/>
        </w:rPr>
      </w:pPr>
    </w:p>
    <w:p w:rsidR="002818FC" w:rsidRPr="00CB29EF" w:rsidRDefault="002818FC" w:rsidP="002818FC">
      <w:pPr>
        <w:pStyle w:val="Prrafodelista"/>
        <w:numPr>
          <w:ilvl w:val="3"/>
          <w:numId w:val="1"/>
        </w:numPr>
        <w:ind w:left="709"/>
        <w:jc w:val="both"/>
        <w:rPr>
          <w:rFonts w:ascii="Century Gothic" w:hAnsi="Century Gothic"/>
        </w:rPr>
      </w:pPr>
      <w:r w:rsidRPr="00CB29EF">
        <w:rPr>
          <w:rFonts w:ascii="Century Gothic" w:hAnsi="Century Gothic"/>
        </w:rPr>
        <w:t>Por primera vez en la historia del ISBM el Director Presidente, en representación del ISBM, fue electo como parte de la Junta Directiva del Centro Interamericano de Estudios de Seguridad Social (CIESS), y</w:t>
      </w:r>
      <w:r w:rsidR="00907B0B" w:rsidRPr="00CB29EF">
        <w:rPr>
          <w:rFonts w:ascii="Century Gothic" w:hAnsi="Century Gothic"/>
        </w:rPr>
        <w:t xml:space="preserve"> asumió la S</w:t>
      </w:r>
      <w:r w:rsidRPr="00CB29EF">
        <w:rPr>
          <w:rFonts w:ascii="Century Gothic" w:hAnsi="Century Gothic"/>
        </w:rPr>
        <w:t>ecretar</w:t>
      </w:r>
      <w:r w:rsidR="001C3609" w:rsidRPr="00CB29EF">
        <w:rPr>
          <w:rFonts w:ascii="Century Gothic" w:hAnsi="Century Gothic"/>
        </w:rPr>
        <w:t>í</w:t>
      </w:r>
      <w:r w:rsidRPr="00CB29EF">
        <w:rPr>
          <w:rFonts w:ascii="Century Gothic" w:hAnsi="Century Gothic"/>
        </w:rPr>
        <w:t xml:space="preserve">a </w:t>
      </w:r>
      <w:r w:rsidR="00907B0B" w:rsidRPr="00CB29EF">
        <w:rPr>
          <w:rFonts w:ascii="Century Gothic" w:hAnsi="Century Gothic"/>
        </w:rPr>
        <w:t>T</w:t>
      </w:r>
      <w:r w:rsidRPr="00CB29EF">
        <w:rPr>
          <w:rFonts w:ascii="Century Gothic" w:hAnsi="Century Gothic"/>
        </w:rPr>
        <w:t>écnica de la Comision Centroamericana de Seguridad Social, en la que están asociad</w:t>
      </w:r>
      <w:r w:rsidR="00907B0B" w:rsidRPr="00CB29EF">
        <w:rPr>
          <w:rFonts w:ascii="Century Gothic" w:hAnsi="Century Gothic"/>
        </w:rPr>
        <w:t>o</w:t>
      </w:r>
      <w:r w:rsidRPr="00CB29EF">
        <w:rPr>
          <w:rFonts w:ascii="Century Gothic" w:hAnsi="Century Gothic"/>
        </w:rPr>
        <w:t>s el Instituto Guatemalteco de Seguridad Social</w:t>
      </w:r>
      <w:r w:rsidR="00907B0B" w:rsidRPr="00CB29EF">
        <w:rPr>
          <w:rFonts w:ascii="Century Gothic" w:hAnsi="Century Gothic"/>
        </w:rPr>
        <w:t xml:space="preserve"> (IGSS)</w:t>
      </w:r>
      <w:r w:rsidRPr="00CB29EF">
        <w:rPr>
          <w:rFonts w:ascii="Century Gothic" w:hAnsi="Century Gothic"/>
        </w:rPr>
        <w:t>, Instituto Salvadoreño del Seguro Social</w:t>
      </w:r>
      <w:r w:rsidR="00907B0B" w:rsidRPr="00CB29EF">
        <w:rPr>
          <w:rFonts w:ascii="Century Gothic" w:hAnsi="Century Gothic"/>
        </w:rPr>
        <w:t xml:space="preserve"> (ISSS)</w:t>
      </w:r>
      <w:r w:rsidRPr="00CB29EF">
        <w:rPr>
          <w:rFonts w:ascii="Century Gothic" w:hAnsi="Century Gothic"/>
        </w:rPr>
        <w:t>, Caja Costarricense del Seguro Social, Caja del Seguro Social de Honduras y Caja del Seguro Social de Panamá. Esta participación facilitará los mecanismos de cooperación entre las instituciones de la región.</w:t>
      </w:r>
    </w:p>
    <w:p w:rsidR="002818FC" w:rsidRPr="00CB29EF" w:rsidRDefault="002818FC" w:rsidP="002818FC">
      <w:pPr>
        <w:pStyle w:val="Prrafodelista"/>
        <w:ind w:left="709"/>
        <w:jc w:val="both"/>
        <w:rPr>
          <w:rFonts w:ascii="Century Gothic" w:hAnsi="Century Gothic"/>
        </w:rPr>
      </w:pPr>
    </w:p>
    <w:p w:rsidR="002818FC" w:rsidRPr="00CB29EF" w:rsidRDefault="002818FC" w:rsidP="002818FC">
      <w:pPr>
        <w:pStyle w:val="Prrafodelista"/>
        <w:numPr>
          <w:ilvl w:val="3"/>
          <w:numId w:val="1"/>
        </w:numPr>
        <w:ind w:left="709"/>
        <w:jc w:val="both"/>
        <w:rPr>
          <w:rFonts w:ascii="Century Gothic" w:hAnsi="Century Gothic"/>
        </w:rPr>
      </w:pPr>
      <w:r w:rsidRPr="00CB29EF">
        <w:rPr>
          <w:rFonts w:ascii="Century Gothic" w:hAnsi="Century Gothic"/>
        </w:rPr>
        <w:t>El Instituto Salvadoreño de Bienestar Magisterial</w:t>
      </w:r>
      <w:r w:rsidR="00907B0B" w:rsidRPr="00CB29EF">
        <w:rPr>
          <w:rFonts w:ascii="Century Gothic" w:hAnsi="Century Gothic"/>
        </w:rPr>
        <w:t>,</w:t>
      </w:r>
      <w:r w:rsidRPr="00CB29EF">
        <w:rPr>
          <w:rFonts w:ascii="Century Gothic" w:hAnsi="Century Gothic"/>
        </w:rPr>
        <w:t xml:space="preserve"> en cumplimiento al Art. 13 de la Ley General de Prevención de Riesgos en los Lugares de Trabajo y para fortalecer las capacidades del Personal en cuanto a la Seguridad Ocupacional, cuenta a nivel nacional con siete Comités de Seguridad y Salud Ocupacional. Por otra parte, varios de los integrantes de los comités, Directores y otros funcionarios, han sido capacitados en temas relacionados con la seguridad social en el Centro Interamericano de Estudios de Seguridad Social (CIESS).</w:t>
      </w:r>
    </w:p>
    <w:p w:rsidR="002818FC" w:rsidRPr="00CB29EF" w:rsidRDefault="002818FC" w:rsidP="002818FC">
      <w:pPr>
        <w:pStyle w:val="Prrafodelista"/>
        <w:rPr>
          <w:rFonts w:ascii="Century Gothic" w:hAnsi="Century Gothic"/>
        </w:rPr>
      </w:pPr>
    </w:p>
    <w:p w:rsidR="002818FC" w:rsidRPr="00CB29EF" w:rsidRDefault="002818FC" w:rsidP="002818FC">
      <w:pPr>
        <w:pStyle w:val="Prrafodelista"/>
        <w:numPr>
          <w:ilvl w:val="3"/>
          <w:numId w:val="1"/>
        </w:numPr>
        <w:ind w:left="709"/>
        <w:jc w:val="both"/>
        <w:rPr>
          <w:rFonts w:ascii="Century Gothic" w:hAnsi="Century Gothic"/>
        </w:rPr>
      </w:pPr>
      <w:r w:rsidRPr="00CB29EF">
        <w:rPr>
          <w:rFonts w:ascii="Century Gothic" w:hAnsi="Century Gothic"/>
        </w:rPr>
        <w:t>En julio de este año el Tribunal de Ética Gubernamental otorgó al ISBM el reconocimiento EXCELENCIA ÉTICA 2017.</w:t>
      </w:r>
    </w:p>
    <w:p w:rsidR="002818FC" w:rsidRPr="00CB29EF" w:rsidRDefault="002818FC" w:rsidP="002818FC">
      <w:pPr>
        <w:pStyle w:val="Prrafodelista"/>
        <w:rPr>
          <w:rFonts w:ascii="Century Gothic" w:hAnsi="Century Gothic"/>
        </w:rPr>
      </w:pPr>
    </w:p>
    <w:p w:rsidR="002818FC" w:rsidRPr="00CB29EF" w:rsidRDefault="002818FC" w:rsidP="00B70165">
      <w:pPr>
        <w:pStyle w:val="Prrafodelista"/>
        <w:numPr>
          <w:ilvl w:val="3"/>
          <w:numId w:val="1"/>
        </w:numPr>
        <w:ind w:left="709"/>
        <w:jc w:val="both"/>
        <w:rPr>
          <w:rFonts w:ascii="Century Gothic" w:hAnsi="Century Gothic"/>
        </w:rPr>
      </w:pPr>
      <w:r w:rsidRPr="00CB29EF">
        <w:rPr>
          <w:rFonts w:ascii="Century Gothic" w:hAnsi="Century Gothic"/>
        </w:rPr>
        <w:t>El Consejo Directivo aprob</w:t>
      </w:r>
      <w:r w:rsidR="00257420" w:rsidRPr="00CB29EF">
        <w:rPr>
          <w:rFonts w:ascii="Century Gothic" w:hAnsi="Century Gothic"/>
        </w:rPr>
        <w:t>ó</w:t>
      </w:r>
      <w:r w:rsidRPr="00CB29EF">
        <w:rPr>
          <w:rFonts w:ascii="Century Gothic" w:hAnsi="Century Gothic"/>
        </w:rPr>
        <w:t xml:space="preserve"> el proyecto de reformas a la Ley del ISBM, dentro de las que destaca</w:t>
      </w:r>
      <w:r w:rsidR="0047360F" w:rsidRPr="00CB29EF">
        <w:rPr>
          <w:rFonts w:ascii="Century Gothic" w:hAnsi="Century Gothic"/>
        </w:rPr>
        <w:t>n</w:t>
      </w:r>
      <w:r w:rsidRPr="00CB29EF">
        <w:rPr>
          <w:rFonts w:ascii="Century Gothic" w:hAnsi="Century Gothic"/>
        </w:rPr>
        <w:t xml:space="preserve"> las del inciso primero y literales a) y b) del Art. 54 de la Ley del ISBM, en lo relativo a la aportación para la cobertura de salud del grupo familiar del docente, habiéndose establecido que para la cobertura del servicio de salud a los hijos y cónyuge o conviviente, la contribución familiar obligatoria a cargo del servidor público docente, sobre la remuneración mensual que perciba, será de acuerdo a la tabla siguiente:</w:t>
      </w:r>
    </w:p>
    <w:p w:rsidR="004628AA" w:rsidRPr="00CB29EF" w:rsidRDefault="004628AA" w:rsidP="004628AA">
      <w:pPr>
        <w:pStyle w:val="Prrafodelista"/>
        <w:rPr>
          <w:rFonts w:ascii="Century Gothic" w:hAnsi="Century Gothic"/>
        </w:rPr>
      </w:pPr>
    </w:p>
    <w:p w:rsidR="004628AA" w:rsidRPr="00CB29EF" w:rsidRDefault="004628AA" w:rsidP="004628AA">
      <w:pPr>
        <w:pStyle w:val="Prrafodelista"/>
        <w:ind w:left="709"/>
        <w:jc w:val="both"/>
        <w:rPr>
          <w:rFonts w:ascii="Century Gothic" w:hAnsi="Century Gothic"/>
        </w:rPr>
      </w:pPr>
    </w:p>
    <w:p w:rsidR="002818FC" w:rsidRPr="00CB29EF" w:rsidRDefault="002818FC" w:rsidP="002818FC">
      <w:pPr>
        <w:spacing w:after="160" w:line="360" w:lineRule="auto"/>
        <w:ind w:left="1276" w:right="-143"/>
        <w:jc w:val="both"/>
        <w:rPr>
          <w:rFonts w:ascii="Century Gothic" w:hAnsi="Century Gothic"/>
        </w:rPr>
      </w:pPr>
      <w:r w:rsidRPr="00CB29EF">
        <w:rPr>
          <w:rFonts w:ascii="Century Gothic" w:hAnsi="Century Gothic"/>
        </w:rPr>
        <w:t>1. Sin beneficiario                       0.50%</w:t>
      </w:r>
    </w:p>
    <w:p w:rsidR="002818FC" w:rsidRPr="00CB29EF" w:rsidRDefault="002818FC" w:rsidP="002818FC">
      <w:pPr>
        <w:spacing w:after="160" w:line="360" w:lineRule="auto"/>
        <w:ind w:left="1276" w:right="-143"/>
        <w:rPr>
          <w:rFonts w:ascii="Century Gothic" w:hAnsi="Century Gothic"/>
        </w:rPr>
      </w:pPr>
      <w:r w:rsidRPr="00CB29EF">
        <w:rPr>
          <w:rFonts w:ascii="Century Gothic" w:hAnsi="Century Gothic"/>
        </w:rPr>
        <w:t>2. Con 1 beneficiario                  0.75%</w:t>
      </w:r>
    </w:p>
    <w:p w:rsidR="002818FC" w:rsidRPr="00CB29EF" w:rsidRDefault="002818FC" w:rsidP="002818FC">
      <w:pPr>
        <w:spacing w:after="160" w:line="360" w:lineRule="auto"/>
        <w:ind w:left="1276" w:right="-143"/>
        <w:rPr>
          <w:rFonts w:ascii="Century Gothic" w:hAnsi="Century Gothic"/>
        </w:rPr>
      </w:pPr>
      <w:r w:rsidRPr="00CB29EF">
        <w:rPr>
          <w:rFonts w:ascii="Century Gothic" w:hAnsi="Century Gothic"/>
        </w:rPr>
        <w:t>3. Con 2 beneficiarios                 1.00%</w:t>
      </w:r>
    </w:p>
    <w:p w:rsidR="002818FC" w:rsidRPr="00CB29EF" w:rsidRDefault="002818FC" w:rsidP="002818FC">
      <w:pPr>
        <w:spacing w:after="160" w:line="360" w:lineRule="auto"/>
        <w:ind w:left="1276" w:right="-143"/>
        <w:rPr>
          <w:rFonts w:ascii="Century Gothic" w:hAnsi="Century Gothic"/>
        </w:rPr>
      </w:pPr>
      <w:r w:rsidRPr="00CB29EF">
        <w:rPr>
          <w:rFonts w:ascii="Century Gothic" w:hAnsi="Century Gothic"/>
        </w:rPr>
        <w:t>4. Con 3 beneficiarios                 1.25%</w:t>
      </w:r>
    </w:p>
    <w:p w:rsidR="002818FC" w:rsidRPr="00CB29EF" w:rsidRDefault="002818FC" w:rsidP="002818FC">
      <w:pPr>
        <w:spacing w:after="160" w:line="360" w:lineRule="auto"/>
        <w:ind w:left="1276" w:right="-143"/>
        <w:rPr>
          <w:rFonts w:ascii="Century Gothic" w:hAnsi="Century Gothic"/>
        </w:rPr>
      </w:pPr>
      <w:r w:rsidRPr="00CB29EF">
        <w:rPr>
          <w:rFonts w:ascii="Century Gothic" w:hAnsi="Century Gothic"/>
        </w:rPr>
        <w:t>5. Con 4 beneficiarios                 1.50%</w:t>
      </w:r>
    </w:p>
    <w:p w:rsidR="002818FC" w:rsidRPr="00CB29EF" w:rsidRDefault="002818FC" w:rsidP="002818FC">
      <w:pPr>
        <w:spacing w:after="160" w:line="360" w:lineRule="auto"/>
        <w:ind w:left="1276" w:right="-143"/>
        <w:rPr>
          <w:rFonts w:ascii="Century Gothic" w:hAnsi="Century Gothic"/>
        </w:rPr>
      </w:pPr>
      <w:r w:rsidRPr="00CB29EF">
        <w:rPr>
          <w:rFonts w:ascii="Century Gothic" w:hAnsi="Century Gothic"/>
        </w:rPr>
        <w:t>6. Con 5 beneficiarios                 1.75%</w:t>
      </w:r>
    </w:p>
    <w:p w:rsidR="002818FC" w:rsidRPr="00CB29EF" w:rsidRDefault="002818FC" w:rsidP="002818FC">
      <w:pPr>
        <w:spacing w:after="160" w:line="360" w:lineRule="auto"/>
        <w:ind w:left="1276" w:right="-143"/>
        <w:rPr>
          <w:rFonts w:ascii="Century Gothic" w:hAnsi="Century Gothic"/>
        </w:rPr>
      </w:pPr>
      <w:r w:rsidRPr="00CB29EF">
        <w:rPr>
          <w:rFonts w:ascii="Century Gothic" w:hAnsi="Century Gothic"/>
        </w:rPr>
        <w:t>7. De 6 beneficiarios en adelante 2.00%”</w:t>
      </w:r>
    </w:p>
    <w:p w:rsidR="004628AA" w:rsidRPr="00CB29EF" w:rsidRDefault="004628AA" w:rsidP="002818FC">
      <w:pPr>
        <w:pStyle w:val="Prrafodelista"/>
        <w:ind w:left="709"/>
        <w:jc w:val="both"/>
        <w:rPr>
          <w:rFonts w:ascii="Century Gothic" w:hAnsi="Century Gothic"/>
        </w:rPr>
      </w:pPr>
    </w:p>
    <w:p w:rsidR="002818FC" w:rsidRPr="00CB29EF" w:rsidRDefault="002818FC" w:rsidP="002818FC">
      <w:pPr>
        <w:pStyle w:val="Prrafodelista"/>
        <w:ind w:left="709"/>
        <w:jc w:val="both"/>
        <w:rPr>
          <w:rFonts w:ascii="Century Gothic" w:hAnsi="Century Gothic"/>
        </w:rPr>
      </w:pPr>
      <w:r w:rsidRPr="00CB29EF">
        <w:rPr>
          <w:rFonts w:ascii="Century Gothic" w:hAnsi="Century Gothic"/>
        </w:rPr>
        <w:t>Es necesario hacer énfasis en fortalecer las capacidades institucionales, pues las posibilidades de inversión en salud, cada año,</w:t>
      </w:r>
      <w:r w:rsidR="00577393" w:rsidRPr="00CB29EF">
        <w:rPr>
          <w:rFonts w:ascii="Century Gothic" w:hAnsi="Century Gothic"/>
        </w:rPr>
        <w:t xml:space="preserve"> requiere se convierta en realid</w:t>
      </w:r>
      <w:r w:rsidRPr="00CB29EF">
        <w:rPr>
          <w:rFonts w:ascii="Century Gothic" w:hAnsi="Century Gothic"/>
        </w:rPr>
        <w:t>ad la revisión del financiamiento para el grupo fami</w:t>
      </w:r>
      <w:r w:rsidR="000C3443" w:rsidRPr="00CB29EF">
        <w:rPr>
          <w:rFonts w:ascii="Century Gothic" w:hAnsi="Century Gothic"/>
        </w:rPr>
        <w:t>liar que manda el literal b</w:t>
      </w:r>
      <w:r w:rsidR="003C16C4" w:rsidRPr="00CB29EF">
        <w:rPr>
          <w:rFonts w:ascii="Century Gothic" w:hAnsi="Century Gothic"/>
        </w:rPr>
        <w:t>)</w:t>
      </w:r>
      <w:r w:rsidR="000C3443" w:rsidRPr="00CB29EF">
        <w:rPr>
          <w:rFonts w:ascii="Century Gothic" w:hAnsi="Century Gothic"/>
        </w:rPr>
        <w:t xml:space="preserve"> del A</w:t>
      </w:r>
      <w:r w:rsidRPr="00CB29EF">
        <w:rPr>
          <w:rFonts w:ascii="Century Gothic" w:hAnsi="Century Gothic"/>
        </w:rPr>
        <w:t>rt</w:t>
      </w:r>
      <w:r w:rsidR="003C16C4" w:rsidRPr="00CB29EF">
        <w:rPr>
          <w:rFonts w:ascii="Century Gothic" w:hAnsi="Century Gothic"/>
        </w:rPr>
        <w:t>.</w:t>
      </w:r>
      <w:r w:rsidRPr="00CB29EF">
        <w:rPr>
          <w:rFonts w:ascii="Century Gothic" w:hAnsi="Century Gothic"/>
        </w:rPr>
        <w:t xml:space="preserve"> 54 de nuestra Ley.</w:t>
      </w:r>
    </w:p>
    <w:p w:rsidR="002818FC" w:rsidRPr="00CB29EF" w:rsidRDefault="002818FC" w:rsidP="002818FC">
      <w:pPr>
        <w:pStyle w:val="Prrafodelista"/>
        <w:rPr>
          <w:rFonts w:ascii="Century Gothic" w:hAnsi="Century Gothic"/>
        </w:rPr>
      </w:pPr>
    </w:p>
    <w:p w:rsidR="002818FC" w:rsidRPr="00CB29EF" w:rsidRDefault="002818FC" w:rsidP="002818FC">
      <w:pPr>
        <w:pStyle w:val="Prrafodelista"/>
        <w:numPr>
          <w:ilvl w:val="3"/>
          <w:numId w:val="1"/>
        </w:numPr>
        <w:ind w:left="709"/>
        <w:jc w:val="both"/>
        <w:rPr>
          <w:rFonts w:ascii="Century Gothic" w:hAnsi="Century Gothic"/>
        </w:rPr>
      </w:pPr>
      <w:r w:rsidRPr="00CB29EF">
        <w:rPr>
          <w:rFonts w:ascii="Century Gothic" w:hAnsi="Century Gothic"/>
        </w:rPr>
        <w:t xml:space="preserve">Se </w:t>
      </w:r>
      <w:r w:rsidR="000C3443" w:rsidRPr="00CB29EF">
        <w:rPr>
          <w:rFonts w:ascii="Century Gothic" w:hAnsi="Century Gothic"/>
        </w:rPr>
        <w:t>continuó</w:t>
      </w:r>
      <w:r w:rsidRPr="00CB29EF">
        <w:rPr>
          <w:rFonts w:ascii="Century Gothic" w:hAnsi="Century Gothic"/>
        </w:rPr>
        <w:t xml:space="preserve"> con la implementación de la gestión documen</w:t>
      </w:r>
      <w:r w:rsidRPr="00CB29EF">
        <w:rPr>
          <w:rFonts w:ascii="Century Gothic" w:hAnsi="Century Gothic"/>
        </w:rPr>
        <w:softHyphen/>
        <w:t>tal y la archivística, como un agente clave para el resguardo, organización y manejo oportuno y adecuado de la información</w:t>
      </w:r>
      <w:r w:rsidR="000C3443" w:rsidRPr="00CB29EF">
        <w:rPr>
          <w:rFonts w:ascii="Century Gothic" w:hAnsi="Century Gothic"/>
        </w:rPr>
        <w:t>,</w:t>
      </w:r>
      <w:r w:rsidRPr="00CB29EF">
        <w:rPr>
          <w:rFonts w:ascii="Century Gothic" w:hAnsi="Century Gothic"/>
        </w:rPr>
        <w:t xml:space="preserve"> la cual, puede incidir estratégicamente en la toma de decisiones a favor de la población usuaria y de la institución</w:t>
      </w:r>
      <w:r w:rsidR="000C3443" w:rsidRPr="00CB29EF">
        <w:rPr>
          <w:rFonts w:ascii="Century Gothic" w:hAnsi="Century Gothic"/>
        </w:rPr>
        <w:t>;</w:t>
      </w:r>
      <w:r w:rsidRPr="00CB29EF">
        <w:rPr>
          <w:rFonts w:ascii="Century Gothic" w:hAnsi="Century Gothic"/>
        </w:rPr>
        <w:t xml:space="preserve"> todo ello en el cumplimiento de las obligaciones de una administración pública transparente.</w:t>
      </w:r>
    </w:p>
    <w:p w:rsidR="002818FC" w:rsidRDefault="002818FC" w:rsidP="002818FC"/>
    <w:p w:rsidR="004628AA" w:rsidRDefault="004628AA" w:rsidP="002818FC"/>
    <w:p w:rsidR="004628AA" w:rsidRDefault="004628AA" w:rsidP="002818FC"/>
    <w:p w:rsidR="00324636" w:rsidRPr="00601F3C" w:rsidRDefault="00324636" w:rsidP="00601F3C">
      <w:pPr>
        <w:jc w:val="both"/>
        <w:rPr>
          <w:rFonts w:ascii="Century Gothic" w:hAnsi="Century Gothic"/>
        </w:rPr>
      </w:pPr>
    </w:p>
    <w:p w:rsidR="00BE4A02" w:rsidRPr="007210B7" w:rsidRDefault="00BE4A02" w:rsidP="00381D10">
      <w:pPr>
        <w:pStyle w:val="Ttulo2"/>
        <w:numPr>
          <w:ilvl w:val="0"/>
          <w:numId w:val="10"/>
        </w:numPr>
        <w:rPr>
          <w:b/>
        </w:rPr>
      </w:pPr>
      <w:bookmarkStart w:id="21" w:name="_Toc424558690"/>
      <w:bookmarkStart w:id="22" w:name="_Toc491684898"/>
      <w:bookmarkStart w:id="23" w:name="_Toc420396703"/>
      <w:r w:rsidRPr="007210B7">
        <w:rPr>
          <w:b/>
        </w:rPr>
        <w:t xml:space="preserve">EJERCICIO </w:t>
      </w:r>
      <w:r w:rsidR="007E2A32" w:rsidRPr="007210B7">
        <w:rPr>
          <w:b/>
        </w:rPr>
        <w:t xml:space="preserve">JUNIO </w:t>
      </w:r>
      <w:r w:rsidRPr="007210B7">
        <w:rPr>
          <w:b/>
        </w:rPr>
        <w:t>201</w:t>
      </w:r>
      <w:r w:rsidR="004628AA">
        <w:rPr>
          <w:b/>
        </w:rPr>
        <w:t>6</w:t>
      </w:r>
      <w:r w:rsidR="007E2A32" w:rsidRPr="007210B7">
        <w:rPr>
          <w:b/>
        </w:rPr>
        <w:t xml:space="preserve"> – </w:t>
      </w:r>
      <w:r w:rsidR="004628AA">
        <w:rPr>
          <w:b/>
        </w:rPr>
        <w:t>JULIO</w:t>
      </w:r>
      <w:r w:rsidR="007E2A32" w:rsidRPr="007210B7">
        <w:rPr>
          <w:b/>
        </w:rPr>
        <w:t xml:space="preserve"> 201</w:t>
      </w:r>
      <w:bookmarkEnd w:id="21"/>
      <w:bookmarkEnd w:id="22"/>
      <w:r w:rsidR="004628AA">
        <w:rPr>
          <w:b/>
        </w:rPr>
        <w:t>7</w:t>
      </w:r>
      <w:r w:rsidR="00DA501E">
        <w:rPr>
          <w:b/>
        </w:rPr>
        <w:t xml:space="preserve"> </w:t>
      </w:r>
    </w:p>
    <w:p w:rsidR="00BE4A02" w:rsidRDefault="00BE4A02" w:rsidP="00BE4A02">
      <w:pPr>
        <w:rPr>
          <w:rFonts w:ascii="Century Gothic" w:hAnsi="Century Gothic"/>
        </w:rPr>
      </w:pPr>
    </w:p>
    <w:p w:rsidR="00252867" w:rsidRDefault="00252867" w:rsidP="00252867">
      <w:pPr>
        <w:pStyle w:val="Ttulo3"/>
        <w:numPr>
          <w:ilvl w:val="0"/>
          <w:numId w:val="9"/>
        </w:numPr>
        <w:spacing w:after="240"/>
        <w:ind w:left="357" w:hanging="357"/>
        <w:jc w:val="both"/>
        <w:rPr>
          <w:sz w:val="24"/>
        </w:rPr>
      </w:pPr>
      <w:bookmarkStart w:id="24" w:name="_Toc467228650"/>
      <w:bookmarkStart w:id="25" w:name="_Toc491684899"/>
      <w:r w:rsidRPr="00E61FA9">
        <w:rPr>
          <w:sz w:val="24"/>
        </w:rPr>
        <w:t>PROGRAMA ESPECIAL DE SERVICIOS DE ASISTENCIA MÉDICA Y HOSPITALARIA</w:t>
      </w:r>
      <w:bookmarkEnd w:id="24"/>
      <w:bookmarkEnd w:id="25"/>
    </w:p>
    <w:p w:rsidR="004628AA" w:rsidRPr="004628AA" w:rsidRDefault="004628AA" w:rsidP="004628AA"/>
    <w:p w:rsidR="00252867" w:rsidRDefault="00252867" w:rsidP="00252867">
      <w:pPr>
        <w:pStyle w:val="Ttulo4"/>
        <w:numPr>
          <w:ilvl w:val="3"/>
          <w:numId w:val="18"/>
        </w:numPr>
        <w:spacing w:after="120"/>
        <w:rPr>
          <w:sz w:val="24"/>
        </w:rPr>
      </w:pPr>
      <w:bookmarkStart w:id="26" w:name="_Toc491684900"/>
      <w:bookmarkStart w:id="27" w:name="_Toc467228651"/>
      <w:r w:rsidRPr="00B51CE3">
        <w:rPr>
          <w:sz w:val="24"/>
        </w:rPr>
        <w:t>POBLACIÓN USUARIA</w:t>
      </w:r>
      <w:bookmarkEnd w:id="26"/>
      <w:r>
        <w:rPr>
          <w:sz w:val="24"/>
        </w:rPr>
        <w:t xml:space="preserve"> </w:t>
      </w:r>
      <w:bookmarkEnd w:id="27"/>
    </w:p>
    <w:p w:rsidR="004628AA" w:rsidRPr="004628AA" w:rsidRDefault="004628AA" w:rsidP="004628AA"/>
    <w:p w:rsidR="00252867" w:rsidRPr="00CB29EF" w:rsidRDefault="005C22CF" w:rsidP="00EC3C1E">
      <w:pPr>
        <w:spacing w:before="200" w:line="276" w:lineRule="auto"/>
        <w:jc w:val="both"/>
        <w:rPr>
          <w:rFonts w:ascii="Century Gothic" w:hAnsi="Century Gothic"/>
        </w:rPr>
      </w:pPr>
      <w:r w:rsidRPr="00CB29EF">
        <w:rPr>
          <w:rFonts w:ascii="Century Gothic" w:hAnsi="Century Gothic"/>
        </w:rPr>
        <w:t>Se compone de s</w:t>
      </w:r>
      <w:r w:rsidR="00252867" w:rsidRPr="00CB29EF">
        <w:rPr>
          <w:rFonts w:ascii="Century Gothic" w:hAnsi="Century Gothic"/>
        </w:rPr>
        <w:t xml:space="preserve">ervidores públicos docentes, </w:t>
      </w:r>
      <w:r w:rsidRPr="00CB29EF">
        <w:rPr>
          <w:rFonts w:ascii="Century Gothic" w:hAnsi="Century Gothic"/>
        </w:rPr>
        <w:t xml:space="preserve">su </w:t>
      </w:r>
      <w:r w:rsidR="00252867" w:rsidRPr="00CB29EF">
        <w:rPr>
          <w:rFonts w:ascii="Century Gothic" w:hAnsi="Century Gothic"/>
        </w:rPr>
        <w:t>cónyuge o su conviviente,</w:t>
      </w:r>
      <w:r w:rsidRPr="00CB29EF">
        <w:rPr>
          <w:rFonts w:ascii="Century Gothic" w:hAnsi="Century Gothic"/>
        </w:rPr>
        <w:t xml:space="preserve"> y</w:t>
      </w:r>
      <w:r w:rsidR="00252867" w:rsidRPr="00CB29EF">
        <w:rPr>
          <w:rFonts w:ascii="Century Gothic" w:hAnsi="Century Gothic"/>
        </w:rPr>
        <w:t xml:space="preserve"> </w:t>
      </w:r>
      <w:r w:rsidRPr="00CB29EF">
        <w:rPr>
          <w:rFonts w:ascii="Century Gothic" w:hAnsi="Century Gothic"/>
        </w:rPr>
        <w:t xml:space="preserve">sus </w:t>
      </w:r>
      <w:r w:rsidR="00252867" w:rsidRPr="00CB29EF">
        <w:rPr>
          <w:rFonts w:ascii="Century Gothic" w:hAnsi="Century Gothic"/>
        </w:rPr>
        <w:t>hijas e hijos entre los 21 y 25 años de edad, que se encuentren estudiando y dependan económicamente de sus padres, los menores de 21 años de edad, que se encuentren solteras o solteros</w:t>
      </w:r>
      <w:r w:rsidRPr="00CB29EF">
        <w:rPr>
          <w:rFonts w:ascii="Century Gothic" w:hAnsi="Century Gothic"/>
        </w:rPr>
        <w:t>;</w:t>
      </w:r>
      <w:r w:rsidR="00252867" w:rsidRPr="00CB29EF">
        <w:rPr>
          <w:rFonts w:ascii="Century Gothic" w:hAnsi="Century Gothic"/>
        </w:rPr>
        <w:t xml:space="preserve"> los </w:t>
      </w:r>
      <w:r w:rsidRPr="00CB29EF">
        <w:rPr>
          <w:rFonts w:ascii="Century Gothic" w:hAnsi="Century Gothic"/>
        </w:rPr>
        <w:t xml:space="preserve">hijos e hijas </w:t>
      </w:r>
      <w:r w:rsidR="00252867" w:rsidRPr="00CB29EF">
        <w:rPr>
          <w:rFonts w:ascii="Century Gothic" w:hAnsi="Century Gothic"/>
        </w:rPr>
        <w:t>discapa</w:t>
      </w:r>
      <w:r w:rsidR="00577393" w:rsidRPr="00CB29EF">
        <w:rPr>
          <w:rFonts w:ascii="Century Gothic" w:hAnsi="Century Gothic"/>
        </w:rPr>
        <w:t>citados, previo dictamen de la Comisión Calificadora de I</w:t>
      </w:r>
      <w:r w:rsidR="00252867" w:rsidRPr="00CB29EF">
        <w:rPr>
          <w:rFonts w:ascii="Century Gothic" w:hAnsi="Century Gothic"/>
        </w:rPr>
        <w:t xml:space="preserve">nvalidez, definida en la </w:t>
      </w:r>
      <w:r w:rsidR="00577393" w:rsidRPr="00CB29EF">
        <w:rPr>
          <w:rFonts w:ascii="Century Gothic" w:hAnsi="Century Gothic"/>
        </w:rPr>
        <w:t>Ley del Sistema de Ahorro para P</w:t>
      </w:r>
      <w:r w:rsidR="00252867" w:rsidRPr="00CB29EF">
        <w:rPr>
          <w:rFonts w:ascii="Century Gothic" w:hAnsi="Century Gothic"/>
        </w:rPr>
        <w:t xml:space="preserve">ensiones; el hijo o hija de cualquier edad, si es inválido total y su invalidez se hubiese originado siendo beneficiario, previo dictamen de la </w:t>
      </w:r>
      <w:r w:rsidR="00577393" w:rsidRPr="00CB29EF">
        <w:rPr>
          <w:rFonts w:ascii="Century Gothic" w:hAnsi="Century Gothic"/>
        </w:rPr>
        <w:t>Comisión Calificadora de I</w:t>
      </w:r>
      <w:r w:rsidR="00252867" w:rsidRPr="00CB29EF">
        <w:rPr>
          <w:rFonts w:ascii="Century Gothic" w:hAnsi="Century Gothic"/>
        </w:rPr>
        <w:t xml:space="preserve">nvalidez definida en la </w:t>
      </w:r>
      <w:r w:rsidR="00577393" w:rsidRPr="00CB29EF">
        <w:rPr>
          <w:rFonts w:ascii="Century Gothic" w:hAnsi="Century Gothic"/>
        </w:rPr>
        <w:t>Ley del Sistema de Ahorro para P</w:t>
      </w:r>
      <w:r w:rsidR="00252867" w:rsidRPr="00CB29EF">
        <w:rPr>
          <w:rFonts w:ascii="Century Gothic" w:hAnsi="Century Gothic"/>
        </w:rPr>
        <w:t>ensiones.</w:t>
      </w:r>
    </w:p>
    <w:p w:rsidR="00252867" w:rsidRDefault="00252867" w:rsidP="00EC3C1E">
      <w:pPr>
        <w:spacing w:before="200" w:line="276" w:lineRule="auto"/>
        <w:rPr>
          <w:rFonts w:ascii="Century Gothic" w:hAnsi="Century Gothic"/>
        </w:rPr>
      </w:pPr>
    </w:p>
    <w:p w:rsidR="002B0817" w:rsidRPr="00CB29EF" w:rsidRDefault="002B0817" w:rsidP="00577393">
      <w:pPr>
        <w:jc w:val="both"/>
        <w:rPr>
          <w:rFonts w:ascii="Century Gothic" w:hAnsi="Century Gothic"/>
        </w:rPr>
      </w:pPr>
      <w:r w:rsidRPr="00CB29EF">
        <w:rPr>
          <w:rFonts w:ascii="Century Gothic" w:hAnsi="Century Gothic"/>
        </w:rPr>
        <w:t>La población usuaria del ISBM es fluctuante, a partir de la salida de docentes que se jubilan y otros que fallecen</w:t>
      </w:r>
      <w:r w:rsidR="00DA4AAB" w:rsidRPr="00CB29EF">
        <w:rPr>
          <w:rFonts w:ascii="Century Gothic" w:hAnsi="Century Gothic"/>
        </w:rPr>
        <w:t>,</w:t>
      </w:r>
      <w:r w:rsidRPr="00CB29EF">
        <w:rPr>
          <w:rFonts w:ascii="Century Gothic" w:hAnsi="Century Gothic"/>
        </w:rPr>
        <w:t xml:space="preserve"> y la salida de </w:t>
      </w:r>
      <w:r w:rsidR="00DA4AAB" w:rsidRPr="00CB29EF">
        <w:rPr>
          <w:rFonts w:ascii="Century Gothic" w:hAnsi="Century Gothic"/>
        </w:rPr>
        <w:t>hijas e</w:t>
      </w:r>
      <w:r w:rsidRPr="00CB29EF">
        <w:rPr>
          <w:rFonts w:ascii="Century Gothic" w:hAnsi="Century Gothic"/>
        </w:rPr>
        <w:t xml:space="preserve"> hijos mayores de 21 años o que se insertan a la vida laboral, c</w:t>
      </w:r>
      <w:r w:rsidR="00DA4AAB" w:rsidRPr="00CB29EF">
        <w:rPr>
          <w:rFonts w:ascii="Century Gothic" w:hAnsi="Century Gothic"/>
        </w:rPr>
        <w:t>ontraen nupcias o salen del país</w:t>
      </w:r>
      <w:r w:rsidRPr="00CB29EF">
        <w:rPr>
          <w:rFonts w:ascii="Century Gothic" w:hAnsi="Century Gothic"/>
        </w:rPr>
        <w:t>.</w:t>
      </w:r>
    </w:p>
    <w:p w:rsidR="002B0817" w:rsidRPr="00CB29EF" w:rsidRDefault="002B0817" w:rsidP="00577393">
      <w:pPr>
        <w:jc w:val="both"/>
        <w:rPr>
          <w:rFonts w:ascii="Century Gothic" w:hAnsi="Century Gothic"/>
        </w:rPr>
      </w:pPr>
    </w:p>
    <w:p w:rsidR="002B0817" w:rsidRPr="002B0817" w:rsidRDefault="002B0817" w:rsidP="002B0817">
      <w:pPr>
        <w:rPr>
          <w:rFonts w:ascii="Century Gothic" w:hAnsi="Century Gothic" w:cs="Calibri"/>
          <w:i/>
          <w:color w:val="000000"/>
          <w:sz w:val="16"/>
        </w:rPr>
      </w:pPr>
    </w:p>
    <w:p w:rsidR="004628AA" w:rsidRDefault="004628AA" w:rsidP="002B0817">
      <w:pPr>
        <w:jc w:val="center"/>
        <w:rPr>
          <w:rFonts w:ascii="Century Gothic" w:hAnsi="Century Gothic" w:cs="Calibri"/>
          <w:b/>
          <w:color w:val="000000"/>
        </w:rPr>
      </w:pPr>
    </w:p>
    <w:p w:rsidR="002B0817" w:rsidRPr="002B0817" w:rsidRDefault="002B0817" w:rsidP="002B0817">
      <w:pPr>
        <w:jc w:val="center"/>
        <w:rPr>
          <w:rFonts w:ascii="Century Gothic" w:hAnsi="Century Gothic" w:cs="Calibri"/>
          <w:b/>
          <w:color w:val="000000"/>
        </w:rPr>
      </w:pPr>
      <w:r w:rsidRPr="002B0817">
        <w:rPr>
          <w:rFonts w:ascii="Century Gothic" w:hAnsi="Century Gothic" w:cs="Calibri"/>
          <w:b/>
          <w:color w:val="000000"/>
        </w:rPr>
        <w:t>HISTORIAL DE POBLACION USUARIA AÑO 2009 A JULIO 2017</w:t>
      </w:r>
    </w:p>
    <w:p w:rsidR="002B0817" w:rsidRPr="002B0817" w:rsidRDefault="002B0817" w:rsidP="002B0817">
      <w:pPr>
        <w:jc w:val="center"/>
        <w:rPr>
          <w:rFonts w:ascii="Century Gothic" w:hAnsi="Century Gothic" w:cs="Calibri"/>
          <w:b/>
          <w:color w:val="000000"/>
        </w:rPr>
      </w:pPr>
    </w:p>
    <w:p w:rsidR="002B0817" w:rsidRPr="002B0817" w:rsidRDefault="002B0817" w:rsidP="002B0817">
      <w:pPr>
        <w:jc w:val="right"/>
        <w:rPr>
          <w:rFonts w:ascii="Century Gothic" w:hAnsi="Century Gothic" w:cs="Calibri"/>
          <w:b/>
          <w:color w:val="000000"/>
        </w:rPr>
      </w:pPr>
      <w:r w:rsidRPr="002B0817">
        <w:rPr>
          <w:noProof/>
          <w:lang w:eastAsia="es-SV"/>
        </w:rPr>
        <w:drawing>
          <wp:inline distT="0" distB="0" distL="0" distR="0" wp14:anchorId="1FBEE3E0" wp14:editId="7938BDA5">
            <wp:extent cx="5303520" cy="2790190"/>
            <wp:effectExtent l="0" t="0" r="11430" b="1016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B0817" w:rsidRPr="002B0817" w:rsidRDefault="002B0817" w:rsidP="002B0817">
      <w:pPr>
        <w:jc w:val="center"/>
        <w:rPr>
          <w:rFonts w:ascii="Century Gothic" w:hAnsi="Century Gothic" w:cs="Myriad Pro"/>
          <w:color w:val="000000"/>
        </w:rPr>
      </w:pPr>
    </w:p>
    <w:p w:rsidR="002B0817" w:rsidRPr="002B0817" w:rsidRDefault="002B0817" w:rsidP="002B0817">
      <w:pPr>
        <w:jc w:val="center"/>
        <w:rPr>
          <w:rFonts w:ascii="Century Gothic" w:hAnsi="Century Gothic" w:cs="Calibri"/>
          <w:i/>
          <w:color w:val="000000"/>
          <w:sz w:val="16"/>
        </w:rPr>
      </w:pPr>
    </w:p>
    <w:tbl>
      <w:tblPr>
        <w:tblW w:w="9558" w:type="dxa"/>
        <w:tblCellMar>
          <w:left w:w="70" w:type="dxa"/>
          <w:right w:w="70" w:type="dxa"/>
        </w:tblCellMar>
        <w:tblLook w:val="04A0" w:firstRow="1" w:lastRow="0" w:firstColumn="1" w:lastColumn="0" w:noHBand="0" w:noVBand="1"/>
      </w:tblPr>
      <w:tblGrid>
        <w:gridCol w:w="1412"/>
        <w:gridCol w:w="814"/>
        <w:gridCol w:w="814"/>
        <w:gridCol w:w="816"/>
        <w:gridCol w:w="761"/>
        <w:gridCol w:w="761"/>
        <w:gridCol w:w="922"/>
        <w:gridCol w:w="814"/>
        <w:gridCol w:w="814"/>
        <w:gridCol w:w="816"/>
        <w:gridCol w:w="814"/>
      </w:tblGrid>
      <w:tr w:rsidR="002B0817" w:rsidRPr="002B0817" w:rsidTr="00C60200">
        <w:trPr>
          <w:trHeight w:val="256"/>
        </w:trPr>
        <w:tc>
          <w:tcPr>
            <w:tcW w:w="1412" w:type="dxa"/>
            <w:vMerge w:val="restar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2B0817" w:rsidRPr="002B0817" w:rsidRDefault="002B0817" w:rsidP="002B0817">
            <w:pPr>
              <w:jc w:val="center"/>
              <w:rPr>
                <w:rFonts w:eastAsia="Times New Roman"/>
                <w:b/>
                <w:bCs/>
                <w:color w:val="000000"/>
                <w:sz w:val="18"/>
                <w:szCs w:val="18"/>
                <w:lang w:eastAsia="es-SV"/>
              </w:rPr>
            </w:pPr>
            <w:r w:rsidRPr="002B0817">
              <w:rPr>
                <w:rFonts w:eastAsia="Times New Roman"/>
                <w:b/>
                <w:bCs/>
                <w:color w:val="000000"/>
                <w:sz w:val="18"/>
                <w:szCs w:val="18"/>
                <w:lang w:eastAsia="es-SV"/>
              </w:rPr>
              <w:t>AÑO</w:t>
            </w:r>
          </w:p>
        </w:tc>
        <w:tc>
          <w:tcPr>
            <w:tcW w:w="2444" w:type="dxa"/>
            <w:gridSpan w:val="3"/>
            <w:tcBorders>
              <w:top w:val="single" w:sz="4" w:space="0" w:color="auto"/>
              <w:left w:val="nil"/>
              <w:bottom w:val="single" w:sz="4" w:space="0" w:color="auto"/>
              <w:right w:val="single" w:sz="4" w:space="0" w:color="auto"/>
            </w:tcBorders>
            <w:shd w:val="clear" w:color="000000" w:fill="95B3D7"/>
            <w:noWrap/>
            <w:vAlign w:val="center"/>
            <w:hideMark/>
          </w:tcPr>
          <w:p w:rsidR="002B0817" w:rsidRPr="002B0817" w:rsidRDefault="002B0817" w:rsidP="002B0817">
            <w:pPr>
              <w:jc w:val="center"/>
              <w:rPr>
                <w:rFonts w:eastAsia="Times New Roman"/>
                <w:b/>
                <w:bCs/>
                <w:color w:val="000000"/>
                <w:sz w:val="18"/>
                <w:szCs w:val="18"/>
                <w:lang w:eastAsia="es-SV"/>
              </w:rPr>
            </w:pPr>
            <w:r w:rsidRPr="002B0817">
              <w:rPr>
                <w:rFonts w:eastAsia="Times New Roman"/>
                <w:b/>
                <w:bCs/>
                <w:color w:val="000000"/>
                <w:sz w:val="18"/>
                <w:szCs w:val="18"/>
                <w:lang w:eastAsia="es-SV"/>
              </w:rPr>
              <w:t>DOCENTE</w:t>
            </w:r>
          </w:p>
        </w:tc>
        <w:tc>
          <w:tcPr>
            <w:tcW w:w="2444" w:type="dxa"/>
            <w:gridSpan w:val="3"/>
            <w:tcBorders>
              <w:top w:val="single" w:sz="4" w:space="0" w:color="auto"/>
              <w:left w:val="nil"/>
              <w:bottom w:val="single" w:sz="4" w:space="0" w:color="auto"/>
              <w:right w:val="single" w:sz="4" w:space="0" w:color="auto"/>
            </w:tcBorders>
            <w:shd w:val="clear" w:color="000000" w:fill="95B3D7"/>
            <w:noWrap/>
            <w:vAlign w:val="center"/>
            <w:hideMark/>
          </w:tcPr>
          <w:p w:rsidR="002B0817" w:rsidRPr="002B0817" w:rsidRDefault="002B0817" w:rsidP="002B0817">
            <w:pPr>
              <w:jc w:val="center"/>
              <w:rPr>
                <w:rFonts w:eastAsia="Times New Roman"/>
                <w:b/>
                <w:bCs/>
                <w:color w:val="000000"/>
                <w:sz w:val="18"/>
                <w:szCs w:val="18"/>
                <w:lang w:eastAsia="es-SV"/>
              </w:rPr>
            </w:pPr>
            <w:r w:rsidRPr="002B0817">
              <w:rPr>
                <w:rFonts w:eastAsia="Times New Roman"/>
                <w:b/>
                <w:bCs/>
                <w:color w:val="000000"/>
                <w:sz w:val="18"/>
                <w:szCs w:val="18"/>
                <w:lang w:eastAsia="es-SV"/>
              </w:rPr>
              <w:t>CÓNYUGE</w:t>
            </w:r>
          </w:p>
        </w:tc>
        <w:tc>
          <w:tcPr>
            <w:tcW w:w="2444" w:type="dxa"/>
            <w:gridSpan w:val="3"/>
            <w:tcBorders>
              <w:top w:val="single" w:sz="4" w:space="0" w:color="auto"/>
              <w:left w:val="nil"/>
              <w:bottom w:val="single" w:sz="4" w:space="0" w:color="auto"/>
              <w:right w:val="single" w:sz="4" w:space="0" w:color="auto"/>
            </w:tcBorders>
            <w:shd w:val="clear" w:color="000000" w:fill="95B3D7"/>
            <w:noWrap/>
            <w:vAlign w:val="center"/>
            <w:hideMark/>
          </w:tcPr>
          <w:p w:rsidR="002B0817" w:rsidRPr="002B0817" w:rsidRDefault="002B0817" w:rsidP="002B0817">
            <w:pPr>
              <w:jc w:val="center"/>
              <w:rPr>
                <w:rFonts w:eastAsia="Times New Roman"/>
                <w:b/>
                <w:bCs/>
                <w:color w:val="000000"/>
                <w:sz w:val="18"/>
                <w:szCs w:val="18"/>
                <w:lang w:eastAsia="es-SV"/>
              </w:rPr>
            </w:pPr>
            <w:r w:rsidRPr="002B0817">
              <w:rPr>
                <w:rFonts w:eastAsia="Times New Roman"/>
                <w:b/>
                <w:bCs/>
                <w:color w:val="000000"/>
                <w:sz w:val="18"/>
                <w:szCs w:val="18"/>
                <w:lang w:eastAsia="es-SV"/>
              </w:rPr>
              <w:t>HIJO(A)</w:t>
            </w:r>
          </w:p>
        </w:tc>
        <w:tc>
          <w:tcPr>
            <w:tcW w:w="814" w:type="dxa"/>
            <w:vMerge w:val="restart"/>
            <w:tcBorders>
              <w:top w:val="single" w:sz="4" w:space="0" w:color="auto"/>
              <w:left w:val="single" w:sz="4" w:space="0" w:color="auto"/>
              <w:bottom w:val="single" w:sz="4" w:space="0" w:color="auto"/>
              <w:right w:val="single" w:sz="4" w:space="0" w:color="auto"/>
            </w:tcBorders>
            <w:shd w:val="clear" w:color="000000" w:fill="95B3D7"/>
            <w:vAlign w:val="center"/>
            <w:hideMark/>
          </w:tcPr>
          <w:p w:rsidR="002B0817" w:rsidRPr="002B0817" w:rsidRDefault="002B0817" w:rsidP="002B0817">
            <w:pPr>
              <w:jc w:val="center"/>
              <w:rPr>
                <w:rFonts w:eastAsia="Times New Roman"/>
                <w:b/>
                <w:bCs/>
                <w:color w:val="000000"/>
                <w:sz w:val="18"/>
                <w:szCs w:val="18"/>
                <w:lang w:eastAsia="es-SV"/>
              </w:rPr>
            </w:pPr>
            <w:r w:rsidRPr="002B0817">
              <w:rPr>
                <w:rFonts w:eastAsia="Times New Roman"/>
                <w:b/>
                <w:bCs/>
                <w:color w:val="000000"/>
                <w:sz w:val="18"/>
                <w:szCs w:val="18"/>
                <w:lang w:eastAsia="es-SV"/>
              </w:rPr>
              <w:t>TOTAL AÑO</w:t>
            </w:r>
          </w:p>
        </w:tc>
      </w:tr>
      <w:tr w:rsidR="002B0817" w:rsidRPr="002B0817" w:rsidTr="00C60200">
        <w:trPr>
          <w:trHeight w:val="256"/>
        </w:trPr>
        <w:tc>
          <w:tcPr>
            <w:tcW w:w="1412" w:type="dxa"/>
            <w:vMerge/>
            <w:tcBorders>
              <w:top w:val="single" w:sz="4" w:space="0" w:color="auto"/>
              <w:left w:val="single" w:sz="4" w:space="0" w:color="auto"/>
              <w:bottom w:val="single" w:sz="4" w:space="0" w:color="auto"/>
              <w:right w:val="single" w:sz="4" w:space="0" w:color="auto"/>
            </w:tcBorders>
            <w:vAlign w:val="center"/>
            <w:hideMark/>
          </w:tcPr>
          <w:p w:rsidR="002B0817" w:rsidRPr="002B0817" w:rsidRDefault="002B0817" w:rsidP="002B0817">
            <w:pPr>
              <w:rPr>
                <w:rFonts w:eastAsia="Times New Roman"/>
                <w:b/>
                <w:bCs/>
                <w:color w:val="000000"/>
                <w:sz w:val="18"/>
                <w:szCs w:val="18"/>
                <w:lang w:eastAsia="es-SV"/>
              </w:rPr>
            </w:pPr>
          </w:p>
        </w:tc>
        <w:tc>
          <w:tcPr>
            <w:tcW w:w="814" w:type="dxa"/>
            <w:tcBorders>
              <w:top w:val="nil"/>
              <w:left w:val="nil"/>
              <w:bottom w:val="single" w:sz="4" w:space="0" w:color="auto"/>
              <w:right w:val="single" w:sz="4" w:space="0" w:color="auto"/>
            </w:tcBorders>
            <w:shd w:val="clear" w:color="000000" w:fill="95B3D7"/>
            <w:noWrap/>
            <w:vAlign w:val="bottom"/>
            <w:hideMark/>
          </w:tcPr>
          <w:p w:rsidR="002B0817" w:rsidRPr="002B0817" w:rsidRDefault="002B0817" w:rsidP="002B0817">
            <w:pPr>
              <w:jc w:val="center"/>
              <w:rPr>
                <w:rFonts w:eastAsia="Times New Roman"/>
                <w:b/>
                <w:bCs/>
                <w:color w:val="000000"/>
                <w:sz w:val="18"/>
                <w:szCs w:val="18"/>
                <w:lang w:eastAsia="es-SV"/>
              </w:rPr>
            </w:pPr>
            <w:r w:rsidRPr="002B0817">
              <w:rPr>
                <w:rFonts w:eastAsia="Times New Roman"/>
                <w:b/>
                <w:bCs/>
                <w:color w:val="000000"/>
                <w:sz w:val="18"/>
                <w:szCs w:val="18"/>
                <w:lang w:eastAsia="es-SV"/>
              </w:rPr>
              <w:t>M</w:t>
            </w:r>
          </w:p>
        </w:tc>
        <w:tc>
          <w:tcPr>
            <w:tcW w:w="814" w:type="dxa"/>
            <w:tcBorders>
              <w:top w:val="nil"/>
              <w:left w:val="nil"/>
              <w:bottom w:val="single" w:sz="4" w:space="0" w:color="auto"/>
              <w:right w:val="single" w:sz="4" w:space="0" w:color="auto"/>
            </w:tcBorders>
            <w:shd w:val="clear" w:color="000000" w:fill="95B3D7"/>
            <w:noWrap/>
            <w:vAlign w:val="bottom"/>
            <w:hideMark/>
          </w:tcPr>
          <w:p w:rsidR="002B0817" w:rsidRPr="002B0817" w:rsidRDefault="002B0817" w:rsidP="002B0817">
            <w:pPr>
              <w:jc w:val="center"/>
              <w:rPr>
                <w:rFonts w:eastAsia="Times New Roman"/>
                <w:b/>
                <w:bCs/>
                <w:color w:val="000000"/>
                <w:sz w:val="18"/>
                <w:szCs w:val="18"/>
                <w:lang w:eastAsia="es-SV"/>
              </w:rPr>
            </w:pPr>
            <w:r w:rsidRPr="002B0817">
              <w:rPr>
                <w:rFonts w:eastAsia="Times New Roman"/>
                <w:b/>
                <w:bCs/>
                <w:color w:val="000000"/>
                <w:sz w:val="18"/>
                <w:szCs w:val="18"/>
                <w:lang w:eastAsia="es-SV"/>
              </w:rPr>
              <w:t>F</w:t>
            </w:r>
          </w:p>
        </w:tc>
        <w:tc>
          <w:tcPr>
            <w:tcW w:w="814" w:type="dxa"/>
            <w:tcBorders>
              <w:top w:val="nil"/>
              <w:left w:val="nil"/>
              <w:bottom w:val="single" w:sz="4" w:space="0" w:color="auto"/>
              <w:right w:val="single" w:sz="4" w:space="0" w:color="auto"/>
            </w:tcBorders>
            <w:shd w:val="clear" w:color="000000" w:fill="95B3D7"/>
            <w:noWrap/>
            <w:vAlign w:val="center"/>
            <w:hideMark/>
          </w:tcPr>
          <w:p w:rsidR="002B0817" w:rsidRPr="002B0817" w:rsidRDefault="002B0817" w:rsidP="002B0817">
            <w:pPr>
              <w:jc w:val="center"/>
              <w:rPr>
                <w:rFonts w:eastAsia="Times New Roman"/>
                <w:b/>
                <w:bCs/>
                <w:color w:val="000000"/>
                <w:sz w:val="18"/>
                <w:szCs w:val="18"/>
                <w:lang w:eastAsia="es-SV"/>
              </w:rPr>
            </w:pPr>
            <w:r w:rsidRPr="002B0817">
              <w:rPr>
                <w:rFonts w:eastAsia="Times New Roman"/>
                <w:b/>
                <w:bCs/>
                <w:color w:val="000000"/>
                <w:sz w:val="18"/>
                <w:szCs w:val="18"/>
                <w:lang w:eastAsia="es-SV"/>
              </w:rPr>
              <w:t>TOTAL</w:t>
            </w:r>
          </w:p>
        </w:tc>
        <w:tc>
          <w:tcPr>
            <w:tcW w:w="761" w:type="dxa"/>
            <w:tcBorders>
              <w:top w:val="nil"/>
              <w:left w:val="nil"/>
              <w:bottom w:val="single" w:sz="4" w:space="0" w:color="auto"/>
              <w:right w:val="single" w:sz="4" w:space="0" w:color="auto"/>
            </w:tcBorders>
            <w:shd w:val="clear" w:color="000000" w:fill="95B3D7"/>
            <w:noWrap/>
            <w:vAlign w:val="bottom"/>
            <w:hideMark/>
          </w:tcPr>
          <w:p w:rsidR="002B0817" w:rsidRPr="002B0817" w:rsidRDefault="002B0817" w:rsidP="002B0817">
            <w:pPr>
              <w:jc w:val="center"/>
              <w:rPr>
                <w:rFonts w:eastAsia="Times New Roman"/>
                <w:b/>
                <w:bCs/>
                <w:color w:val="000000"/>
                <w:sz w:val="18"/>
                <w:szCs w:val="18"/>
                <w:lang w:eastAsia="es-SV"/>
              </w:rPr>
            </w:pPr>
            <w:r w:rsidRPr="002B0817">
              <w:rPr>
                <w:rFonts w:eastAsia="Times New Roman"/>
                <w:b/>
                <w:bCs/>
                <w:color w:val="000000"/>
                <w:sz w:val="18"/>
                <w:szCs w:val="18"/>
                <w:lang w:eastAsia="es-SV"/>
              </w:rPr>
              <w:t>M</w:t>
            </w:r>
          </w:p>
        </w:tc>
        <w:tc>
          <w:tcPr>
            <w:tcW w:w="761" w:type="dxa"/>
            <w:tcBorders>
              <w:top w:val="nil"/>
              <w:left w:val="nil"/>
              <w:bottom w:val="single" w:sz="4" w:space="0" w:color="auto"/>
              <w:right w:val="single" w:sz="4" w:space="0" w:color="auto"/>
            </w:tcBorders>
            <w:shd w:val="clear" w:color="000000" w:fill="95B3D7"/>
            <w:noWrap/>
            <w:vAlign w:val="bottom"/>
            <w:hideMark/>
          </w:tcPr>
          <w:p w:rsidR="002B0817" w:rsidRPr="002B0817" w:rsidRDefault="002B0817" w:rsidP="002B0817">
            <w:pPr>
              <w:jc w:val="center"/>
              <w:rPr>
                <w:rFonts w:eastAsia="Times New Roman"/>
                <w:b/>
                <w:bCs/>
                <w:color w:val="000000"/>
                <w:sz w:val="18"/>
                <w:szCs w:val="18"/>
                <w:lang w:eastAsia="es-SV"/>
              </w:rPr>
            </w:pPr>
            <w:r w:rsidRPr="002B0817">
              <w:rPr>
                <w:rFonts w:eastAsia="Times New Roman"/>
                <w:b/>
                <w:bCs/>
                <w:color w:val="000000"/>
                <w:sz w:val="18"/>
                <w:szCs w:val="18"/>
                <w:lang w:eastAsia="es-SV"/>
              </w:rPr>
              <w:t>F</w:t>
            </w:r>
          </w:p>
        </w:tc>
        <w:tc>
          <w:tcPr>
            <w:tcW w:w="922" w:type="dxa"/>
            <w:tcBorders>
              <w:top w:val="nil"/>
              <w:left w:val="nil"/>
              <w:bottom w:val="single" w:sz="4" w:space="0" w:color="auto"/>
              <w:right w:val="single" w:sz="4" w:space="0" w:color="auto"/>
            </w:tcBorders>
            <w:shd w:val="clear" w:color="000000" w:fill="95B3D7"/>
            <w:noWrap/>
            <w:vAlign w:val="center"/>
            <w:hideMark/>
          </w:tcPr>
          <w:p w:rsidR="002B0817" w:rsidRPr="002B0817" w:rsidRDefault="002B0817" w:rsidP="002B0817">
            <w:pPr>
              <w:jc w:val="center"/>
              <w:rPr>
                <w:rFonts w:eastAsia="Times New Roman"/>
                <w:b/>
                <w:bCs/>
                <w:color w:val="000000"/>
                <w:sz w:val="18"/>
                <w:szCs w:val="18"/>
                <w:lang w:eastAsia="es-SV"/>
              </w:rPr>
            </w:pPr>
            <w:r w:rsidRPr="002B0817">
              <w:rPr>
                <w:rFonts w:eastAsia="Times New Roman"/>
                <w:b/>
                <w:bCs/>
                <w:color w:val="000000"/>
                <w:sz w:val="18"/>
                <w:szCs w:val="18"/>
                <w:lang w:eastAsia="es-SV"/>
              </w:rPr>
              <w:t>TOTAL</w:t>
            </w:r>
          </w:p>
        </w:tc>
        <w:tc>
          <w:tcPr>
            <w:tcW w:w="814" w:type="dxa"/>
            <w:tcBorders>
              <w:top w:val="nil"/>
              <w:left w:val="nil"/>
              <w:bottom w:val="single" w:sz="4" w:space="0" w:color="auto"/>
              <w:right w:val="single" w:sz="4" w:space="0" w:color="auto"/>
            </w:tcBorders>
            <w:shd w:val="clear" w:color="000000" w:fill="95B3D7"/>
            <w:noWrap/>
            <w:vAlign w:val="bottom"/>
            <w:hideMark/>
          </w:tcPr>
          <w:p w:rsidR="002B0817" w:rsidRPr="002B0817" w:rsidRDefault="002B0817" w:rsidP="002B0817">
            <w:pPr>
              <w:jc w:val="center"/>
              <w:rPr>
                <w:rFonts w:eastAsia="Times New Roman"/>
                <w:b/>
                <w:bCs/>
                <w:color w:val="000000"/>
                <w:sz w:val="18"/>
                <w:szCs w:val="18"/>
                <w:lang w:eastAsia="es-SV"/>
              </w:rPr>
            </w:pPr>
            <w:r w:rsidRPr="002B0817">
              <w:rPr>
                <w:rFonts w:eastAsia="Times New Roman"/>
                <w:b/>
                <w:bCs/>
                <w:color w:val="000000"/>
                <w:sz w:val="18"/>
                <w:szCs w:val="18"/>
                <w:lang w:eastAsia="es-SV"/>
              </w:rPr>
              <w:t>M</w:t>
            </w:r>
          </w:p>
        </w:tc>
        <w:tc>
          <w:tcPr>
            <w:tcW w:w="814" w:type="dxa"/>
            <w:tcBorders>
              <w:top w:val="nil"/>
              <w:left w:val="nil"/>
              <w:bottom w:val="single" w:sz="4" w:space="0" w:color="auto"/>
              <w:right w:val="single" w:sz="4" w:space="0" w:color="auto"/>
            </w:tcBorders>
            <w:shd w:val="clear" w:color="000000" w:fill="95B3D7"/>
            <w:noWrap/>
            <w:vAlign w:val="bottom"/>
            <w:hideMark/>
          </w:tcPr>
          <w:p w:rsidR="002B0817" w:rsidRPr="002B0817" w:rsidRDefault="002B0817" w:rsidP="002B0817">
            <w:pPr>
              <w:jc w:val="center"/>
              <w:rPr>
                <w:rFonts w:eastAsia="Times New Roman"/>
                <w:b/>
                <w:bCs/>
                <w:color w:val="000000"/>
                <w:sz w:val="18"/>
                <w:szCs w:val="18"/>
                <w:lang w:eastAsia="es-SV"/>
              </w:rPr>
            </w:pPr>
            <w:r w:rsidRPr="002B0817">
              <w:rPr>
                <w:rFonts w:eastAsia="Times New Roman"/>
                <w:b/>
                <w:bCs/>
                <w:color w:val="000000"/>
                <w:sz w:val="18"/>
                <w:szCs w:val="18"/>
                <w:lang w:eastAsia="es-SV"/>
              </w:rPr>
              <w:t>F</w:t>
            </w:r>
          </w:p>
        </w:tc>
        <w:tc>
          <w:tcPr>
            <w:tcW w:w="814" w:type="dxa"/>
            <w:tcBorders>
              <w:top w:val="nil"/>
              <w:left w:val="nil"/>
              <w:bottom w:val="single" w:sz="4" w:space="0" w:color="auto"/>
              <w:right w:val="single" w:sz="4" w:space="0" w:color="auto"/>
            </w:tcBorders>
            <w:shd w:val="clear" w:color="000000" w:fill="95B3D7"/>
            <w:noWrap/>
            <w:vAlign w:val="center"/>
            <w:hideMark/>
          </w:tcPr>
          <w:p w:rsidR="002B0817" w:rsidRPr="002B0817" w:rsidRDefault="002B0817" w:rsidP="002B0817">
            <w:pPr>
              <w:jc w:val="center"/>
              <w:rPr>
                <w:rFonts w:eastAsia="Times New Roman"/>
                <w:b/>
                <w:bCs/>
                <w:color w:val="000000"/>
                <w:sz w:val="18"/>
                <w:szCs w:val="18"/>
                <w:lang w:eastAsia="es-SV"/>
              </w:rPr>
            </w:pPr>
            <w:r w:rsidRPr="002B0817">
              <w:rPr>
                <w:rFonts w:eastAsia="Times New Roman"/>
                <w:b/>
                <w:bCs/>
                <w:color w:val="000000"/>
                <w:sz w:val="18"/>
                <w:szCs w:val="18"/>
                <w:lang w:eastAsia="es-SV"/>
              </w:rPr>
              <w:t>TOTAL</w:t>
            </w:r>
          </w:p>
        </w:tc>
        <w:tc>
          <w:tcPr>
            <w:tcW w:w="814" w:type="dxa"/>
            <w:vMerge/>
            <w:tcBorders>
              <w:top w:val="single" w:sz="4" w:space="0" w:color="auto"/>
              <w:left w:val="single" w:sz="4" w:space="0" w:color="auto"/>
              <w:bottom w:val="single" w:sz="4" w:space="0" w:color="auto"/>
              <w:right w:val="single" w:sz="4" w:space="0" w:color="auto"/>
            </w:tcBorders>
            <w:vAlign w:val="center"/>
            <w:hideMark/>
          </w:tcPr>
          <w:p w:rsidR="002B0817" w:rsidRPr="002B0817" w:rsidRDefault="002B0817" w:rsidP="002B0817">
            <w:pPr>
              <w:rPr>
                <w:rFonts w:eastAsia="Times New Roman"/>
                <w:b/>
                <w:bCs/>
                <w:color w:val="000000"/>
                <w:sz w:val="18"/>
                <w:szCs w:val="18"/>
                <w:lang w:eastAsia="es-SV"/>
              </w:rPr>
            </w:pPr>
          </w:p>
        </w:tc>
      </w:tr>
      <w:tr w:rsidR="002B0817" w:rsidRPr="002B0817" w:rsidTr="00C60200">
        <w:trPr>
          <w:trHeight w:val="256"/>
        </w:trPr>
        <w:tc>
          <w:tcPr>
            <w:tcW w:w="1412" w:type="dxa"/>
            <w:tcBorders>
              <w:top w:val="nil"/>
              <w:left w:val="single" w:sz="4" w:space="0" w:color="auto"/>
              <w:bottom w:val="single" w:sz="4" w:space="0" w:color="auto"/>
              <w:right w:val="single" w:sz="4" w:space="0" w:color="auto"/>
            </w:tcBorders>
            <w:shd w:val="clear" w:color="000000" w:fill="95B3D7"/>
            <w:noWrap/>
            <w:vAlign w:val="bottom"/>
            <w:hideMark/>
          </w:tcPr>
          <w:p w:rsidR="002B0817" w:rsidRPr="002B0817" w:rsidRDefault="002B0817" w:rsidP="002B0817">
            <w:pPr>
              <w:jc w:val="center"/>
              <w:rPr>
                <w:rFonts w:eastAsia="Times New Roman"/>
                <w:b/>
                <w:bCs/>
                <w:color w:val="000000"/>
                <w:sz w:val="18"/>
                <w:szCs w:val="18"/>
                <w:lang w:eastAsia="es-SV"/>
              </w:rPr>
            </w:pPr>
            <w:r w:rsidRPr="002B0817">
              <w:rPr>
                <w:rFonts w:eastAsia="Times New Roman"/>
                <w:b/>
                <w:bCs/>
                <w:color w:val="000000"/>
                <w:sz w:val="18"/>
                <w:szCs w:val="18"/>
                <w:lang w:eastAsia="es-SV"/>
              </w:rPr>
              <w:t>2009</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10,501</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23,455</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33,956</w:t>
            </w:r>
          </w:p>
        </w:tc>
        <w:tc>
          <w:tcPr>
            <w:tcW w:w="761"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5,764</w:t>
            </w:r>
          </w:p>
        </w:tc>
        <w:tc>
          <w:tcPr>
            <w:tcW w:w="761"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4,035</w:t>
            </w:r>
          </w:p>
        </w:tc>
        <w:tc>
          <w:tcPr>
            <w:tcW w:w="922"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9,799</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21,102</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20,787</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41,889</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85,644</w:t>
            </w:r>
          </w:p>
        </w:tc>
      </w:tr>
      <w:tr w:rsidR="002B0817" w:rsidRPr="002B0817" w:rsidTr="00C60200">
        <w:trPr>
          <w:trHeight w:val="256"/>
        </w:trPr>
        <w:tc>
          <w:tcPr>
            <w:tcW w:w="1412" w:type="dxa"/>
            <w:tcBorders>
              <w:top w:val="nil"/>
              <w:left w:val="single" w:sz="4" w:space="0" w:color="auto"/>
              <w:bottom w:val="single" w:sz="4" w:space="0" w:color="auto"/>
              <w:right w:val="single" w:sz="4" w:space="0" w:color="auto"/>
            </w:tcBorders>
            <w:shd w:val="clear" w:color="000000" w:fill="95B3D7"/>
            <w:noWrap/>
            <w:vAlign w:val="bottom"/>
            <w:hideMark/>
          </w:tcPr>
          <w:p w:rsidR="002B0817" w:rsidRPr="002B0817" w:rsidRDefault="002B0817" w:rsidP="002B0817">
            <w:pPr>
              <w:jc w:val="center"/>
              <w:rPr>
                <w:rFonts w:eastAsia="Times New Roman"/>
                <w:b/>
                <w:bCs/>
                <w:color w:val="000000"/>
                <w:sz w:val="18"/>
                <w:szCs w:val="18"/>
                <w:lang w:eastAsia="es-SV"/>
              </w:rPr>
            </w:pPr>
            <w:r w:rsidRPr="002B0817">
              <w:rPr>
                <w:rFonts w:eastAsia="Times New Roman"/>
                <w:b/>
                <w:bCs/>
                <w:color w:val="000000"/>
                <w:sz w:val="18"/>
                <w:szCs w:val="18"/>
                <w:lang w:eastAsia="es-SV"/>
              </w:rPr>
              <w:t>2010</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10,850</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24,235</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35,085</w:t>
            </w:r>
          </w:p>
        </w:tc>
        <w:tc>
          <w:tcPr>
            <w:tcW w:w="761"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5,929</w:t>
            </w:r>
          </w:p>
        </w:tc>
        <w:tc>
          <w:tcPr>
            <w:tcW w:w="761"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4,160</w:t>
            </w:r>
          </w:p>
        </w:tc>
        <w:tc>
          <w:tcPr>
            <w:tcW w:w="922"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10,089</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21,029</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20,638</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41,667</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86,841</w:t>
            </w:r>
          </w:p>
        </w:tc>
      </w:tr>
      <w:tr w:rsidR="002B0817" w:rsidRPr="002B0817" w:rsidTr="00C60200">
        <w:trPr>
          <w:trHeight w:val="256"/>
        </w:trPr>
        <w:tc>
          <w:tcPr>
            <w:tcW w:w="1412" w:type="dxa"/>
            <w:tcBorders>
              <w:top w:val="nil"/>
              <w:left w:val="single" w:sz="4" w:space="0" w:color="auto"/>
              <w:bottom w:val="single" w:sz="4" w:space="0" w:color="auto"/>
              <w:right w:val="single" w:sz="4" w:space="0" w:color="auto"/>
            </w:tcBorders>
            <w:shd w:val="clear" w:color="000000" w:fill="95B3D7"/>
            <w:noWrap/>
            <w:vAlign w:val="bottom"/>
            <w:hideMark/>
          </w:tcPr>
          <w:p w:rsidR="002B0817" w:rsidRPr="002B0817" w:rsidRDefault="002B0817" w:rsidP="002B0817">
            <w:pPr>
              <w:jc w:val="center"/>
              <w:rPr>
                <w:rFonts w:eastAsia="Times New Roman"/>
                <w:b/>
                <w:bCs/>
                <w:color w:val="000000"/>
                <w:sz w:val="18"/>
                <w:szCs w:val="18"/>
                <w:lang w:eastAsia="es-SV"/>
              </w:rPr>
            </w:pPr>
            <w:r w:rsidRPr="002B0817">
              <w:rPr>
                <w:rFonts w:eastAsia="Times New Roman"/>
                <w:b/>
                <w:bCs/>
                <w:color w:val="000000"/>
                <w:sz w:val="18"/>
                <w:szCs w:val="18"/>
                <w:lang w:eastAsia="es-SV"/>
              </w:rPr>
              <w:t>2011</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13,006</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29,362</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42,368</w:t>
            </w:r>
          </w:p>
        </w:tc>
        <w:tc>
          <w:tcPr>
            <w:tcW w:w="761"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7,509</w:t>
            </w:r>
          </w:p>
        </w:tc>
        <w:tc>
          <w:tcPr>
            <w:tcW w:w="761"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5,201</w:t>
            </w:r>
          </w:p>
        </w:tc>
        <w:tc>
          <w:tcPr>
            <w:tcW w:w="922"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12,710</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24,547</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24,008</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48,555</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103,633</w:t>
            </w:r>
          </w:p>
        </w:tc>
      </w:tr>
      <w:tr w:rsidR="002B0817" w:rsidRPr="002B0817" w:rsidTr="00C60200">
        <w:trPr>
          <w:trHeight w:val="256"/>
        </w:trPr>
        <w:tc>
          <w:tcPr>
            <w:tcW w:w="1412" w:type="dxa"/>
            <w:tcBorders>
              <w:top w:val="nil"/>
              <w:left w:val="single" w:sz="4" w:space="0" w:color="auto"/>
              <w:bottom w:val="single" w:sz="4" w:space="0" w:color="auto"/>
              <w:right w:val="single" w:sz="4" w:space="0" w:color="auto"/>
            </w:tcBorders>
            <w:shd w:val="clear" w:color="000000" w:fill="95B3D7"/>
            <w:noWrap/>
            <w:vAlign w:val="bottom"/>
            <w:hideMark/>
          </w:tcPr>
          <w:p w:rsidR="002B0817" w:rsidRPr="002B0817" w:rsidRDefault="002B0817" w:rsidP="002B0817">
            <w:pPr>
              <w:jc w:val="center"/>
              <w:rPr>
                <w:rFonts w:eastAsia="Times New Roman"/>
                <w:b/>
                <w:bCs/>
                <w:color w:val="000000"/>
                <w:sz w:val="18"/>
                <w:szCs w:val="18"/>
                <w:lang w:eastAsia="es-SV"/>
              </w:rPr>
            </w:pPr>
            <w:r w:rsidRPr="002B0817">
              <w:rPr>
                <w:rFonts w:eastAsia="Times New Roman"/>
                <w:b/>
                <w:bCs/>
                <w:color w:val="000000"/>
                <w:sz w:val="18"/>
                <w:szCs w:val="18"/>
                <w:lang w:eastAsia="es-SV"/>
              </w:rPr>
              <w:t>2012</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13,200</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29,549</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42,749</w:t>
            </w:r>
          </w:p>
        </w:tc>
        <w:tc>
          <w:tcPr>
            <w:tcW w:w="761"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7,634</w:t>
            </w:r>
          </w:p>
        </w:tc>
        <w:tc>
          <w:tcPr>
            <w:tcW w:w="761"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5,323</w:t>
            </w:r>
          </w:p>
        </w:tc>
        <w:tc>
          <w:tcPr>
            <w:tcW w:w="922"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12,957</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24,204</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23,561</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47,765</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103,471</w:t>
            </w:r>
          </w:p>
        </w:tc>
      </w:tr>
      <w:tr w:rsidR="002B0817" w:rsidRPr="002B0817" w:rsidTr="00C60200">
        <w:trPr>
          <w:trHeight w:val="256"/>
        </w:trPr>
        <w:tc>
          <w:tcPr>
            <w:tcW w:w="1412" w:type="dxa"/>
            <w:tcBorders>
              <w:top w:val="nil"/>
              <w:left w:val="single" w:sz="4" w:space="0" w:color="auto"/>
              <w:bottom w:val="single" w:sz="4" w:space="0" w:color="auto"/>
              <w:right w:val="single" w:sz="4" w:space="0" w:color="auto"/>
            </w:tcBorders>
            <w:shd w:val="clear" w:color="000000" w:fill="95B3D7"/>
            <w:noWrap/>
            <w:vAlign w:val="bottom"/>
            <w:hideMark/>
          </w:tcPr>
          <w:p w:rsidR="002B0817" w:rsidRPr="002B0817" w:rsidRDefault="002B0817" w:rsidP="002B0817">
            <w:pPr>
              <w:jc w:val="center"/>
              <w:rPr>
                <w:rFonts w:eastAsia="Times New Roman"/>
                <w:b/>
                <w:bCs/>
                <w:color w:val="000000"/>
                <w:sz w:val="18"/>
                <w:szCs w:val="18"/>
                <w:lang w:eastAsia="es-SV"/>
              </w:rPr>
            </w:pPr>
            <w:r w:rsidRPr="002B0817">
              <w:rPr>
                <w:rFonts w:eastAsia="Times New Roman"/>
                <w:b/>
                <w:bCs/>
                <w:color w:val="000000"/>
                <w:sz w:val="18"/>
                <w:szCs w:val="18"/>
                <w:lang w:eastAsia="es-SV"/>
              </w:rPr>
              <w:t>2013</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13,187</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29,176</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42,363</w:t>
            </w:r>
          </w:p>
        </w:tc>
        <w:tc>
          <w:tcPr>
            <w:tcW w:w="761"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7,462</w:t>
            </w:r>
          </w:p>
        </w:tc>
        <w:tc>
          <w:tcPr>
            <w:tcW w:w="761"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5,297</w:t>
            </w:r>
          </w:p>
        </w:tc>
        <w:tc>
          <w:tcPr>
            <w:tcW w:w="922"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12,759</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23,499</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22,878</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46,377</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101,499</w:t>
            </w:r>
          </w:p>
        </w:tc>
      </w:tr>
      <w:tr w:rsidR="002B0817" w:rsidRPr="002B0817" w:rsidTr="00C60200">
        <w:trPr>
          <w:trHeight w:val="256"/>
        </w:trPr>
        <w:tc>
          <w:tcPr>
            <w:tcW w:w="1412" w:type="dxa"/>
            <w:tcBorders>
              <w:top w:val="nil"/>
              <w:left w:val="single" w:sz="4" w:space="0" w:color="auto"/>
              <w:bottom w:val="single" w:sz="4" w:space="0" w:color="auto"/>
              <w:right w:val="single" w:sz="4" w:space="0" w:color="auto"/>
            </w:tcBorders>
            <w:shd w:val="clear" w:color="000000" w:fill="95B3D7"/>
            <w:noWrap/>
            <w:vAlign w:val="bottom"/>
            <w:hideMark/>
          </w:tcPr>
          <w:p w:rsidR="002B0817" w:rsidRPr="002B0817" w:rsidRDefault="002B0817" w:rsidP="002B0817">
            <w:pPr>
              <w:jc w:val="center"/>
              <w:rPr>
                <w:rFonts w:eastAsia="Times New Roman"/>
                <w:b/>
                <w:bCs/>
                <w:color w:val="000000"/>
                <w:sz w:val="18"/>
                <w:szCs w:val="18"/>
                <w:lang w:eastAsia="es-SV"/>
              </w:rPr>
            </w:pPr>
            <w:r w:rsidRPr="002B0817">
              <w:rPr>
                <w:rFonts w:eastAsia="Times New Roman"/>
                <w:b/>
                <w:bCs/>
                <w:color w:val="000000"/>
                <w:sz w:val="18"/>
                <w:szCs w:val="18"/>
                <w:lang w:eastAsia="es-SV"/>
              </w:rPr>
              <w:t>2014</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13,273</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29,021</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42,294</w:t>
            </w:r>
          </w:p>
        </w:tc>
        <w:tc>
          <w:tcPr>
            <w:tcW w:w="761"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7,451</w:t>
            </w:r>
          </w:p>
        </w:tc>
        <w:tc>
          <w:tcPr>
            <w:tcW w:w="761"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5,327</w:t>
            </w:r>
          </w:p>
        </w:tc>
        <w:tc>
          <w:tcPr>
            <w:tcW w:w="922"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12,778</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22,871</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22,378</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45,249</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100,321</w:t>
            </w:r>
          </w:p>
        </w:tc>
      </w:tr>
      <w:tr w:rsidR="002B0817" w:rsidRPr="002B0817" w:rsidTr="00C60200">
        <w:trPr>
          <w:trHeight w:val="256"/>
        </w:trPr>
        <w:tc>
          <w:tcPr>
            <w:tcW w:w="1412" w:type="dxa"/>
            <w:tcBorders>
              <w:top w:val="nil"/>
              <w:left w:val="single" w:sz="4" w:space="0" w:color="auto"/>
              <w:bottom w:val="single" w:sz="4" w:space="0" w:color="auto"/>
              <w:right w:val="single" w:sz="4" w:space="0" w:color="auto"/>
            </w:tcBorders>
            <w:shd w:val="clear" w:color="000000" w:fill="95B3D7"/>
            <w:noWrap/>
            <w:vAlign w:val="bottom"/>
            <w:hideMark/>
          </w:tcPr>
          <w:p w:rsidR="002B0817" w:rsidRPr="002B0817" w:rsidRDefault="002B0817" w:rsidP="002B0817">
            <w:pPr>
              <w:jc w:val="center"/>
              <w:rPr>
                <w:rFonts w:eastAsia="Times New Roman"/>
                <w:b/>
                <w:bCs/>
                <w:color w:val="000000"/>
                <w:sz w:val="18"/>
                <w:szCs w:val="18"/>
                <w:lang w:eastAsia="es-SV"/>
              </w:rPr>
            </w:pPr>
            <w:r w:rsidRPr="002B0817">
              <w:rPr>
                <w:rFonts w:eastAsia="Times New Roman"/>
                <w:b/>
                <w:bCs/>
                <w:color w:val="000000"/>
                <w:sz w:val="18"/>
                <w:szCs w:val="18"/>
                <w:lang w:eastAsia="es-SV"/>
              </w:rPr>
              <w:t>2015</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13,257</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28,789</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42,046</w:t>
            </w:r>
          </w:p>
        </w:tc>
        <w:tc>
          <w:tcPr>
            <w:tcW w:w="761"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7,483</w:t>
            </w:r>
          </w:p>
        </w:tc>
        <w:tc>
          <w:tcPr>
            <w:tcW w:w="761"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5,334</w:t>
            </w:r>
          </w:p>
        </w:tc>
        <w:tc>
          <w:tcPr>
            <w:tcW w:w="922"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12,817</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21,885</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21,548</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43,433</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98,296</w:t>
            </w:r>
          </w:p>
        </w:tc>
      </w:tr>
      <w:tr w:rsidR="002B0817" w:rsidRPr="002B0817" w:rsidTr="00C60200">
        <w:trPr>
          <w:trHeight w:val="256"/>
        </w:trPr>
        <w:tc>
          <w:tcPr>
            <w:tcW w:w="1412" w:type="dxa"/>
            <w:tcBorders>
              <w:top w:val="nil"/>
              <w:left w:val="single" w:sz="4" w:space="0" w:color="auto"/>
              <w:bottom w:val="single" w:sz="4" w:space="0" w:color="auto"/>
              <w:right w:val="single" w:sz="4" w:space="0" w:color="auto"/>
            </w:tcBorders>
            <w:shd w:val="clear" w:color="000000" w:fill="95B3D7"/>
            <w:noWrap/>
            <w:vAlign w:val="bottom"/>
            <w:hideMark/>
          </w:tcPr>
          <w:p w:rsidR="002B0817" w:rsidRPr="002B0817" w:rsidRDefault="002B0817" w:rsidP="002B0817">
            <w:pPr>
              <w:jc w:val="center"/>
              <w:rPr>
                <w:rFonts w:eastAsia="Times New Roman"/>
                <w:b/>
                <w:bCs/>
                <w:color w:val="000000"/>
                <w:sz w:val="18"/>
                <w:szCs w:val="18"/>
                <w:lang w:eastAsia="es-SV"/>
              </w:rPr>
            </w:pPr>
            <w:r w:rsidRPr="002B0817">
              <w:rPr>
                <w:rFonts w:eastAsia="Times New Roman"/>
                <w:b/>
                <w:bCs/>
                <w:color w:val="000000"/>
                <w:sz w:val="18"/>
                <w:szCs w:val="18"/>
                <w:lang w:eastAsia="es-SV"/>
              </w:rPr>
              <w:t>2016</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13,333</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28,400</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41,734</w:t>
            </w:r>
          </w:p>
        </w:tc>
        <w:tc>
          <w:tcPr>
            <w:tcW w:w="761"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7,393</w:t>
            </w:r>
          </w:p>
        </w:tc>
        <w:tc>
          <w:tcPr>
            <w:tcW w:w="761"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5,380</w:t>
            </w:r>
          </w:p>
        </w:tc>
        <w:tc>
          <w:tcPr>
            <w:tcW w:w="922"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12,773</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20,926</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20,713</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41,639</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96,145</w:t>
            </w:r>
          </w:p>
        </w:tc>
      </w:tr>
      <w:tr w:rsidR="002B0817" w:rsidRPr="002B0817" w:rsidTr="00C60200">
        <w:trPr>
          <w:trHeight w:val="256"/>
        </w:trPr>
        <w:tc>
          <w:tcPr>
            <w:tcW w:w="1412" w:type="dxa"/>
            <w:tcBorders>
              <w:top w:val="nil"/>
              <w:left w:val="single" w:sz="4" w:space="0" w:color="auto"/>
              <w:bottom w:val="single" w:sz="4" w:space="0" w:color="auto"/>
              <w:right w:val="single" w:sz="4" w:space="0" w:color="auto"/>
            </w:tcBorders>
            <w:shd w:val="clear" w:color="000000" w:fill="95B3D7"/>
            <w:noWrap/>
            <w:vAlign w:val="bottom"/>
            <w:hideMark/>
          </w:tcPr>
          <w:p w:rsidR="002B0817" w:rsidRPr="002B0817" w:rsidRDefault="002B0817" w:rsidP="002B0817">
            <w:pPr>
              <w:jc w:val="center"/>
              <w:rPr>
                <w:rFonts w:eastAsia="Times New Roman"/>
                <w:b/>
                <w:bCs/>
                <w:color w:val="000000"/>
                <w:sz w:val="18"/>
                <w:szCs w:val="18"/>
                <w:lang w:eastAsia="es-SV"/>
              </w:rPr>
            </w:pPr>
            <w:r w:rsidRPr="002B0817">
              <w:rPr>
                <w:rFonts w:eastAsia="Times New Roman"/>
                <w:b/>
                <w:bCs/>
                <w:color w:val="000000"/>
                <w:sz w:val="18"/>
                <w:szCs w:val="18"/>
                <w:lang w:eastAsia="es-SV"/>
              </w:rPr>
              <w:t>Julio 2017</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13,386</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28,102</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41,488</w:t>
            </w:r>
          </w:p>
        </w:tc>
        <w:tc>
          <w:tcPr>
            <w:tcW w:w="761"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7,261</w:t>
            </w:r>
          </w:p>
        </w:tc>
        <w:tc>
          <w:tcPr>
            <w:tcW w:w="761"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5,393</w:t>
            </w:r>
          </w:p>
        </w:tc>
        <w:tc>
          <w:tcPr>
            <w:tcW w:w="922"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12,654</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20,441</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20,259</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40,700</w:t>
            </w:r>
          </w:p>
        </w:tc>
        <w:tc>
          <w:tcPr>
            <w:tcW w:w="814" w:type="dxa"/>
            <w:tcBorders>
              <w:top w:val="nil"/>
              <w:left w:val="nil"/>
              <w:bottom w:val="single" w:sz="4" w:space="0" w:color="auto"/>
              <w:right w:val="single" w:sz="4" w:space="0" w:color="auto"/>
            </w:tcBorders>
            <w:shd w:val="clear" w:color="auto" w:fill="auto"/>
            <w:noWrap/>
            <w:vAlign w:val="bottom"/>
            <w:hideMark/>
          </w:tcPr>
          <w:p w:rsidR="002B0817" w:rsidRPr="002B0817" w:rsidRDefault="002B0817" w:rsidP="002B0817">
            <w:pPr>
              <w:jc w:val="right"/>
              <w:rPr>
                <w:rFonts w:eastAsia="Times New Roman"/>
                <w:color w:val="000000"/>
                <w:sz w:val="18"/>
                <w:szCs w:val="18"/>
                <w:lang w:eastAsia="es-SV"/>
              </w:rPr>
            </w:pPr>
            <w:r w:rsidRPr="002B0817">
              <w:rPr>
                <w:rFonts w:eastAsia="Times New Roman"/>
                <w:color w:val="000000"/>
                <w:sz w:val="18"/>
                <w:szCs w:val="18"/>
                <w:lang w:eastAsia="es-SV"/>
              </w:rPr>
              <w:t>94,842</w:t>
            </w:r>
          </w:p>
        </w:tc>
      </w:tr>
    </w:tbl>
    <w:p w:rsidR="002B0817" w:rsidRPr="002B0817" w:rsidRDefault="002B0817" w:rsidP="002B0817">
      <w:pPr>
        <w:jc w:val="center"/>
        <w:rPr>
          <w:rFonts w:ascii="Century Gothic" w:hAnsi="Century Gothic" w:cs="Calibri"/>
          <w:i/>
          <w:color w:val="000000"/>
          <w:sz w:val="16"/>
        </w:rPr>
      </w:pPr>
    </w:p>
    <w:p w:rsidR="002B0817" w:rsidRDefault="002B0817" w:rsidP="002B0817">
      <w:pPr>
        <w:rPr>
          <w:rFonts w:ascii="Century Gothic" w:hAnsi="Century Gothic" w:cs="Calibri"/>
          <w:i/>
          <w:color w:val="000000"/>
          <w:sz w:val="16"/>
        </w:rPr>
      </w:pPr>
      <w:r w:rsidRPr="002B0817">
        <w:rPr>
          <w:rFonts w:ascii="Century Gothic" w:hAnsi="Century Gothic" w:cs="Calibri"/>
          <w:i/>
          <w:color w:val="000000"/>
          <w:sz w:val="16"/>
        </w:rPr>
        <w:t>Fuente: SIREXPE (Sistema de Expediente del Docente y su grupo familiar)</w:t>
      </w:r>
    </w:p>
    <w:p w:rsidR="004628AA" w:rsidRDefault="004628AA" w:rsidP="002B0817">
      <w:pPr>
        <w:rPr>
          <w:rFonts w:ascii="Century Gothic" w:hAnsi="Century Gothic" w:cs="Calibri"/>
          <w:i/>
          <w:color w:val="000000"/>
          <w:sz w:val="16"/>
        </w:rPr>
      </w:pPr>
    </w:p>
    <w:p w:rsidR="004628AA" w:rsidRDefault="004628AA" w:rsidP="002B0817">
      <w:pPr>
        <w:rPr>
          <w:rFonts w:ascii="Century Gothic" w:hAnsi="Century Gothic" w:cs="Calibri"/>
          <w:i/>
          <w:color w:val="000000"/>
          <w:sz w:val="16"/>
        </w:rPr>
      </w:pPr>
    </w:p>
    <w:p w:rsidR="004628AA" w:rsidRDefault="004628AA" w:rsidP="002B0817">
      <w:pPr>
        <w:rPr>
          <w:rFonts w:ascii="Century Gothic" w:hAnsi="Century Gothic" w:cs="Calibri"/>
          <w:i/>
          <w:color w:val="000000"/>
          <w:sz w:val="16"/>
        </w:rPr>
      </w:pPr>
    </w:p>
    <w:p w:rsidR="004628AA" w:rsidRDefault="004628AA" w:rsidP="002B0817">
      <w:pPr>
        <w:rPr>
          <w:rFonts w:ascii="Century Gothic" w:hAnsi="Century Gothic" w:cs="Calibri"/>
          <w:i/>
          <w:color w:val="000000"/>
          <w:sz w:val="16"/>
        </w:rPr>
      </w:pPr>
    </w:p>
    <w:p w:rsidR="004628AA" w:rsidRDefault="004628AA" w:rsidP="002B0817">
      <w:pPr>
        <w:rPr>
          <w:rFonts w:ascii="Century Gothic" w:hAnsi="Century Gothic" w:cs="Calibri"/>
          <w:i/>
          <w:color w:val="000000"/>
          <w:sz w:val="16"/>
        </w:rPr>
      </w:pPr>
    </w:p>
    <w:p w:rsidR="004628AA" w:rsidRPr="002B0817" w:rsidRDefault="004628AA" w:rsidP="002B0817">
      <w:pPr>
        <w:rPr>
          <w:rFonts w:ascii="Century Gothic" w:hAnsi="Century Gothic" w:cs="Calibri"/>
          <w:i/>
          <w:color w:val="000000"/>
          <w:sz w:val="16"/>
        </w:rPr>
      </w:pPr>
    </w:p>
    <w:p w:rsidR="00252867" w:rsidRPr="00B51CE3" w:rsidRDefault="00252867" w:rsidP="00252867">
      <w:pPr>
        <w:pStyle w:val="Ttulo4"/>
        <w:numPr>
          <w:ilvl w:val="3"/>
          <w:numId w:val="18"/>
        </w:numPr>
        <w:spacing w:after="120"/>
        <w:rPr>
          <w:sz w:val="24"/>
        </w:rPr>
      </w:pPr>
      <w:bookmarkStart w:id="28" w:name="_Toc491684901"/>
      <w:bookmarkStart w:id="29" w:name="_Toc467228652"/>
      <w:r w:rsidRPr="00B51CE3">
        <w:rPr>
          <w:sz w:val="24"/>
        </w:rPr>
        <w:t>PORTAFOLIO DE SERVICIOS</w:t>
      </w:r>
      <w:bookmarkEnd w:id="28"/>
      <w:r>
        <w:rPr>
          <w:sz w:val="24"/>
        </w:rPr>
        <w:t xml:space="preserve">  </w:t>
      </w:r>
      <w:bookmarkEnd w:id="29"/>
    </w:p>
    <w:p w:rsidR="00252867" w:rsidRPr="00CB29EF" w:rsidRDefault="00252867" w:rsidP="00EC3C1E">
      <w:pPr>
        <w:spacing w:before="200" w:line="276" w:lineRule="auto"/>
        <w:jc w:val="both"/>
        <w:rPr>
          <w:rFonts w:ascii="Century Gothic" w:hAnsi="Century Gothic"/>
        </w:rPr>
      </w:pPr>
      <w:r w:rsidRPr="00CB29EF">
        <w:rPr>
          <w:rFonts w:ascii="Century Gothic" w:hAnsi="Century Gothic"/>
        </w:rPr>
        <w:t>La oferta de servicios en Policlínicos y Consultorios Magisteriales incluye</w:t>
      </w:r>
      <w:r w:rsidR="00D25D19" w:rsidRPr="00CB29EF">
        <w:rPr>
          <w:rFonts w:ascii="Century Gothic" w:hAnsi="Century Gothic"/>
        </w:rPr>
        <w:t>: c</w:t>
      </w:r>
      <w:r w:rsidRPr="00CB29EF">
        <w:rPr>
          <w:rFonts w:ascii="Century Gothic" w:hAnsi="Century Gothic"/>
        </w:rPr>
        <w:t>onsulta de medicina general con enfoque en medicina familiar, atención en especialidades básicas de medicina interna, ginecología, cirugía general  y psiquiatría</w:t>
      </w:r>
      <w:r w:rsidR="00D25D19" w:rsidRPr="00CB29EF">
        <w:rPr>
          <w:rFonts w:ascii="Century Gothic" w:hAnsi="Century Gothic"/>
        </w:rPr>
        <w:t>;</w:t>
      </w:r>
      <w:r w:rsidRPr="00CB29EF">
        <w:rPr>
          <w:rFonts w:ascii="Century Gothic" w:hAnsi="Century Gothic"/>
        </w:rPr>
        <w:t xml:space="preserve"> dispensación de medicamentos en botiquines, atención psicológica, terapia respiratoria, toma de electrocardiogramas, atención odontológica institucional en San Salvador, Santa Ana y San Miguel, además de los servicios de laboratorios clínicos regionales, ubicados en seis Policlínicos Magisteriales estratégicos: San Salvador, Apopa, Santa Ana, Cojutepeque, Usulután y San Miguel; clínicas radiológicas panorámicas en San Salvador y San Miguel. </w:t>
      </w:r>
    </w:p>
    <w:p w:rsidR="004628AA" w:rsidRPr="00CB29EF" w:rsidRDefault="004628AA" w:rsidP="00EC3C1E">
      <w:pPr>
        <w:spacing w:before="200" w:line="276" w:lineRule="auto"/>
        <w:jc w:val="both"/>
        <w:rPr>
          <w:rFonts w:ascii="Century Gothic" w:hAnsi="Century Gothic"/>
        </w:rPr>
      </w:pPr>
    </w:p>
    <w:p w:rsidR="00252867" w:rsidRPr="00CB29EF" w:rsidRDefault="00252867" w:rsidP="00EC3C1E">
      <w:pPr>
        <w:spacing w:before="200" w:line="276" w:lineRule="auto"/>
        <w:jc w:val="both"/>
        <w:rPr>
          <w:rFonts w:ascii="Century Gothic" w:hAnsi="Century Gothic"/>
        </w:rPr>
      </w:pPr>
      <w:r w:rsidRPr="00CB29EF">
        <w:rPr>
          <w:rFonts w:ascii="Century Gothic" w:hAnsi="Century Gothic"/>
        </w:rPr>
        <w:t>Los servicios de atención primaria brindada en Policlínicos y Consultorios Magisteriales, se complementan con dispensación de medicamentos en farmacias privadas y de la red CEFAFA; y con referencias médicas para los siguientes servicios:</w:t>
      </w:r>
    </w:p>
    <w:p w:rsidR="004628AA" w:rsidRPr="00CB29EF" w:rsidRDefault="004628AA" w:rsidP="00EC3C1E">
      <w:pPr>
        <w:spacing w:before="200" w:line="276" w:lineRule="auto"/>
        <w:jc w:val="both"/>
        <w:rPr>
          <w:rFonts w:ascii="Century Gothic" w:hAnsi="Century Gothic"/>
        </w:rPr>
      </w:pPr>
    </w:p>
    <w:p w:rsidR="00252867" w:rsidRPr="00CB29EF" w:rsidRDefault="00252867" w:rsidP="00EC3C1E">
      <w:pPr>
        <w:pStyle w:val="Prrafodelista"/>
        <w:numPr>
          <w:ilvl w:val="0"/>
          <w:numId w:val="36"/>
        </w:numPr>
        <w:spacing w:before="200" w:after="0"/>
        <w:jc w:val="both"/>
        <w:rPr>
          <w:rFonts w:ascii="Century Gothic" w:hAnsi="Century Gothic"/>
        </w:rPr>
      </w:pPr>
      <w:r w:rsidRPr="00CB29EF">
        <w:rPr>
          <w:rFonts w:ascii="Century Gothic" w:hAnsi="Century Gothic"/>
        </w:rPr>
        <w:t>Medicina especializada y odontología.</w:t>
      </w:r>
    </w:p>
    <w:p w:rsidR="004628AA" w:rsidRPr="00CB29EF" w:rsidRDefault="004628AA" w:rsidP="004628AA">
      <w:pPr>
        <w:pStyle w:val="Prrafodelista"/>
        <w:spacing w:before="200" w:after="0"/>
        <w:jc w:val="both"/>
        <w:rPr>
          <w:rFonts w:ascii="Century Gothic" w:hAnsi="Century Gothic"/>
        </w:rPr>
      </w:pPr>
    </w:p>
    <w:p w:rsidR="00252867" w:rsidRPr="00CB29EF" w:rsidRDefault="00252867" w:rsidP="00EC3C1E">
      <w:pPr>
        <w:pStyle w:val="Prrafodelista"/>
        <w:numPr>
          <w:ilvl w:val="0"/>
          <w:numId w:val="36"/>
        </w:numPr>
        <w:spacing w:before="200" w:after="0"/>
        <w:jc w:val="both"/>
        <w:rPr>
          <w:rFonts w:ascii="Century Gothic" w:hAnsi="Century Gothic"/>
        </w:rPr>
      </w:pPr>
      <w:r w:rsidRPr="00CB29EF">
        <w:rPr>
          <w:rFonts w:ascii="Century Gothic" w:hAnsi="Century Gothic"/>
        </w:rPr>
        <w:t>Apoyo diagnóstico en laboratorios clínicos, patológicos, radiológicos e imágenes, electro diagnóstico.</w:t>
      </w:r>
    </w:p>
    <w:p w:rsidR="004628AA" w:rsidRPr="00CB29EF" w:rsidRDefault="004628AA" w:rsidP="004628AA">
      <w:pPr>
        <w:pStyle w:val="Prrafodelista"/>
        <w:rPr>
          <w:rFonts w:ascii="Century Gothic" w:hAnsi="Century Gothic"/>
        </w:rPr>
      </w:pPr>
    </w:p>
    <w:p w:rsidR="00252867" w:rsidRPr="00CB29EF" w:rsidRDefault="00252867" w:rsidP="00EC3C1E">
      <w:pPr>
        <w:pStyle w:val="Prrafodelista"/>
        <w:numPr>
          <w:ilvl w:val="0"/>
          <w:numId w:val="36"/>
        </w:numPr>
        <w:spacing w:before="200" w:after="0"/>
        <w:jc w:val="both"/>
        <w:rPr>
          <w:rFonts w:ascii="Century Gothic" w:hAnsi="Century Gothic"/>
        </w:rPr>
      </w:pPr>
      <w:r w:rsidRPr="00CB29EF">
        <w:rPr>
          <w:rFonts w:ascii="Century Gothic" w:hAnsi="Century Gothic"/>
        </w:rPr>
        <w:t>Red de servicios médico-hospitalarios públicos y privados que brindan hospitalizaciones, así como atención en consulta externa, procedimientos ambulatorios, cirugías ambulatorias, estudios de imágenes, despacho de medicamentos, fisioterapia, rehabilitación, evaluación y tratamiento de enfermedades oncológicas, renales, entre otras enfermedades crónicas.</w:t>
      </w:r>
    </w:p>
    <w:p w:rsidR="00252867" w:rsidRPr="00CB29EF" w:rsidRDefault="00252867" w:rsidP="00EC3C1E">
      <w:pPr>
        <w:spacing w:before="200" w:line="276" w:lineRule="auto"/>
        <w:jc w:val="both"/>
        <w:rPr>
          <w:rFonts w:ascii="Century Gothic" w:hAnsi="Century Gothic"/>
        </w:rPr>
      </w:pPr>
    </w:p>
    <w:p w:rsidR="00252867" w:rsidRPr="00CB29EF" w:rsidRDefault="00252867" w:rsidP="00EC3C1E">
      <w:pPr>
        <w:spacing w:before="200" w:line="276" w:lineRule="auto"/>
        <w:jc w:val="both"/>
        <w:rPr>
          <w:rFonts w:ascii="Century Gothic" w:hAnsi="Century Gothic"/>
        </w:rPr>
      </w:pPr>
      <w:r w:rsidRPr="00CB29EF">
        <w:rPr>
          <w:rFonts w:ascii="Century Gothic" w:hAnsi="Century Gothic"/>
        </w:rPr>
        <w:t>Los hospitales también brindan servicios que no requieren referencia médica, como las atenciones de emergencia y máximas urgencias.</w:t>
      </w:r>
    </w:p>
    <w:p w:rsidR="004628AA" w:rsidRPr="00CB29EF" w:rsidRDefault="004628AA" w:rsidP="00EC3C1E">
      <w:pPr>
        <w:spacing w:before="200" w:line="276" w:lineRule="auto"/>
        <w:jc w:val="both"/>
        <w:rPr>
          <w:rFonts w:ascii="Century Gothic" w:hAnsi="Century Gothic"/>
        </w:rPr>
      </w:pPr>
    </w:p>
    <w:p w:rsidR="004628AA" w:rsidRPr="00CB29EF" w:rsidRDefault="004628AA" w:rsidP="00EC3C1E">
      <w:pPr>
        <w:spacing w:before="200" w:line="276" w:lineRule="auto"/>
        <w:jc w:val="both"/>
        <w:rPr>
          <w:rFonts w:ascii="Century Gothic" w:hAnsi="Century Gothic"/>
        </w:rPr>
      </w:pPr>
    </w:p>
    <w:p w:rsidR="00252867" w:rsidRPr="00CB29EF" w:rsidRDefault="00252867" w:rsidP="00EC3C1E">
      <w:pPr>
        <w:spacing w:before="200" w:line="276" w:lineRule="auto"/>
        <w:jc w:val="both"/>
        <w:rPr>
          <w:rFonts w:ascii="Century Gothic" w:hAnsi="Century Gothic"/>
        </w:rPr>
      </w:pPr>
      <w:r w:rsidRPr="00CB29EF">
        <w:rPr>
          <w:rFonts w:ascii="Century Gothic" w:hAnsi="Century Gothic"/>
        </w:rPr>
        <w:t>El ISBM</w:t>
      </w:r>
      <w:r w:rsidR="004628AA" w:rsidRPr="00CB29EF">
        <w:rPr>
          <w:rFonts w:ascii="Century Gothic" w:hAnsi="Century Gothic"/>
        </w:rPr>
        <w:t>,</w:t>
      </w:r>
      <w:r w:rsidRPr="00CB29EF">
        <w:rPr>
          <w:rFonts w:ascii="Century Gothic" w:hAnsi="Century Gothic"/>
        </w:rPr>
        <w:t xml:space="preserve"> como parte integrante del Sistema Nacional de Salud</w:t>
      </w:r>
      <w:r w:rsidR="004628AA" w:rsidRPr="00CB29EF">
        <w:rPr>
          <w:rFonts w:ascii="Century Gothic" w:hAnsi="Century Gothic"/>
        </w:rPr>
        <w:t>,</w:t>
      </w:r>
      <w:r w:rsidRPr="00CB29EF">
        <w:rPr>
          <w:rFonts w:ascii="Century Gothic" w:hAnsi="Century Gothic"/>
        </w:rPr>
        <w:t xml:space="preserve"> participó activamente en actividades de los programas nacionales, tales como: Salud Mental, Jornadas de Combate al Dengue, Campañas contra el tabaco, Campañas contra el Consumo del Alcohol, Prevención de quemaduras por productos pirotécnicos, Comité Nacional de Salud Visual 20/20, Comité Nacional de Salud Bucal, </w:t>
      </w:r>
      <w:r w:rsidR="003C16C4" w:rsidRPr="00CB29EF">
        <w:rPr>
          <w:rFonts w:ascii="Century Gothic" w:hAnsi="Century Gothic"/>
        </w:rPr>
        <w:t>M</w:t>
      </w:r>
      <w:r w:rsidRPr="00CB29EF">
        <w:rPr>
          <w:rFonts w:ascii="Century Gothic" w:hAnsi="Century Gothic"/>
        </w:rPr>
        <w:t xml:space="preserve">esa </w:t>
      </w:r>
      <w:r w:rsidR="003C16C4" w:rsidRPr="00CB29EF">
        <w:rPr>
          <w:rFonts w:ascii="Century Gothic" w:hAnsi="Century Gothic"/>
        </w:rPr>
        <w:t>Técnica de E</w:t>
      </w:r>
      <w:r w:rsidRPr="00CB29EF">
        <w:rPr>
          <w:rFonts w:ascii="Century Gothic" w:hAnsi="Century Gothic"/>
        </w:rPr>
        <w:t xml:space="preserve">laboración de las </w:t>
      </w:r>
      <w:r w:rsidR="003C16C4" w:rsidRPr="00CB29EF">
        <w:rPr>
          <w:rFonts w:ascii="Century Gothic" w:hAnsi="Century Gothic"/>
        </w:rPr>
        <w:t>Normas Nacionales para el D</w:t>
      </w:r>
      <w:r w:rsidRPr="00CB29EF">
        <w:rPr>
          <w:rFonts w:ascii="Century Gothic" w:hAnsi="Century Gothic"/>
        </w:rPr>
        <w:t xml:space="preserve">iagnóstico, </w:t>
      </w:r>
      <w:r w:rsidR="003C16C4" w:rsidRPr="00CB29EF">
        <w:rPr>
          <w:rFonts w:ascii="Century Gothic" w:hAnsi="Century Gothic"/>
        </w:rPr>
        <w:t>P</w:t>
      </w:r>
      <w:r w:rsidRPr="00CB29EF">
        <w:rPr>
          <w:rFonts w:ascii="Century Gothic" w:hAnsi="Century Gothic"/>
        </w:rPr>
        <w:t xml:space="preserve">revención y </w:t>
      </w:r>
      <w:r w:rsidR="003C16C4" w:rsidRPr="00CB29EF">
        <w:rPr>
          <w:rFonts w:ascii="Century Gothic" w:hAnsi="Century Gothic"/>
        </w:rPr>
        <w:t>T</w:t>
      </w:r>
      <w:r w:rsidRPr="00CB29EF">
        <w:rPr>
          <w:rFonts w:ascii="Century Gothic" w:hAnsi="Century Gothic"/>
        </w:rPr>
        <w:t>ratamiento del Cáncer. Además, forma parte del equipo permanente de trabajo de la Comisión Interinstitucional de Salud (CISALUD), en la CISALUD Política</w:t>
      </w:r>
      <w:r w:rsidR="003C16C4" w:rsidRPr="00CB29EF">
        <w:rPr>
          <w:rFonts w:ascii="Century Gothic" w:hAnsi="Century Gothic"/>
        </w:rPr>
        <w:t>,</w:t>
      </w:r>
      <w:r w:rsidRPr="00CB29EF">
        <w:rPr>
          <w:rFonts w:ascii="Century Gothic" w:hAnsi="Century Gothic"/>
        </w:rPr>
        <w:t xml:space="preserve"> a través del Director Presidente</w:t>
      </w:r>
      <w:r w:rsidR="003C16C4" w:rsidRPr="00CB29EF">
        <w:rPr>
          <w:rFonts w:ascii="Century Gothic" w:hAnsi="Century Gothic"/>
        </w:rPr>
        <w:t>,</w:t>
      </w:r>
      <w:r w:rsidRPr="00CB29EF">
        <w:rPr>
          <w:rFonts w:ascii="Century Gothic" w:hAnsi="Century Gothic"/>
        </w:rPr>
        <w:t xml:space="preserve"> y en la CISALUD Técnica</w:t>
      </w:r>
      <w:r w:rsidR="003C16C4" w:rsidRPr="00CB29EF">
        <w:rPr>
          <w:rFonts w:ascii="Century Gothic" w:hAnsi="Century Gothic"/>
        </w:rPr>
        <w:t>,</w:t>
      </w:r>
      <w:r w:rsidRPr="00CB29EF">
        <w:rPr>
          <w:rFonts w:ascii="Century Gothic" w:hAnsi="Century Gothic"/>
        </w:rPr>
        <w:t xml:space="preserve"> a través del Sub</w:t>
      </w:r>
      <w:r w:rsidR="00466D25" w:rsidRPr="00CB29EF">
        <w:rPr>
          <w:rFonts w:ascii="Century Gothic" w:hAnsi="Century Gothic"/>
        </w:rPr>
        <w:t xml:space="preserve"> D</w:t>
      </w:r>
      <w:r w:rsidRPr="00CB29EF">
        <w:rPr>
          <w:rFonts w:ascii="Century Gothic" w:hAnsi="Century Gothic"/>
        </w:rPr>
        <w:t xml:space="preserve">irector de Salud. </w:t>
      </w:r>
    </w:p>
    <w:p w:rsidR="004628AA" w:rsidRPr="006700C3" w:rsidRDefault="004628AA" w:rsidP="00EC3C1E">
      <w:pPr>
        <w:spacing w:before="200" w:line="276" w:lineRule="auto"/>
        <w:jc w:val="both"/>
        <w:rPr>
          <w:rFonts w:ascii="Century Gothic" w:hAnsi="Century Gothic"/>
        </w:rPr>
      </w:pPr>
    </w:p>
    <w:p w:rsidR="00252867" w:rsidRDefault="00252867" w:rsidP="00252867">
      <w:pPr>
        <w:pStyle w:val="Ttulo5"/>
        <w:numPr>
          <w:ilvl w:val="4"/>
          <w:numId w:val="14"/>
        </w:numPr>
        <w:spacing w:after="120"/>
        <w:ind w:left="851"/>
        <w:rPr>
          <w:b/>
        </w:rPr>
      </w:pPr>
      <w:bookmarkStart w:id="30" w:name="_Toc467228653"/>
      <w:bookmarkStart w:id="31" w:name="_Toc491684902"/>
      <w:r w:rsidRPr="00A00102">
        <w:rPr>
          <w:b/>
        </w:rPr>
        <w:t>Servicios</w:t>
      </w:r>
      <w:r w:rsidRPr="000F5D60">
        <w:rPr>
          <w:b/>
        </w:rPr>
        <w:t xml:space="preserve"> brindados en el primer nivel de atención</w:t>
      </w:r>
      <w:bookmarkEnd w:id="30"/>
      <w:bookmarkEnd w:id="31"/>
      <w:r w:rsidRPr="000F5D60">
        <w:rPr>
          <w:b/>
        </w:rPr>
        <w:t xml:space="preserve"> </w:t>
      </w:r>
    </w:p>
    <w:p w:rsidR="004628AA" w:rsidRPr="004628AA" w:rsidRDefault="004628AA" w:rsidP="004628AA"/>
    <w:p w:rsidR="00252867" w:rsidRPr="00CB29EF" w:rsidRDefault="00252867" w:rsidP="00252867">
      <w:pPr>
        <w:spacing w:before="200" w:line="276" w:lineRule="auto"/>
        <w:jc w:val="both"/>
        <w:rPr>
          <w:rFonts w:ascii="Century Gothic" w:hAnsi="Century Gothic"/>
        </w:rPr>
      </w:pPr>
      <w:r w:rsidRPr="00CB29EF">
        <w:rPr>
          <w:rFonts w:ascii="Century Gothic" w:hAnsi="Century Gothic"/>
        </w:rPr>
        <w:t xml:space="preserve">Dentro de los servicios brindados </w:t>
      </w:r>
      <w:r w:rsidR="00EE0312" w:rsidRPr="00CB29EF">
        <w:rPr>
          <w:rFonts w:ascii="Century Gothic" w:hAnsi="Century Gothic"/>
        </w:rPr>
        <w:t xml:space="preserve">en este nivel </w:t>
      </w:r>
      <w:r w:rsidRPr="00CB29EF">
        <w:rPr>
          <w:rFonts w:ascii="Century Gothic" w:hAnsi="Century Gothic"/>
        </w:rPr>
        <w:t>están: la consulta médica de medicina general, de seguimiento en la atención al paciente con enfermedad crónica, fisioterapia (San Salvador, Santa Ana y Ahuachapán), nebulizaciones, control de la glucosa, atención de niño sano y control del embarazo.</w:t>
      </w:r>
    </w:p>
    <w:p w:rsidR="004628AA" w:rsidRDefault="004628AA" w:rsidP="00252867">
      <w:pPr>
        <w:spacing w:before="200" w:line="276" w:lineRule="auto"/>
        <w:jc w:val="both"/>
        <w:rPr>
          <w:rFonts w:ascii="Century Gothic" w:hAnsi="Century Gothic"/>
        </w:rPr>
      </w:pPr>
    </w:p>
    <w:p w:rsidR="00252867" w:rsidRDefault="00252867" w:rsidP="00252867">
      <w:pPr>
        <w:spacing w:before="200" w:line="276" w:lineRule="auto"/>
        <w:jc w:val="both"/>
        <w:rPr>
          <w:rFonts w:ascii="Century Gothic" w:hAnsi="Century Gothic"/>
        </w:rPr>
      </w:pPr>
      <w:r>
        <w:rPr>
          <w:noProof/>
          <w:lang w:eastAsia="es-SV"/>
        </w:rPr>
        <w:drawing>
          <wp:inline distT="0" distB="0" distL="0" distR="0" wp14:anchorId="1F96FF98" wp14:editId="7ED828EE">
            <wp:extent cx="5493224" cy="3029803"/>
            <wp:effectExtent l="0" t="0" r="12700" b="18415"/>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52867" w:rsidRDefault="00252867" w:rsidP="00252867">
      <w:pPr>
        <w:jc w:val="both"/>
        <w:rPr>
          <w:rFonts w:ascii="Century Gothic" w:hAnsi="Century Gothic"/>
          <w:sz w:val="18"/>
          <w:szCs w:val="18"/>
        </w:rPr>
      </w:pPr>
      <w:r>
        <w:rPr>
          <w:rFonts w:ascii="Century Gothic" w:hAnsi="Century Gothic"/>
          <w:sz w:val="18"/>
          <w:szCs w:val="18"/>
        </w:rPr>
        <w:t xml:space="preserve">           </w:t>
      </w:r>
      <w:r w:rsidRPr="00740CEA">
        <w:rPr>
          <w:rFonts w:ascii="Century Gothic" w:hAnsi="Century Gothic"/>
          <w:sz w:val="18"/>
          <w:szCs w:val="18"/>
        </w:rPr>
        <w:t xml:space="preserve">   Fuente: </w:t>
      </w:r>
      <w:r>
        <w:rPr>
          <w:rFonts w:ascii="Century Gothic" w:hAnsi="Century Gothic"/>
          <w:sz w:val="18"/>
          <w:szCs w:val="18"/>
        </w:rPr>
        <w:t>Sistema de registro de consultas de</w:t>
      </w:r>
      <w:r w:rsidRPr="00740CEA">
        <w:rPr>
          <w:rFonts w:ascii="Century Gothic" w:hAnsi="Century Gothic"/>
          <w:sz w:val="18"/>
          <w:szCs w:val="18"/>
        </w:rPr>
        <w:t xml:space="preserve"> Policlínicos y Consultorios Magisteriales.</w:t>
      </w:r>
    </w:p>
    <w:p w:rsidR="00252867" w:rsidRDefault="00252867" w:rsidP="00252867">
      <w:pPr>
        <w:jc w:val="both"/>
        <w:rPr>
          <w:rFonts w:ascii="Century Gothic" w:hAnsi="Century Gothic"/>
          <w:sz w:val="18"/>
          <w:szCs w:val="18"/>
        </w:rPr>
      </w:pPr>
    </w:p>
    <w:p w:rsidR="00252867" w:rsidRDefault="00252867" w:rsidP="00252867">
      <w:pPr>
        <w:jc w:val="both"/>
        <w:rPr>
          <w:rFonts w:ascii="Century Gothic" w:hAnsi="Century Gothic"/>
        </w:rPr>
      </w:pPr>
    </w:p>
    <w:p w:rsidR="00252867" w:rsidRPr="00CB29EF" w:rsidRDefault="00252867" w:rsidP="005F426F">
      <w:pPr>
        <w:spacing w:before="200" w:line="276" w:lineRule="auto"/>
        <w:jc w:val="both"/>
        <w:rPr>
          <w:rFonts w:ascii="Century Gothic" w:hAnsi="Century Gothic"/>
          <w:sz w:val="18"/>
          <w:szCs w:val="18"/>
        </w:rPr>
      </w:pPr>
      <w:r w:rsidRPr="00CB29EF">
        <w:rPr>
          <w:rFonts w:ascii="Century Gothic" w:hAnsi="Century Gothic"/>
        </w:rPr>
        <w:t>Es importante destacar que el promedio mensual de consultas médicas en Policlínicos y Consultorios Magisteriales</w:t>
      </w:r>
      <w:r w:rsidR="00EE0312" w:rsidRPr="00CB29EF">
        <w:rPr>
          <w:rFonts w:ascii="Century Gothic" w:hAnsi="Century Gothic"/>
        </w:rPr>
        <w:t>,</w:t>
      </w:r>
      <w:r w:rsidRPr="00CB29EF">
        <w:rPr>
          <w:rFonts w:ascii="Century Gothic" w:hAnsi="Century Gothic"/>
        </w:rPr>
        <w:t xml:space="preserve"> durante el periodo de junio a diciembre de</w:t>
      </w:r>
      <w:r w:rsidR="00EE0312" w:rsidRPr="00CB29EF">
        <w:rPr>
          <w:rFonts w:ascii="Century Gothic" w:hAnsi="Century Gothic"/>
        </w:rPr>
        <w:t>l</w:t>
      </w:r>
      <w:r w:rsidRPr="00CB29EF">
        <w:rPr>
          <w:rFonts w:ascii="Century Gothic" w:hAnsi="Century Gothic"/>
        </w:rPr>
        <w:t xml:space="preserve"> año 2016 fue de 44,184 y para el periodo de enero a julio del año 2017 fue de 44,265.</w:t>
      </w:r>
    </w:p>
    <w:p w:rsidR="00252867" w:rsidRDefault="00252867" w:rsidP="00252867">
      <w:pPr>
        <w:spacing w:before="200" w:line="276" w:lineRule="auto"/>
        <w:jc w:val="center"/>
        <w:rPr>
          <w:rFonts w:ascii="Century Gothic" w:hAnsi="Century Gothic"/>
          <w:b/>
        </w:rPr>
      </w:pPr>
    </w:p>
    <w:p w:rsidR="00252867" w:rsidRDefault="00252867" w:rsidP="00252867">
      <w:pPr>
        <w:spacing w:before="200" w:line="276" w:lineRule="auto"/>
        <w:jc w:val="center"/>
        <w:rPr>
          <w:rFonts w:ascii="Century Gothic" w:hAnsi="Century Gothic"/>
          <w:b/>
        </w:rPr>
      </w:pPr>
      <w:r w:rsidRPr="000E756C">
        <w:rPr>
          <w:rFonts w:ascii="Century Gothic" w:hAnsi="Century Gothic"/>
          <w:b/>
        </w:rPr>
        <w:t>SERVICIOS DE LABORATORIO CLÍNICO</w:t>
      </w:r>
    </w:p>
    <w:tbl>
      <w:tblPr>
        <w:tblW w:w="9498" w:type="dxa"/>
        <w:tblInd w:w="70" w:type="dxa"/>
        <w:tblLayout w:type="fixed"/>
        <w:tblCellMar>
          <w:left w:w="70" w:type="dxa"/>
          <w:right w:w="70" w:type="dxa"/>
        </w:tblCellMar>
        <w:tblLook w:val="04A0" w:firstRow="1" w:lastRow="0" w:firstColumn="1" w:lastColumn="0" w:noHBand="0" w:noVBand="1"/>
      </w:tblPr>
      <w:tblGrid>
        <w:gridCol w:w="1418"/>
        <w:gridCol w:w="1127"/>
        <w:gridCol w:w="1275"/>
        <w:gridCol w:w="816"/>
        <w:gridCol w:w="851"/>
        <w:gridCol w:w="1034"/>
        <w:gridCol w:w="1134"/>
        <w:gridCol w:w="850"/>
        <w:gridCol w:w="993"/>
      </w:tblGrid>
      <w:tr w:rsidR="00252867" w:rsidRPr="00495A35" w:rsidTr="005B4E5F">
        <w:trPr>
          <w:trHeight w:val="300"/>
        </w:trPr>
        <w:tc>
          <w:tcPr>
            <w:tcW w:w="1418" w:type="dxa"/>
            <w:tcBorders>
              <w:top w:val="single" w:sz="4" w:space="0" w:color="auto"/>
              <w:left w:val="single" w:sz="4" w:space="0" w:color="auto"/>
              <w:bottom w:val="single" w:sz="4" w:space="0" w:color="auto"/>
              <w:right w:val="single" w:sz="4" w:space="0" w:color="auto"/>
            </w:tcBorders>
            <w:shd w:val="clear" w:color="000000" w:fill="C5E0B3"/>
            <w:vAlign w:val="center"/>
            <w:hideMark/>
          </w:tcPr>
          <w:p w:rsidR="00252867" w:rsidRPr="00495A35" w:rsidRDefault="00252867" w:rsidP="005B4E5F">
            <w:pPr>
              <w:jc w:val="center"/>
              <w:rPr>
                <w:rFonts w:eastAsia="Times New Roman"/>
                <w:b/>
                <w:bCs/>
                <w:color w:val="000000"/>
                <w:sz w:val="14"/>
                <w:szCs w:val="14"/>
                <w:lang w:val="es-ES" w:eastAsia="es-ES"/>
              </w:rPr>
            </w:pPr>
            <w:r w:rsidRPr="00495A35">
              <w:rPr>
                <w:rFonts w:eastAsia="Times New Roman"/>
                <w:b/>
                <w:bCs/>
                <w:color w:val="000000"/>
                <w:sz w:val="14"/>
                <w:szCs w:val="14"/>
                <w:lang w:val="es-ES" w:eastAsia="es-ES"/>
              </w:rPr>
              <w:t>PERIODO</w:t>
            </w:r>
          </w:p>
        </w:tc>
        <w:tc>
          <w:tcPr>
            <w:tcW w:w="4069" w:type="dxa"/>
            <w:gridSpan w:val="4"/>
            <w:tcBorders>
              <w:top w:val="single" w:sz="4" w:space="0" w:color="auto"/>
              <w:left w:val="nil"/>
              <w:bottom w:val="single" w:sz="4" w:space="0" w:color="auto"/>
              <w:right w:val="single" w:sz="4" w:space="0" w:color="auto"/>
            </w:tcBorders>
            <w:shd w:val="clear" w:color="000000" w:fill="C5E0B3"/>
            <w:vAlign w:val="center"/>
            <w:hideMark/>
          </w:tcPr>
          <w:p w:rsidR="00252867" w:rsidRPr="00495A35" w:rsidRDefault="00252867" w:rsidP="005B4E5F">
            <w:pPr>
              <w:jc w:val="center"/>
              <w:rPr>
                <w:rFonts w:eastAsia="Times New Roman"/>
                <w:b/>
                <w:bCs/>
                <w:color w:val="000000"/>
                <w:sz w:val="14"/>
                <w:szCs w:val="14"/>
                <w:lang w:val="es-ES" w:eastAsia="es-ES"/>
              </w:rPr>
            </w:pPr>
            <w:r w:rsidRPr="00495A35">
              <w:rPr>
                <w:rFonts w:eastAsia="Times New Roman"/>
                <w:b/>
                <w:bCs/>
                <w:color w:val="000000"/>
                <w:sz w:val="14"/>
                <w:szCs w:val="14"/>
                <w:lang w:val="es-ES" w:eastAsia="es-ES"/>
              </w:rPr>
              <w:t>JUNIO A DICIEMBRE AÑO 2016</w:t>
            </w:r>
          </w:p>
        </w:tc>
        <w:tc>
          <w:tcPr>
            <w:tcW w:w="4011" w:type="dxa"/>
            <w:gridSpan w:val="4"/>
            <w:tcBorders>
              <w:top w:val="single" w:sz="4" w:space="0" w:color="auto"/>
              <w:left w:val="nil"/>
              <w:bottom w:val="single" w:sz="4" w:space="0" w:color="auto"/>
              <w:right w:val="single" w:sz="4" w:space="0" w:color="auto"/>
            </w:tcBorders>
            <w:shd w:val="clear" w:color="000000" w:fill="C5E0B3"/>
            <w:vAlign w:val="center"/>
            <w:hideMark/>
          </w:tcPr>
          <w:p w:rsidR="00252867" w:rsidRPr="00495A35" w:rsidRDefault="00252867" w:rsidP="005B4E5F">
            <w:pPr>
              <w:jc w:val="center"/>
              <w:rPr>
                <w:rFonts w:eastAsia="Times New Roman"/>
                <w:b/>
                <w:bCs/>
                <w:color w:val="000000"/>
                <w:sz w:val="14"/>
                <w:szCs w:val="14"/>
                <w:lang w:val="es-ES" w:eastAsia="es-ES"/>
              </w:rPr>
            </w:pPr>
            <w:r w:rsidRPr="00495A35">
              <w:rPr>
                <w:rFonts w:eastAsia="Times New Roman"/>
                <w:b/>
                <w:bCs/>
                <w:color w:val="000000"/>
                <w:sz w:val="14"/>
                <w:szCs w:val="14"/>
                <w:lang w:eastAsia="es-ES"/>
              </w:rPr>
              <w:t>ENERO A JUNIO 2017</w:t>
            </w:r>
          </w:p>
        </w:tc>
      </w:tr>
      <w:tr w:rsidR="00252867" w:rsidRPr="00495A35" w:rsidTr="005B4E5F">
        <w:trPr>
          <w:trHeight w:val="360"/>
        </w:trPr>
        <w:tc>
          <w:tcPr>
            <w:tcW w:w="1418" w:type="dxa"/>
            <w:vMerge w:val="restart"/>
            <w:tcBorders>
              <w:top w:val="nil"/>
              <w:left w:val="single" w:sz="4" w:space="0" w:color="auto"/>
              <w:bottom w:val="single" w:sz="4" w:space="0" w:color="auto"/>
              <w:right w:val="single" w:sz="4" w:space="0" w:color="auto"/>
            </w:tcBorders>
            <w:shd w:val="clear" w:color="000000" w:fill="C5E0B3"/>
            <w:vAlign w:val="center"/>
            <w:hideMark/>
          </w:tcPr>
          <w:p w:rsidR="00252867" w:rsidRPr="00495A35" w:rsidRDefault="00252867" w:rsidP="005B4E5F">
            <w:pPr>
              <w:jc w:val="center"/>
              <w:rPr>
                <w:rFonts w:eastAsia="Times New Roman"/>
                <w:b/>
                <w:bCs/>
                <w:color w:val="000000"/>
                <w:sz w:val="14"/>
                <w:szCs w:val="14"/>
                <w:lang w:val="es-ES" w:eastAsia="es-ES"/>
              </w:rPr>
            </w:pPr>
            <w:r w:rsidRPr="00495A35">
              <w:rPr>
                <w:rFonts w:eastAsia="Times New Roman"/>
                <w:b/>
                <w:bCs/>
                <w:color w:val="000000"/>
                <w:sz w:val="14"/>
                <w:szCs w:val="14"/>
                <w:lang w:val="es-ES" w:eastAsia="es-ES"/>
              </w:rPr>
              <w:t>ÁREA DE LABORATORIO CLÍNICO</w:t>
            </w:r>
          </w:p>
        </w:tc>
        <w:tc>
          <w:tcPr>
            <w:tcW w:w="3218" w:type="dxa"/>
            <w:gridSpan w:val="3"/>
            <w:tcBorders>
              <w:top w:val="single" w:sz="4" w:space="0" w:color="auto"/>
              <w:left w:val="nil"/>
              <w:bottom w:val="single" w:sz="4" w:space="0" w:color="auto"/>
              <w:right w:val="single" w:sz="4" w:space="0" w:color="auto"/>
            </w:tcBorders>
            <w:shd w:val="clear" w:color="000000" w:fill="C5E0B3"/>
            <w:vAlign w:val="center"/>
            <w:hideMark/>
          </w:tcPr>
          <w:p w:rsidR="00252867" w:rsidRPr="00495A35" w:rsidRDefault="00252867" w:rsidP="005B4E5F">
            <w:pPr>
              <w:jc w:val="center"/>
              <w:rPr>
                <w:rFonts w:eastAsia="Times New Roman"/>
                <w:b/>
                <w:bCs/>
                <w:color w:val="000000"/>
                <w:sz w:val="14"/>
                <w:szCs w:val="14"/>
                <w:lang w:val="es-ES" w:eastAsia="es-ES"/>
              </w:rPr>
            </w:pPr>
            <w:r w:rsidRPr="00495A35">
              <w:rPr>
                <w:rFonts w:eastAsia="Times New Roman"/>
                <w:b/>
                <w:bCs/>
                <w:color w:val="000000"/>
                <w:sz w:val="14"/>
                <w:szCs w:val="14"/>
                <w:lang w:val="es-ES" w:eastAsia="es-ES"/>
              </w:rPr>
              <w:t>TIPO DE LABORATORIO</w:t>
            </w:r>
          </w:p>
        </w:tc>
        <w:tc>
          <w:tcPr>
            <w:tcW w:w="851" w:type="dxa"/>
            <w:vMerge w:val="restart"/>
            <w:tcBorders>
              <w:top w:val="nil"/>
              <w:left w:val="single" w:sz="4" w:space="0" w:color="auto"/>
              <w:bottom w:val="single" w:sz="4" w:space="0" w:color="auto"/>
              <w:right w:val="single" w:sz="4" w:space="0" w:color="auto"/>
            </w:tcBorders>
            <w:shd w:val="clear" w:color="000000" w:fill="C5E0B3"/>
            <w:vAlign w:val="center"/>
            <w:hideMark/>
          </w:tcPr>
          <w:p w:rsidR="00252867" w:rsidRPr="00495A35" w:rsidRDefault="00252867" w:rsidP="005B4E5F">
            <w:pPr>
              <w:jc w:val="center"/>
              <w:rPr>
                <w:rFonts w:eastAsia="Times New Roman"/>
                <w:b/>
                <w:bCs/>
                <w:color w:val="000000"/>
                <w:sz w:val="14"/>
                <w:szCs w:val="14"/>
                <w:lang w:val="es-ES" w:eastAsia="es-ES"/>
              </w:rPr>
            </w:pPr>
            <w:r w:rsidRPr="00495A35">
              <w:rPr>
                <w:rFonts w:eastAsia="Times New Roman"/>
                <w:b/>
                <w:bCs/>
                <w:color w:val="000000"/>
                <w:sz w:val="14"/>
                <w:szCs w:val="14"/>
                <w:lang w:val="es-ES" w:eastAsia="es-ES"/>
              </w:rPr>
              <w:t>TOTAL</w:t>
            </w:r>
          </w:p>
        </w:tc>
        <w:tc>
          <w:tcPr>
            <w:tcW w:w="3018" w:type="dxa"/>
            <w:gridSpan w:val="3"/>
            <w:tcBorders>
              <w:top w:val="single" w:sz="4" w:space="0" w:color="auto"/>
              <w:left w:val="nil"/>
              <w:bottom w:val="single" w:sz="4" w:space="0" w:color="auto"/>
              <w:right w:val="single" w:sz="4" w:space="0" w:color="auto"/>
            </w:tcBorders>
            <w:shd w:val="clear" w:color="000000" w:fill="C5E0B3"/>
            <w:vAlign w:val="center"/>
            <w:hideMark/>
          </w:tcPr>
          <w:p w:rsidR="00252867" w:rsidRPr="00495A35" w:rsidRDefault="00252867" w:rsidP="005B4E5F">
            <w:pPr>
              <w:jc w:val="center"/>
              <w:rPr>
                <w:rFonts w:eastAsia="Times New Roman"/>
                <w:b/>
                <w:bCs/>
                <w:color w:val="000000"/>
                <w:sz w:val="14"/>
                <w:szCs w:val="14"/>
                <w:lang w:val="es-ES" w:eastAsia="es-ES"/>
              </w:rPr>
            </w:pPr>
            <w:r w:rsidRPr="00495A35">
              <w:rPr>
                <w:rFonts w:eastAsia="Times New Roman"/>
                <w:b/>
                <w:bCs/>
                <w:color w:val="000000"/>
                <w:sz w:val="14"/>
                <w:szCs w:val="14"/>
                <w:lang w:eastAsia="es-ES"/>
              </w:rPr>
              <w:t>TIPO DE LABORATORIO</w:t>
            </w:r>
          </w:p>
        </w:tc>
        <w:tc>
          <w:tcPr>
            <w:tcW w:w="993" w:type="dxa"/>
            <w:vMerge w:val="restart"/>
            <w:tcBorders>
              <w:top w:val="nil"/>
              <w:left w:val="single" w:sz="4" w:space="0" w:color="auto"/>
              <w:bottom w:val="single" w:sz="4" w:space="0" w:color="000000"/>
              <w:right w:val="single" w:sz="4" w:space="0" w:color="auto"/>
            </w:tcBorders>
            <w:shd w:val="clear" w:color="000000" w:fill="C5E0B3"/>
            <w:vAlign w:val="center"/>
            <w:hideMark/>
          </w:tcPr>
          <w:p w:rsidR="00252867" w:rsidRPr="00495A35" w:rsidRDefault="00252867" w:rsidP="005B4E5F">
            <w:pPr>
              <w:jc w:val="center"/>
              <w:rPr>
                <w:rFonts w:eastAsia="Times New Roman"/>
                <w:b/>
                <w:bCs/>
                <w:color w:val="000000"/>
                <w:sz w:val="14"/>
                <w:szCs w:val="14"/>
                <w:lang w:val="es-ES" w:eastAsia="es-ES"/>
              </w:rPr>
            </w:pPr>
            <w:r w:rsidRPr="00495A35">
              <w:rPr>
                <w:rFonts w:eastAsia="Times New Roman"/>
                <w:b/>
                <w:bCs/>
                <w:color w:val="000000"/>
                <w:sz w:val="14"/>
                <w:szCs w:val="14"/>
                <w:lang w:eastAsia="es-ES"/>
              </w:rPr>
              <w:t>TOTAL</w:t>
            </w:r>
          </w:p>
        </w:tc>
      </w:tr>
      <w:tr w:rsidR="00252867" w:rsidRPr="00495A35" w:rsidTr="005B4E5F">
        <w:trPr>
          <w:trHeight w:val="330"/>
        </w:trPr>
        <w:tc>
          <w:tcPr>
            <w:tcW w:w="1418" w:type="dxa"/>
            <w:vMerge/>
            <w:tcBorders>
              <w:top w:val="nil"/>
              <w:left w:val="single" w:sz="4" w:space="0" w:color="auto"/>
              <w:bottom w:val="single" w:sz="4" w:space="0" w:color="auto"/>
              <w:right w:val="single" w:sz="4" w:space="0" w:color="auto"/>
            </w:tcBorders>
            <w:vAlign w:val="center"/>
            <w:hideMark/>
          </w:tcPr>
          <w:p w:rsidR="00252867" w:rsidRPr="00495A35" w:rsidRDefault="00252867" w:rsidP="005B4E5F">
            <w:pPr>
              <w:rPr>
                <w:rFonts w:eastAsia="Times New Roman"/>
                <w:b/>
                <w:bCs/>
                <w:color w:val="000000"/>
                <w:sz w:val="14"/>
                <w:szCs w:val="14"/>
                <w:lang w:val="es-ES" w:eastAsia="es-ES"/>
              </w:rPr>
            </w:pPr>
          </w:p>
        </w:tc>
        <w:tc>
          <w:tcPr>
            <w:tcW w:w="1127" w:type="dxa"/>
            <w:tcBorders>
              <w:top w:val="nil"/>
              <w:left w:val="nil"/>
              <w:bottom w:val="single" w:sz="4" w:space="0" w:color="auto"/>
              <w:right w:val="single" w:sz="4" w:space="0" w:color="auto"/>
            </w:tcBorders>
            <w:shd w:val="clear" w:color="000000" w:fill="C5E0B3"/>
            <w:vAlign w:val="center"/>
            <w:hideMark/>
          </w:tcPr>
          <w:p w:rsidR="00252867" w:rsidRPr="00495A35" w:rsidRDefault="00252867" w:rsidP="005B4E5F">
            <w:pPr>
              <w:jc w:val="center"/>
              <w:rPr>
                <w:rFonts w:eastAsia="Times New Roman"/>
                <w:b/>
                <w:bCs/>
                <w:color w:val="000000"/>
                <w:sz w:val="14"/>
                <w:szCs w:val="14"/>
                <w:lang w:val="es-ES" w:eastAsia="es-ES"/>
              </w:rPr>
            </w:pPr>
            <w:r w:rsidRPr="00495A35">
              <w:rPr>
                <w:rFonts w:eastAsia="Times New Roman"/>
                <w:b/>
                <w:bCs/>
                <w:color w:val="000000"/>
                <w:sz w:val="14"/>
                <w:szCs w:val="14"/>
                <w:lang w:val="es-ES" w:eastAsia="es-ES"/>
              </w:rPr>
              <w:t>PROVEEDORES</w:t>
            </w:r>
          </w:p>
        </w:tc>
        <w:tc>
          <w:tcPr>
            <w:tcW w:w="1275" w:type="dxa"/>
            <w:tcBorders>
              <w:top w:val="nil"/>
              <w:left w:val="nil"/>
              <w:bottom w:val="single" w:sz="4" w:space="0" w:color="auto"/>
              <w:right w:val="single" w:sz="4" w:space="0" w:color="auto"/>
            </w:tcBorders>
            <w:shd w:val="clear" w:color="000000" w:fill="C5E0B3"/>
            <w:vAlign w:val="center"/>
            <w:hideMark/>
          </w:tcPr>
          <w:p w:rsidR="00252867" w:rsidRPr="00495A35" w:rsidRDefault="00252867" w:rsidP="005B4E5F">
            <w:pPr>
              <w:jc w:val="center"/>
              <w:rPr>
                <w:rFonts w:eastAsia="Times New Roman"/>
                <w:b/>
                <w:bCs/>
                <w:color w:val="000000"/>
                <w:sz w:val="14"/>
                <w:szCs w:val="14"/>
                <w:lang w:val="es-ES" w:eastAsia="es-ES"/>
              </w:rPr>
            </w:pPr>
            <w:r w:rsidRPr="00495A35">
              <w:rPr>
                <w:rFonts w:eastAsia="Times New Roman"/>
                <w:b/>
                <w:bCs/>
                <w:color w:val="000000"/>
                <w:sz w:val="14"/>
                <w:szCs w:val="14"/>
                <w:lang w:val="es-ES" w:eastAsia="es-ES"/>
              </w:rPr>
              <w:t>HOSPITALARIOS</w:t>
            </w:r>
          </w:p>
        </w:tc>
        <w:tc>
          <w:tcPr>
            <w:tcW w:w="816" w:type="dxa"/>
            <w:tcBorders>
              <w:top w:val="nil"/>
              <w:left w:val="nil"/>
              <w:bottom w:val="single" w:sz="4" w:space="0" w:color="auto"/>
              <w:right w:val="single" w:sz="4" w:space="0" w:color="auto"/>
            </w:tcBorders>
            <w:shd w:val="clear" w:color="000000" w:fill="C5E0B3"/>
            <w:vAlign w:val="center"/>
            <w:hideMark/>
          </w:tcPr>
          <w:p w:rsidR="00252867" w:rsidRPr="00495A35" w:rsidRDefault="00252867" w:rsidP="005B4E5F">
            <w:pPr>
              <w:jc w:val="center"/>
              <w:rPr>
                <w:rFonts w:eastAsia="Times New Roman"/>
                <w:b/>
                <w:bCs/>
                <w:color w:val="000000"/>
                <w:sz w:val="14"/>
                <w:szCs w:val="14"/>
                <w:lang w:val="es-ES" w:eastAsia="es-ES"/>
              </w:rPr>
            </w:pPr>
            <w:r w:rsidRPr="00495A35">
              <w:rPr>
                <w:rFonts w:eastAsia="Times New Roman"/>
                <w:b/>
                <w:bCs/>
                <w:color w:val="000000"/>
                <w:sz w:val="14"/>
                <w:szCs w:val="14"/>
                <w:lang w:val="es-ES" w:eastAsia="es-ES"/>
              </w:rPr>
              <w:t>ISBM</w:t>
            </w:r>
          </w:p>
        </w:tc>
        <w:tc>
          <w:tcPr>
            <w:tcW w:w="851" w:type="dxa"/>
            <w:vMerge/>
            <w:tcBorders>
              <w:top w:val="nil"/>
              <w:left w:val="single" w:sz="4" w:space="0" w:color="auto"/>
              <w:bottom w:val="single" w:sz="4" w:space="0" w:color="auto"/>
              <w:right w:val="single" w:sz="4" w:space="0" w:color="auto"/>
            </w:tcBorders>
            <w:vAlign w:val="center"/>
            <w:hideMark/>
          </w:tcPr>
          <w:p w:rsidR="00252867" w:rsidRPr="00495A35" w:rsidRDefault="00252867" w:rsidP="005B4E5F">
            <w:pPr>
              <w:rPr>
                <w:rFonts w:eastAsia="Times New Roman"/>
                <w:b/>
                <w:bCs/>
                <w:color w:val="000000"/>
                <w:sz w:val="14"/>
                <w:szCs w:val="14"/>
                <w:lang w:val="es-ES" w:eastAsia="es-ES"/>
              </w:rPr>
            </w:pPr>
          </w:p>
        </w:tc>
        <w:tc>
          <w:tcPr>
            <w:tcW w:w="1034" w:type="dxa"/>
            <w:tcBorders>
              <w:top w:val="nil"/>
              <w:left w:val="nil"/>
              <w:bottom w:val="single" w:sz="4" w:space="0" w:color="auto"/>
              <w:right w:val="single" w:sz="4" w:space="0" w:color="auto"/>
            </w:tcBorders>
            <w:shd w:val="clear" w:color="000000" w:fill="C5E0B3"/>
            <w:vAlign w:val="center"/>
            <w:hideMark/>
          </w:tcPr>
          <w:p w:rsidR="00252867" w:rsidRPr="00495A35" w:rsidRDefault="00252867" w:rsidP="005B4E5F">
            <w:pPr>
              <w:jc w:val="center"/>
              <w:rPr>
                <w:rFonts w:eastAsia="Times New Roman"/>
                <w:b/>
                <w:bCs/>
                <w:color w:val="000000"/>
                <w:sz w:val="14"/>
                <w:szCs w:val="14"/>
                <w:lang w:val="es-ES" w:eastAsia="es-ES"/>
              </w:rPr>
            </w:pPr>
            <w:r w:rsidRPr="00495A35">
              <w:rPr>
                <w:rFonts w:eastAsia="Times New Roman"/>
                <w:b/>
                <w:bCs/>
                <w:color w:val="000000"/>
                <w:sz w:val="14"/>
                <w:szCs w:val="14"/>
                <w:lang w:eastAsia="es-ES"/>
              </w:rPr>
              <w:t>PROVEEDORES</w:t>
            </w:r>
          </w:p>
        </w:tc>
        <w:tc>
          <w:tcPr>
            <w:tcW w:w="1134" w:type="dxa"/>
            <w:tcBorders>
              <w:top w:val="nil"/>
              <w:left w:val="nil"/>
              <w:bottom w:val="single" w:sz="4" w:space="0" w:color="auto"/>
              <w:right w:val="single" w:sz="4" w:space="0" w:color="auto"/>
            </w:tcBorders>
            <w:shd w:val="clear" w:color="000000" w:fill="C5E0B3"/>
            <w:vAlign w:val="center"/>
            <w:hideMark/>
          </w:tcPr>
          <w:p w:rsidR="00252867" w:rsidRPr="00495A35" w:rsidRDefault="00252867" w:rsidP="005B4E5F">
            <w:pPr>
              <w:jc w:val="center"/>
              <w:rPr>
                <w:rFonts w:eastAsia="Times New Roman"/>
                <w:b/>
                <w:bCs/>
                <w:color w:val="000000"/>
                <w:sz w:val="14"/>
                <w:szCs w:val="14"/>
                <w:lang w:val="es-ES" w:eastAsia="es-ES"/>
              </w:rPr>
            </w:pPr>
            <w:r w:rsidRPr="00495A35">
              <w:rPr>
                <w:rFonts w:eastAsia="Times New Roman"/>
                <w:b/>
                <w:bCs/>
                <w:color w:val="000000"/>
                <w:sz w:val="14"/>
                <w:szCs w:val="14"/>
                <w:lang w:eastAsia="es-ES"/>
              </w:rPr>
              <w:t>HOSPITALARIOS</w:t>
            </w:r>
          </w:p>
        </w:tc>
        <w:tc>
          <w:tcPr>
            <w:tcW w:w="850" w:type="dxa"/>
            <w:tcBorders>
              <w:top w:val="nil"/>
              <w:left w:val="nil"/>
              <w:bottom w:val="single" w:sz="4" w:space="0" w:color="auto"/>
              <w:right w:val="single" w:sz="4" w:space="0" w:color="auto"/>
            </w:tcBorders>
            <w:shd w:val="clear" w:color="000000" w:fill="C5E0B3"/>
            <w:vAlign w:val="center"/>
            <w:hideMark/>
          </w:tcPr>
          <w:p w:rsidR="00252867" w:rsidRPr="00495A35" w:rsidRDefault="00252867" w:rsidP="005B4E5F">
            <w:pPr>
              <w:jc w:val="center"/>
              <w:rPr>
                <w:rFonts w:eastAsia="Times New Roman"/>
                <w:b/>
                <w:bCs/>
                <w:color w:val="000000"/>
                <w:sz w:val="14"/>
                <w:szCs w:val="14"/>
                <w:lang w:val="es-ES" w:eastAsia="es-ES"/>
              </w:rPr>
            </w:pPr>
            <w:r w:rsidRPr="00495A35">
              <w:rPr>
                <w:rFonts w:eastAsia="Times New Roman"/>
                <w:b/>
                <w:bCs/>
                <w:color w:val="000000"/>
                <w:sz w:val="14"/>
                <w:szCs w:val="14"/>
                <w:lang w:eastAsia="es-ES"/>
              </w:rPr>
              <w:t>ISBM</w:t>
            </w:r>
          </w:p>
        </w:tc>
        <w:tc>
          <w:tcPr>
            <w:tcW w:w="993" w:type="dxa"/>
            <w:vMerge/>
            <w:tcBorders>
              <w:top w:val="nil"/>
              <w:left w:val="single" w:sz="4" w:space="0" w:color="auto"/>
              <w:bottom w:val="single" w:sz="4" w:space="0" w:color="000000"/>
              <w:right w:val="single" w:sz="4" w:space="0" w:color="auto"/>
            </w:tcBorders>
            <w:vAlign w:val="center"/>
            <w:hideMark/>
          </w:tcPr>
          <w:p w:rsidR="00252867" w:rsidRPr="00495A35" w:rsidRDefault="00252867" w:rsidP="005B4E5F">
            <w:pPr>
              <w:rPr>
                <w:rFonts w:eastAsia="Times New Roman"/>
                <w:b/>
                <w:bCs/>
                <w:color w:val="000000"/>
                <w:sz w:val="14"/>
                <w:szCs w:val="14"/>
                <w:lang w:val="es-ES" w:eastAsia="es-ES"/>
              </w:rPr>
            </w:pPr>
          </w:p>
        </w:tc>
      </w:tr>
      <w:tr w:rsidR="00252867" w:rsidRPr="00495A35" w:rsidTr="005B4E5F">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252867" w:rsidRPr="00495A35" w:rsidRDefault="00252867" w:rsidP="005B4E5F">
            <w:pPr>
              <w:rPr>
                <w:rFonts w:eastAsia="Times New Roman"/>
                <w:color w:val="000000"/>
                <w:sz w:val="14"/>
                <w:szCs w:val="14"/>
                <w:lang w:val="es-ES" w:eastAsia="es-ES"/>
              </w:rPr>
            </w:pPr>
            <w:r w:rsidRPr="00495A35">
              <w:rPr>
                <w:rFonts w:eastAsia="Times New Roman"/>
                <w:color w:val="000000"/>
                <w:sz w:val="14"/>
                <w:szCs w:val="14"/>
                <w:lang w:val="es-ES" w:eastAsia="es-ES"/>
              </w:rPr>
              <w:t>HEMATOLOGÍA</w:t>
            </w:r>
          </w:p>
        </w:tc>
        <w:tc>
          <w:tcPr>
            <w:tcW w:w="1127"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30,522</w:t>
            </w:r>
          </w:p>
        </w:tc>
        <w:tc>
          <w:tcPr>
            <w:tcW w:w="1275"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1,986</w:t>
            </w:r>
          </w:p>
        </w:tc>
        <w:tc>
          <w:tcPr>
            <w:tcW w:w="816"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7,058</w:t>
            </w:r>
          </w:p>
        </w:tc>
        <w:tc>
          <w:tcPr>
            <w:tcW w:w="851"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39,566</w:t>
            </w:r>
          </w:p>
        </w:tc>
        <w:tc>
          <w:tcPr>
            <w:tcW w:w="1034"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54,034</w:t>
            </w:r>
          </w:p>
        </w:tc>
        <w:tc>
          <w:tcPr>
            <w:tcW w:w="1134"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154</w:t>
            </w:r>
          </w:p>
        </w:tc>
        <w:tc>
          <w:tcPr>
            <w:tcW w:w="850"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2,441</w:t>
            </w:r>
          </w:p>
        </w:tc>
        <w:tc>
          <w:tcPr>
            <w:tcW w:w="993"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56,628</w:t>
            </w:r>
          </w:p>
        </w:tc>
      </w:tr>
      <w:tr w:rsidR="00252867" w:rsidRPr="00495A35" w:rsidTr="005B4E5F">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252867" w:rsidRPr="00495A35" w:rsidRDefault="00252867" w:rsidP="005B4E5F">
            <w:pPr>
              <w:rPr>
                <w:rFonts w:eastAsia="Times New Roman"/>
                <w:color w:val="000000"/>
                <w:sz w:val="14"/>
                <w:szCs w:val="14"/>
                <w:lang w:val="es-ES" w:eastAsia="es-ES"/>
              </w:rPr>
            </w:pPr>
            <w:r w:rsidRPr="00495A35">
              <w:rPr>
                <w:rFonts w:eastAsia="Times New Roman"/>
                <w:color w:val="000000"/>
                <w:sz w:val="14"/>
                <w:szCs w:val="14"/>
                <w:lang w:val="es-ES" w:eastAsia="es-ES"/>
              </w:rPr>
              <w:t>QUÍMICA CLÍNICA</w:t>
            </w:r>
          </w:p>
        </w:tc>
        <w:tc>
          <w:tcPr>
            <w:tcW w:w="1127"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94,993</w:t>
            </w:r>
          </w:p>
        </w:tc>
        <w:tc>
          <w:tcPr>
            <w:tcW w:w="1275"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3,467</w:t>
            </w:r>
          </w:p>
        </w:tc>
        <w:tc>
          <w:tcPr>
            <w:tcW w:w="816"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64,928</w:t>
            </w:r>
          </w:p>
        </w:tc>
        <w:tc>
          <w:tcPr>
            <w:tcW w:w="851"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163,388</w:t>
            </w:r>
          </w:p>
        </w:tc>
        <w:tc>
          <w:tcPr>
            <w:tcW w:w="1034"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117,974</w:t>
            </w:r>
          </w:p>
        </w:tc>
        <w:tc>
          <w:tcPr>
            <w:tcW w:w="1134"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1,033</w:t>
            </w:r>
          </w:p>
        </w:tc>
        <w:tc>
          <w:tcPr>
            <w:tcW w:w="850"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36,744</w:t>
            </w:r>
          </w:p>
        </w:tc>
        <w:tc>
          <w:tcPr>
            <w:tcW w:w="993"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155,752</w:t>
            </w:r>
          </w:p>
        </w:tc>
      </w:tr>
      <w:tr w:rsidR="00252867" w:rsidRPr="00495A35" w:rsidTr="005B4E5F">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252867" w:rsidRPr="00495A35" w:rsidRDefault="00252867" w:rsidP="005B4E5F">
            <w:pPr>
              <w:rPr>
                <w:rFonts w:eastAsia="Times New Roman"/>
                <w:color w:val="000000"/>
                <w:sz w:val="14"/>
                <w:szCs w:val="14"/>
                <w:lang w:val="es-ES" w:eastAsia="es-ES"/>
              </w:rPr>
            </w:pPr>
            <w:r w:rsidRPr="00495A35">
              <w:rPr>
                <w:rFonts w:eastAsia="Times New Roman"/>
                <w:color w:val="000000"/>
                <w:sz w:val="14"/>
                <w:szCs w:val="14"/>
                <w:lang w:val="es-ES" w:eastAsia="es-ES"/>
              </w:rPr>
              <w:t>SEROLOGÍA</w:t>
            </w:r>
          </w:p>
        </w:tc>
        <w:tc>
          <w:tcPr>
            <w:tcW w:w="1127"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3,680</w:t>
            </w:r>
          </w:p>
        </w:tc>
        <w:tc>
          <w:tcPr>
            <w:tcW w:w="1275"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460</w:t>
            </w:r>
          </w:p>
        </w:tc>
        <w:tc>
          <w:tcPr>
            <w:tcW w:w="816"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493</w:t>
            </w:r>
          </w:p>
        </w:tc>
        <w:tc>
          <w:tcPr>
            <w:tcW w:w="851"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4,633</w:t>
            </w:r>
          </w:p>
        </w:tc>
        <w:tc>
          <w:tcPr>
            <w:tcW w:w="1034"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3,154</w:t>
            </w:r>
          </w:p>
        </w:tc>
        <w:tc>
          <w:tcPr>
            <w:tcW w:w="1134"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146</w:t>
            </w:r>
          </w:p>
        </w:tc>
        <w:tc>
          <w:tcPr>
            <w:tcW w:w="850"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294</w:t>
            </w:r>
          </w:p>
        </w:tc>
        <w:tc>
          <w:tcPr>
            <w:tcW w:w="993"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3,594</w:t>
            </w:r>
          </w:p>
        </w:tc>
      </w:tr>
      <w:tr w:rsidR="00252867" w:rsidRPr="00495A35" w:rsidTr="005B4E5F">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252867" w:rsidRPr="00495A35" w:rsidRDefault="00252867" w:rsidP="005B4E5F">
            <w:pPr>
              <w:rPr>
                <w:rFonts w:eastAsia="Times New Roman"/>
                <w:color w:val="000000"/>
                <w:sz w:val="14"/>
                <w:szCs w:val="14"/>
                <w:lang w:val="es-ES" w:eastAsia="es-ES"/>
              </w:rPr>
            </w:pPr>
            <w:r w:rsidRPr="00495A35">
              <w:rPr>
                <w:rFonts w:eastAsia="Times New Roman"/>
                <w:color w:val="000000"/>
                <w:sz w:val="14"/>
                <w:szCs w:val="14"/>
                <w:lang w:val="es-ES" w:eastAsia="es-ES"/>
              </w:rPr>
              <w:t>COPROLOGÍA</w:t>
            </w:r>
          </w:p>
        </w:tc>
        <w:tc>
          <w:tcPr>
            <w:tcW w:w="1127"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18,366</w:t>
            </w:r>
          </w:p>
        </w:tc>
        <w:tc>
          <w:tcPr>
            <w:tcW w:w="1275"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19</w:t>
            </w:r>
          </w:p>
        </w:tc>
        <w:tc>
          <w:tcPr>
            <w:tcW w:w="816"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1,101</w:t>
            </w:r>
          </w:p>
        </w:tc>
        <w:tc>
          <w:tcPr>
            <w:tcW w:w="851"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19,486</w:t>
            </w:r>
          </w:p>
        </w:tc>
        <w:tc>
          <w:tcPr>
            <w:tcW w:w="1034"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15,742</w:t>
            </w:r>
          </w:p>
        </w:tc>
        <w:tc>
          <w:tcPr>
            <w:tcW w:w="1134"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1</w:t>
            </w:r>
          </w:p>
        </w:tc>
        <w:tc>
          <w:tcPr>
            <w:tcW w:w="850"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1,272</w:t>
            </w:r>
          </w:p>
        </w:tc>
        <w:tc>
          <w:tcPr>
            <w:tcW w:w="993"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17,015</w:t>
            </w:r>
          </w:p>
        </w:tc>
      </w:tr>
      <w:tr w:rsidR="00252867" w:rsidRPr="00495A35" w:rsidTr="005F426F">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252867" w:rsidRPr="00495A35" w:rsidRDefault="00252867" w:rsidP="005B4E5F">
            <w:pPr>
              <w:rPr>
                <w:rFonts w:eastAsia="Times New Roman"/>
                <w:color w:val="000000"/>
                <w:sz w:val="14"/>
                <w:szCs w:val="14"/>
                <w:lang w:val="es-ES" w:eastAsia="es-ES"/>
              </w:rPr>
            </w:pPr>
            <w:r w:rsidRPr="00495A35">
              <w:rPr>
                <w:rFonts w:eastAsia="Times New Roman"/>
                <w:color w:val="000000"/>
                <w:sz w:val="14"/>
                <w:szCs w:val="14"/>
                <w:lang w:val="es-ES" w:eastAsia="es-ES"/>
              </w:rPr>
              <w:t>UROANÁLISIS</w:t>
            </w:r>
          </w:p>
        </w:tc>
        <w:tc>
          <w:tcPr>
            <w:tcW w:w="1127"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25,560</w:t>
            </w:r>
          </w:p>
        </w:tc>
        <w:tc>
          <w:tcPr>
            <w:tcW w:w="1275"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233</w:t>
            </w:r>
          </w:p>
        </w:tc>
        <w:tc>
          <w:tcPr>
            <w:tcW w:w="816"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2,436</w:t>
            </w:r>
          </w:p>
        </w:tc>
        <w:tc>
          <w:tcPr>
            <w:tcW w:w="851"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28,229</w:t>
            </w:r>
          </w:p>
        </w:tc>
        <w:tc>
          <w:tcPr>
            <w:tcW w:w="1034"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21,908</w:t>
            </w:r>
          </w:p>
        </w:tc>
        <w:tc>
          <w:tcPr>
            <w:tcW w:w="1134"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83</w:t>
            </w:r>
          </w:p>
        </w:tc>
        <w:tc>
          <w:tcPr>
            <w:tcW w:w="850"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1,100</w:t>
            </w:r>
          </w:p>
        </w:tc>
        <w:tc>
          <w:tcPr>
            <w:tcW w:w="993"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23,092</w:t>
            </w:r>
          </w:p>
        </w:tc>
      </w:tr>
      <w:tr w:rsidR="00252867" w:rsidRPr="00495A35" w:rsidTr="005F426F">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867" w:rsidRPr="00495A35" w:rsidRDefault="00252867" w:rsidP="005B4E5F">
            <w:pPr>
              <w:rPr>
                <w:rFonts w:eastAsia="Times New Roman"/>
                <w:color w:val="000000"/>
                <w:sz w:val="14"/>
                <w:szCs w:val="14"/>
                <w:lang w:val="es-ES" w:eastAsia="es-ES"/>
              </w:rPr>
            </w:pPr>
            <w:r w:rsidRPr="00495A35">
              <w:rPr>
                <w:rFonts w:eastAsia="Times New Roman"/>
                <w:color w:val="000000"/>
                <w:sz w:val="14"/>
                <w:szCs w:val="14"/>
                <w:lang w:val="es-ES" w:eastAsia="es-ES"/>
              </w:rPr>
              <w:t>PRUEBAS RÁPIDAS</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5,805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1,006</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1,927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8,738</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4,975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283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1,414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6,672</w:t>
            </w:r>
          </w:p>
        </w:tc>
      </w:tr>
      <w:tr w:rsidR="00252867" w:rsidRPr="00495A35" w:rsidTr="00EC3C1E">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867" w:rsidRPr="00495A35" w:rsidRDefault="00252867" w:rsidP="005B4E5F">
            <w:pPr>
              <w:rPr>
                <w:rFonts w:eastAsia="Times New Roman"/>
                <w:color w:val="000000"/>
                <w:sz w:val="14"/>
                <w:szCs w:val="14"/>
                <w:lang w:val="es-ES" w:eastAsia="es-ES"/>
              </w:rPr>
            </w:pPr>
            <w:r w:rsidRPr="00495A35">
              <w:rPr>
                <w:rFonts w:eastAsia="Times New Roman"/>
                <w:color w:val="000000"/>
                <w:sz w:val="14"/>
                <w:szCs w:val="14"/>
                <w:lang w:val="es-ES" w:eastAsia="es-ES"/>
              </w:rPr>
              <w:t>BACTERIOLOGÍA</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1,608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663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2,271</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1,378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160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1,537</w:t>
            </w:r>
          </w:p>
        </w:tc>
      </w:tr>
      <w:tr w:rsidR="00252867" w:rsidRPr="00495A35" w:rsidTr="005B4E5F">
        <w:trPr>
          <w:trHeight w:val="45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252867" w:rsidRPr="00495A35" w:rsidRDefault="00252867" w:rsidP="005B4E5F">
            <w:pPr>
              <w:rPr>
                <w:rFonts w:eastAsia="Times New Roman"/>
                <w:color w:val="000000"/>
                <w:sz w:val="14"/>
                <w:szCs w:val="14"/>
                <w:lang w:val="es-ES" w:eastAsia="es-ES"/>
              </w:rPr>
            </w:pPr>
            <w:r w:rsidRPr="00495A35">
              <w:rPr>
                <w:rFonts w:eastAsia="Times New Roman"/>
                <w:color w:val="000000"/>
                <w:sz w:val="14"/>
                <w:szCs w:val="14"/>
                <w:lang w:val="es-ES" w:eastAsia="es-ES"/>
              </w:rPr>
              <w:t>PRUEBAS ESPECIALES</w:t>
            </w:r>
          </w:p>
        </w:tc>
        <w:tc>
          <w:tcPr>
            <w:tcW w:w="1127"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7,702</w:t>
            </w:r>
          </w:p>
        </w:tc>
        <w:tc>
          <w:tcPr>
            <w:tcW w:w="1275"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311</w:t>
            </w:r>
          </w:p>
        </w:tc>
        <w:tc>
          <w:tcPr>
            <w:tcW w:w="816"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2,431</w:t>
            </w:r>
          </w:p>
        </w:tc>
        <w:tc>
          <w:tcPr>
            <w:tcW w:w="851"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10,444</w:t>
            </w:r>
          </w:p>
        </w:tc>
        <w:tc>
          <w:tcPr>
            <w:tcW w:w="1034"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6,601</w:t>
            </w:r>
          </w:p>
        </w:tc>
        <w:tc>
          <w:tcPr>
            <w:tcW w:w="1134"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121</w:t>
            </w:r>
          </w:p>
        </w:tc>
        <w:tc>
          <w:tcPr>
            <w:tcW w:w="850"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1,398</w:t>
            </w:r>
          </w:p>
        </w:tc>
        <w:tc>
          <w:tcPr>
            <w:tcW w:w="993"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8,120</w:t>
            </w:r>
          </w:p>
        </w:tc>
      </w:tr>
      <w:tr w:rsidR="00252867" w:rsidRPr="00495A35" w:rsidTr="005B4E5F">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252867" w:rsidRPr="00495A35" w:rsidRDefault="00252867" w:rsidP="005B4E5F">
            <w:pPr>
              <w:rPr>
                <w:rFonts w:eastAsia="Times New Roman"/>
                <w:color w:val="000000"/>
                <w:sz w:val="14"/>
                <w:szCs w:val="14"/>
                <w:lang w:val="es-ES" w:eastAsia="es-ES"/>
              </w:rPr>
            </w:pPr>
            <w:r w:rsidRPr="00495A35">
              <w:rPr>
                <w:rFonts w:eastAsia="Times New Roman"/>
                <w:color w:val="000000"/>
                <w:sz w:val="14"/>
                <w:szCs w:val="14"/>
                <w:lang w:val="es-ES" w:eastAsia="es-ES"/>
              </w:rPr>
              <w:t>COAGULACIÓN</w:t>
            </w:r>
          </w:p>
        </w:tc>
        <w:tc>
          <w:tcPr>
            <w:tcW w:w="1127"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2,469</w:t>
            </w:r>
          </w:p>
        </w:tc>
        <w:tc>
          <w:tcPr>
            <w:tcW w:w="1275"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52</w:t>
            </w:r>
          </w:p>
        </w:tc>
        <w:tc>
          <w:tcPr>
            <w:tcW w:w="816"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96</w:t>
            </w:r>
          </w:p>
        </w:tc>
        <w:tc>
          <w:tcPr>
            <w:tcW w:w="851"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2,617</w:t>
            </w:r>
          </w:p>
        </w:tc>
        <w:tc>
          <w:tcPr>
            <w:tcW w:w="1034"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2,116</w:t>
            </w:r>
          </w:p>
        </w:tc>
        <w:tc>
          <w:tcPr>
            <w:tcW w:w="1134"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24</w:t>
            </w:r>
          </w:p>
        </w:tc>
        <w:tc>
          <w:tcPr>
            <w:tcW w:w="850"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0</w:t>
            </w:r>
          </w:p>
        </w:tc>
        <w:tc>
          <w:tcPr>
            <w:tcW w:w="993" w:type="dxa"/>
            <w:tcBorders>
              <w:top w:val="nil"/>
              <w:left w:val="nil"/>
              <w:bottom w:val="single" w:sz="4" w:space="0" w:color="auto"/>
              <w:right w:val="single" w:sz="4" w:space="0" w:color="auto"/>
            </w:tcBorders>
            <w:shd w:val="clear" w:color="auto" w:fill="auto"/>
            <w:vAlign w:val="center"/>
            <w:hideMark/>
          </w:tcPr>
          <w:p w:rsidR="00252867" w:rsidRPr="00495A35" w:rsidRDefault="00252867" w:rsidP="005B4E5F">
            <w:pPr>
              <w:jc w:val="center"/>
              <w:rPr>
                <w:rFonts w:eastAsia="Times New Roman"/>
                <w:color w:val="000000"/>
                <w:sz w:val="14"/>
                <w:szCs w:val="14"/>
                <w:lang w:val="es-ES" w:eastAsia="es-ES"/>
              </w:rPr>
            </w:pPr>
            <w:r w:rsidRPr="00495A35">
              <w:rPr>
                <w:rFonts w:eastAsia="Times New Roman"/>
                <w:color w:val="000000"/>
                <w:sz w:val="14"/>
                <w:szCs w:val="14"/>
                <w:lang w:val="es-ES" w:eastAsia="es-ES"/>
              </w:rPr>
              <w:t>2,140</w:t>
            </w:r>
          </w:p>
        </w:tc>
      </w:tr>
      <w:tr w:rsidR="00252867" w:rsidRPr="00495A35" w:rsidTr="005B4E5F">
        <w:trPr>
          <w:trHeight w:val="300"/>
        </w:trPr>
        <w:tc>
          <w:tcPr>
            <w:tcW w:w="1418" w:type="dxa"/>
            <w:tcBorders>
              <w:top w:val="nil"/>
              <w:left w:val="single" w:sz="4" w:space="0" w:color="auto"/>
              <w:bottom w:val="single" w:sz="4" w:space="0" w:color="auto"/>
              <w:right w:val="single" w:sz="4" w:space="0" w:color="auto"/>
            </w:tcBorders>
            <w:shd w:val="clear" w:color="000000" w:fill="C5E0B3"/>
            <w:vAlign w:val="center"/>
            <w:hideMark/>
          </w:tcPr>
          <w:p w:rsidR="00252867" w:rsidRPr="00495A35" w:rsidRDefault="00252867" w:rsidP="005B4E5F">
            <w:pPr>
              <w:rPr>
                <w:rFonts w:eastAsia="Times New Roman"/>
                <w:b/>
                <w:bCs/>
                <w:color w:val="000000"/>
                <w:sz w:val="14"/>
                <w:szCs w:val="14"/>
                <w:lang w:val="es-ES" w:eastAsia="es-ES"/>
              </w:rPr>
            </w:pPr>
            <w:r w:rsidRPr="00495A35">
              <w:rPr>
                <w:rFonts w:eastAsia="Times New Roman"/>
                <w:b/>
                <w:bCs/>
                <w:color w:val="000000"/>
                <w:sz w:val="14"/>
                <w:szCs w:val="14"/>
                <w:lang w:val="es-ES" w:eastAsia="es-ES"/>
              </w:rPr>
              <w:t>TOTAL</w:t>
            </w:r>
          </w:p>
        </w:tc>
        <w:tc>
          <w:tcPr>
            <w:tcW w:w="1127" w:type="dxa"/>
            <w:tcBorders>
              <w:top w:val="nil"/>
              <w:left w:val="nil"/>
              <w:bottom w:val="single" w:sz="4" w:space="0" w:color="auto"/>
              <w:right w:val="single" w:sz="4" w:space="0" w:color="auto"/>
            </w:tcBorders>
            <w:shd w:val="clear" w:color="000000" w:fill="C5E0B3"/>
            <w:vAlign w:val="center"/>
            <w:hideMark/>
          </w:tcPr>
          <w:p w:rsidR="00252867" w:rsidRPr="00495A35" w:rsidRDefault="00252867" w:rsidP="005B4E5F">
            <w:pPr>
              <w:jc w:val="center"/>
              <w:rPr>
                <w:rFonts w:eastAsia="Times New Roman"/>
                <w:b/>
                <w:bCs/>
                <w:color w:val="000000"/>
                <w:sz w:val="14"/>
                <w:szCs w:val="14"/>
                <w:lang w:val="es-ES" w:eastAsia="es-ES"/>
              </w:rPr>
            </w:pPr>
            <w:r w:rsidRPr="00495A35">
              <w:rPr>
                <w:rFonts w:eastAsia="Times New Roman"/>
                <w:b/>
                <w:bCs/>
                <w:color w:val="000000"/>
                <w:sz w:val="14"/>
                <w:szCs w:val="14"/>
                <w:lang w:val="es-ES" w:eastAsia="es-ES"/>
              </w:rPr>
              <w:t>190,705</w:t>
            </w:r>
          </w:p>
        </w:tc>
        <w:tc>
          <w:tcPr>
            <w:tcW w:w="1275" w:type="dxa"/>
            <w:tcBorders>
              <w:top w:val="nil"/>
              <w:left w:val="nil"/>
              <w:bottom w:val="single" w:sz="4" w:space="0" w:color="auto"/>
              <w:right w:val="single" w:sz="4" w:space="0" w:color="auto"/>
            </w:tcBorders>
            <w:shd w:val="clear" w:color="000000" w:fill="C5E0B3"/>
            <w:vAlign w:val="center"/>
            <w:hideMark/>
          </w:tcPr>
          <w:p w:rsidR="00252867" w:rsidRPr="00495A35" w:rsidRDefault="00252867" w:rsidP="005B4E5F">
            <w:pPr>
              <w:jc w:val="center"/>
              <w:rPr>
                <w:rFonts w:eastAsia="Times New Roman"/>
                <w:b/>
                <w:bCs/>
                <w:color w:val="000000"/>
                <w:sz w:val="14"/>
                <w:szCs w:val="14"/>
                <w:lang w:val="es-ES" w:eastAsia="es-ES"/>
              </w:rPr>
            </w:pPr>
            <w:r w:rsidRPr="00495A35">
              <w:rPr>
                <w:rFonts w:eastAsia="Times New Roman"/>
                <w:b/>
                <w:bCs/>
                <w:color w:val="000000"/>
                <w:sz w:val="14"/>
                <w:szCs w:val="14"/>
                <w:lang w:val="es-ES" w:eastAsia="es-ES"/>
              </w:rPr>
              <w:t>8,197</w:t>
            </w:r>
          </w:p>
        </w:tc>
        <w:tc>
          <w:tcPr>
            <w:tcW w:w="816" w:type="dxa"/>
            <w:tcBorders>
              <w:top w:val="nil"/>
              <w:left w:val="nil"/>
              <w:bottom w:val="single" w:sz="4" w:space="0" w:color="auto"/>
              <w:right w:val="single" w:sz="4" w:space="0" w:color="auto"/>
            </w:tcBorders>
            <w:shd w:val="clear" w:color="000000" w:fill="C5E0B3"/>
            <w:vAlign w:val="center"/>
            <w:hideMark/>
          </w:tcPr>
          <w:p w:rsidR="00252867" w:rsidRPr="00495A35" w:rsidRDefault="00252867" w:rsidP="005B4E5F">
            <w:pPr>
              <w:jc w:val="center"/>
              <w:rPr>
                <w:rFonts w:eastAsia="Times New Roman"/>
                <w:b/>
                <w:bCs/>
                <w:color w:val="000000"/>
                <w:sz w:val="14"/>
                <w:szCs w:val="14"/>
                <w:lang w:val="es-ES" w:eastAsia="es-ES"/>
              </w:rPr>
            </w:pPr>
            <w:r w:rsidRPr="00495A35">
              <w:rPr>
                <w:rFonts w:eastAsia="Times New Roman"/>
                <w:b/>
                <w:bCs/>
                <w:color w:val="000000"/>
                <w:sz w:val="14"/>
                <w:szCs w:val="14"/>
                <w:lang w:val="es-ES" w:eastAsia="es-ES"/>
              </w:rPr>
              <w:t>80,470</w:t>
            </w:r>
          </w:p>
        </w:tc>
        <w:tc>
          <w:tcPr>
            <w:tcW w:w="851" w:type="dxa"/>
            <w:tcBorders>
              <w:top w:val="nil"/>
              <w:left w:val="nil"/>
              <w:bottom w:val="single" w:sz="4" w:space="0" w:color="auto"/>
              <w:right w:val="single" w:sz="4" w:space="0" w:color="auto"/>
            </w:tcBorders>
            <w:shd w:val="clear" w:color="000000" w:fill="C5E0B3"/>
            <w:vAlign w:val="center"/>
            <w:hideMark/>
          </w:tcPr>
          <w:p w:rsidR="00252867" w:rsidRPr="00495A35" w:rsidRDefault="00252867" w:rsidP="005B4E5F">
            <w:pPr>
              <w:jc w:val="center"/>
              <w:rPr>
                <w:rFonts w:eastAsia="Times New Roman"/>
                <w:b/>
                <w:bCs/>
                <w:color w:val="000000"/>
                <w:sz w:val="14"/>
                <w:szCs w:val="14"/>
                <w:lang w:val="es-ES" w:eastAsia="es-ES"/>
              </w:rPr>
            </w:pPr>
            <w:r w:rsidRPr="00495A35">
              <w:rPr>
                <w:rFonts w:eastAsia="Times New Roman"/>
                <w:b/>
                <w:bCs/>
                <w:color w:val="000000"/>
                <w:sz w:val="14"/>
                <w:szCs w:val="14"/>
                <w:lang w:val="es-ES" w:eastAsia="es-ES"/>
              </w:rPr>
              <w:t>279,372</w:t>
            </w:r>
          </w:p>
        </w:tc>
        <w:tc>
          <w:tcPr>
            <w:tcW w:w="1034" w:type="dxa"/>
            <w:tcBorders>
              <w:top w:val="nil"/>
              <w:left w:val="nil"/>
              <w:bottom w:val="single" w:sz="4" w:space="0" w:color="auto"/>
              <w:right w:val="single" w:sz="4" w:space="0" w:color="auto"/>
            </w:tcBorders>
            <w:shd w:val="clear" w:color="000000" w:fill="C5E0B3"/>
            <w:vAlign w:val="center"/>
            <w:hideMark/>
          </w:tcPr>
          <w:p w:rsidR="00252867" w:rsidRPr="00495A35" w:rsidRDefault="00252867" w:rsidP="005B4E5F">
            <w:pPr>
              <w:jc w:val="center"/>
              <w:rPr>
                <w:rFonts w:eastAsia="Times New Roman"/>
                <w:b/>
                <w:bCs/>
                <w:color w:val="000000"/>
                <w:sz w:val="14"/>
                <w:szCs w:val="14"/>
                <w:lang w:val="es-ES" w:eastAsia="es-ES"/>
              </w:rPr>
            </w:pPr>
            <w:r w:rsidRPr="00495A35">
              <w:rPr>
                <w:rFonts w:eastAsia="Times New Roman"/>
                <w:b/>
                <w:bCs/>
                <w:color w:val="000000"/>
                <w:sz w:val="14"/>
                <w:szCs w:val="14"/>
                <w:lang w:val="es-ES" w:eastAsia="es-ES"/>
              </w:rPr>
              <w:t>227,881</w:t>
            </w:r>
          </w:p>
        </w:tc>
        <w:tc>
          <w:tcPr>
            <w:tcW w:w="1134" w:type="dxa"/>
            <w:tcBorders>
              <w:top w:val="nil"/>
              <w:left w:val="nil"/>
              <w:bottom w:val="single" w:sz="4" w:space="0" w:color="auto"/>
              <w:right w:val="single" w:sz="4" w:space="0" w:color="auto"/>
            </w:tcBorders>
            <w:shd w:val="clear" w:color="000000" w:fill="C5E0B3"/>
            <w:vAlign w:val="center"/>
            <w:hideMark/>
          </w:tcPr>
          <w:p w:rsidR="00252867" w:rsidRPr="00495A35" w:rsidRDefault="00252867" w:rsidP="005B4E5F">
            <w:pPr>
              <w:jc w:val="center"/>
              <w:rPr>
                <w:rFonts w:eastAsia="Times New Roman"/>
                <w:b/>
                <w:bCs/>
                <w:color w:val="000000"/>
                <w:sz w:val="14"/>
                <w:szCs w:val="14"/>
                <w:lang w:val="es-ES" w:eastAsia="es-ES"/>
              </w:rPr>
            </w:pPr>
            <w:r w:rsidRPr="00495A35">
              <w:rPr>
                <w:rFonts w:eastAsia="Times New Roman"/>
                <w:b/>
                <w:bCs/>
                <w:color w:val="000000"/>
                <w:sz w:val="14"/>
                <w:szCs w:val="14"/>
                <w:lang w:val="es-ES" w:eastAsia="es-ES"/>
              </w:rPr>
              <w:t>2,005</w:t>
            </w:r>
          </w:p>
        </w:tc>
        <w:tc>
          <w:tcPr>
            <w:tcW w:w="850" w:type="dxa"/>
            <w:tcBorders>
              <w:top w:val="nil"/>
              <w:left w:val="nil"/>
              <w:bottom w:val="single" w:sz="4" w:space="0" w:color="auto"/>
              <w:right w:val="single" w:sz="4" w:space="0" w:color="auto"/>
            </w:tcBorders>
            <w:shd w:val="clear" w:color="000000" w:fill="C5E0B3"/>
            <w:vAlign w:val="center"/>
            <w:hideMark/>
          </w:tcPr>
          <w:p w:rsidR="00252867" w:rsidRPr="00495A35" w:rsidRDefault="00252867" w:rsidP="005B4E5F">
            <w:pPr>
              <w:jc w:val="center"/>
              <w:rPr>
                <w:rFonts w:eastAsia="Times New Roman"/>
                <w:b/>
                <w:bCs/>
                <w:color w:val="000000"/>
                <w:sz w:val="14"/>
                <w:szCs w:val="14"/>
                <w:lang w:val="es-ES" w:eastAsia="es-ES"/>
              </w:rPr>
            </w:pPr>
            <w:r w:rsidRPr="00495A35">
              <w:rPr>
                <w:rFonts w:eastAsia="Times New Roman"/>
                <w:b/>
                <w:bCs/>
                <w:color w:val="000000"/>
                <w:sz w:val="14"/>
                <w:szCs w:val="14"/>
                <w:lang w:val="es-ES" w:eastAsia="es-ES"/>
              </w:rPr>
              <w:t>44,663</w:t>
            </w:r>
          </w:p>
        </w:tc>
        <w:tc>
          <w:tcPr>
            <w:tcW w:w="993" w:type="dxa"/>
            <w:tcBorders>
              <w:top w:val="nil"/>
              <w:left w:val="nil"/>
              <w:bottom w:val="single" w:sz="4" w:space="0" w:color="auto"/>
              <w:right w:val="single" w:sz="4" w:space="0" w:color="auto"/>
            </w:tcBorders>
            <w:shd w:val="clear" w:color="000000" w:fill="C5E0B3"/>
            <w:vAlign w:val="center"/>
            <w:hideMark/>
          </w:tcPr>
          <w:p w:rsidR="00252867" w:rsidRPr="00495A35" w:rsidRDefault="00252867" w:rsidP="005B4E5F">
            <w:pPr>
              <w:jc w:val="center"/>
              <w:rPr>
                <w:rFonts w:eastAsia="Times New Roman"/>
                <w:b/>
                <w:bCs/>
                <w:color w:val="000000"/>
                <w:sz w:val="14"/>
                <w:szCs w:val="14"/>
                <w:lang w:val="es-ES" w:eastAsia="es-ES"/>
              </w:rPr>
            </w:pPr>
            <w:r w:rsidRPr="00495A35">
              <w:rPr>
                <w:rFonts w:eastAsia="Times New Roman"/>
                <w:b/>
                <w:bCs/>
                <w:color w:val="000000"/>
                <w:sz w:val="14"/>
                <w:szCs w:val="14"/>
                <w:lang w:val="es-ES" w:eastAsia="es-ES"/>
              </w:rPr>
              <w:t>274,549</w:t>
            </w:r>
          </w:p>
        </w:tc>
      </w:tr>
    </w:tbl>
    <w:p w:rsidR="00252867" w:rsidRDefault="00252867" w:rsidP="00252867">
      <w:pPr>
        <w:jc w:val="both"/>
        <w:rPr>
          <w:rFonts w:ascii="Century Gothic" w:hAnsi="Century Gothic"/>
          <w:sz w:val="18"/>
          <w:szCs w:val="18"/>
        </w:rPr>
      </w:pPr>
      <w:r w:rsidRPr="00740CEA">
        <w:rPr>
          <w:rFonts w:ascii="Century Gothic" w:hAnsi="Century Gothic"/>
          <w:sz w:val="18"/>
          <w:szCs w:val="18"/>
        </w:rPr>
        <w:t xml:space="preserve">Fuente: </w:t>
      </w:r>
      <w:r>
        <w:rPr>
          <w:rFonts w:ascii="Century Gothic" w:hAnsi="Century Gothic"/>
          <w:sz w:val="18"/>
          <w:szCs w:val="18"/>
        </w:rPr>
        <w:t>Sistema de registro de atenciones de laboratorio clínico</w:t>
      </w:r>
      <w:r w:rsidRPr="00740CEA">
        <w:rPr>
          <w:rFonts w:ascii="Century Gothic" w:hAnsi="Century Gothic"/>
          <w:sz w:val="18"/>
          <w:szCs w:val="18"/>
        </w:rPr>
        <w:t>.</w:t>
      </w:r>
    </w:p>
    <w:p w:rsidR="00A4446D" w:rsidRDefault="00A4446D" w:rsidP="00252867">
      <w:pPr>
        <w:spacing w:before="200" w:line="276" w:lineRule="auto"/>
        <w:jc w:val="center"/>
        <w:rPr>
          <w:rFonts w:ascii="Century Gothic" w:hAnsi="Century Gothic"/>
          <w:b/>
        </w:rPr>
      </w:pPr>
    </w:p>
    <w:p w:rsidR="00A4446D" w:rsidRDefault="00A4446D" w:rsidP="00252867">
      <w:pPr>
        <w:spacing w:before="200" w:line="276" w:lineRule="auto"/>
        <w:jc w:val="center"/>
        <w:rPr>
          <w:rFonts w:ascii="Century Gothic" w:hAnsi="Century Gothic"/>
          <w:b/>
        </w:rPr>
      </w:pPr>
    </w:p>
    <w:p w:rsidR="00252867" w:rsidRDefault="00252867" w:rsidP="00252867">
      <w:pPr>
        <w:spacing w:before="200" w:line="276" w:lineRule="auto"/>
        <w:jc w:val="center"/>
        <w:rPr>
          <w:rFonts w:ascii="Century Gothic" w:hAnsi="Century Gothic"/>
          <w:b/>
        </w:rPr>
      </w:pPr>
      <w:r w:rsidRPr="000E756C">
        <w:rPr>
          <w:rFonts w:ascii="Century Gothic" w:hAnsi="Century Gothic"/>
          <w:b/>
        </w:rPr>
        <w:t>ATENCIONES ODONTOLÓGICAS</w:t>
      </w:r>
    </w:p>
    <w:tbl>
      <w:tblPr>
        <w:tblW w:w="8789" w:type="dxa"/>
        <w:tblInd w:w="70" w:type="dxa"/>
        <w:tblCellMar>
          <w:left w:w="70" w:type="dxa"/>
          <w:right w:w="70" w:type="dxa"/>
        </w:tblCellMar>
        <w:tblLook w:val="04A0" w:firstRow="1" w:lastRow="0" w:firstColumn="1" w:lastColumn="0" w:noHBand="0" w:noVBand="1"/>
      </w:tblPr>
      <w:tblGrid>
        <w:gridCol w:w="2127"/>
        <w:gridCol w:w="1307"/>
        <w:gridCol w:w="1276"/>
        <w:gridCol w:w="819"/>
        <w:gridCol w:w="1307"/>
        <w:gridCol w:w="1174"/>
        <w:gridCol w:w="779"/>
      </w:tblGrid>
      <w:tr w:rsidR="00252867" w:rsidRPr="001044A5" w:rsidTr="005B4E5F">
        <w:trPr>
          <w:trHeight w:val="300"/>
        </w:trPr>
        <w:tc>
          <w:tcPr>
            <w:tcW w:w="2127" w:type="dxa"/>
            <w:tcBorders>
              <w:top w:val="nil"/>
              <w:left w:val="nil"/>
              <w:bottom w:val="nil"/>
              <w:right w:val="nil"/>
            </w:tcBorders>
            <w:shd w:val="clear" w:color="auto" w:fill="auto"/>
            <w:noWrap/>
            <w:vAlign w:val="bottom"/>
            <w:hideMark/>
          </w:tcPr>
          <w:p w:rsidR="00252867" w:rsidRDefault="00252867" w:rsidP="005B4E5F">
            <w:pPr>
              <w:rPr>
                <w:rFonts w:ascii="Times New Roman" w:eastAsia="Times New Roman" w:hAnsi="Times New Roman"/>
                <w:sz w:val="14"/>
                <w:szCs w:val="14"/>
                <w:lang w:val="es-ES" w:eastAsia="es-ES"/>
              </w:rPr>
            </w:pPr>
          </w:p>
          <w:p w:rsidR="00252867" w:rsidRPr="001044A5" w:rsidRDefault="00252867" w:rsidP="005B4E5F">
            <w:pPr>
              <w:rPr>
                <w:rFonts w:ascii="Times New Roman" w:eastAsia="Times New Roman" w:hAnsi="Times New Roman"/>
                <w:sz w:val="14"/>
                <w:szCs w:val="14"/>
                <w:lang w:val="es-ES" w:eastAsia="es-ES"/>
              </w:rPr>
            </w:pPr>
          </w:p>
        </w:tc>
        <w:tc>
          <w:tcPr>
            <w:tcW w:w="3402" w:type="dxa"/>
            <w:gridSpan w:val="3"/>
            <w:tcBorders>
              <w:top w:val="single" w:sz="4" w:space="0" w:color="auto"/>
              <w:left w:val="nil"/>
              <w:bottom w:val="single" w:sz="4" w:space="0" w:color="auto"/>
              <w:right w:val="single" w:sz="4" w:space="0" w:color="auto"/>
            </w:tcBorders>
            <w:shd w:val="clear" w:color="000000" w:fill="E6B8B7"/>
            <w:noWrap/>
            <w:vAlign w:val="center"/>
            <w:hideMark/>
          </w:tcPr>
          <w:p w:rsidR="00252867" w:rsidRPr="001044A5" w:rsidRDefault="00252867" w:rsidP="005B4E5F">
            <w:pPr>
              <w:jc w:val="center"/>
              <w:rPr>
                <w:rFonts w:eastAsia="Times New Roman"/>
                <w:b/>
                <w:bCs/>
                <w:color w:val="000000"/>
                <w:sz w:val="14"/>
                <w:szCs w:val="14"/>
                <w:lang w:val="es-ES" w:eastAsia="es-ES"/>
              </w:rPr>
            </w:pPr>
            <w:r w:rsidRPr="001044A5">
              <w:rPr>
                <w:rFonts w:eastAsia="Times New Roman"/>
                <w:b/>
                <w:bCs/>
                <w:color w:val="000000"/>
                <w:sz w:val="14"/>
                <w:szCs w:val="14"/>
                <w:lang w:val="es-ES" w:eastAsia="es-ES"/>
              </w:rPr>
              <w:t>JUNIO A DICIEMBRE 2016</w:t>
            </w:r>
          </w:p>
        </w:tc>
        <w:tc>
          <w:tcPr>
            <w:tcW w:w="3260" w:type="dxa"/>
            <w:gridSpan w:val="3"/>
            <w:tcBorders>
              <w:top w:val="single" w:sz="4" w:space="0" w:color="auto"/>
              <w:left w:val="nil"/>
              <w:bottom w:val="single" w:sz="4" w:space="0" w:color="auto"/>
              <w:right w:val="single" w:sz="4" w:space="0" w:color="auto"/>
            </w:tcBorders>
            <w:shd w:val="clear" w:color="000000" w:fill="E6B8B7"/>
            <w:noWrap/>
            <w:vAlign w:val="center"/>
            <w:hideMark/>
          </w:tcPr>
          <w:p w:rsidR="00252867" w:rsidRPr="001044A5" w:rsidRDefault="00252867" w:rsidP="005B4E5F">
            <w:pPr>
              <w:jc w:val="center"/>
              <w:rPr>
                <w:rFonts w:eastAsia="Times New Roman"/>
                <w:b/>
                <w:bCs/>
                <w:color w:val="000000"/>
                <w:sz w:val="14"/>
                <w:szCs w:val="14"/>
                <w:lang w:val="es-ES" w:eastAsia="es-ES"/>
              </w:rPr>
            </w:pPr>
            <w:r w:rsidRPr="001044A5">
              <w:rPr>
                <w:rFonts w:eastAsia="Times New Roman"/>
                <w:b/>
                <w:bCs/>
                <w:color w:val="000000"/>
                <w:sz w:val="14"/>
                <w:szCs w:val="14"/>
                <w:lang w:val="es-ES" w:eastAsia="es-ES"/>
              </w:rPr>
              <w:t>ENERO A JUNIO 2017</w:t>
            </w:r>
          </w:p>
        </w:tc>
      </w:tr>
      <w:tr w:rsidR="00252867" w:rsidRPr="00EA616F" w:rsidTr="005B4E5F">
        <w:trPr>
          <w:trHeight w:val="675"/>
        </w:trPr>
        <w:tc>
          <w:tcPr>
            <w:tcW w:w="2127" w:type="dxa"/>
            <w:tcBorders>
              <w:top w:val="single" w:sz="4" w:space="0" w:color="auto"/>
              <w:left w:val="nil"/>
              <w:bottom w:val="single" w:sz="4" w:space="0" w:color="auto"/>
              <w:right w:val="single" w:sz="4" w:space="0" w:color="auto"/>
            </w:tcBorders>
            <w:shd w:val="clear" w:color="000000" w:fill="E6B8B7"/>
            <w:vAlign w:val="center"/>
            <w:hideMark/>
          </w:tcPr>
          <w:p w:rsidR="00252867" w:rsidRPr="001044A5" w:rsidRDefault="00252867" w:rsidP="005B4E5F">
            <w:pPr>
              <w:jc w:val="center"/>
              <w:rPr>
                <w:rFonts w:ascii="Myriad Pro" w:eastAsia="Times New Roman" w:hAnsi="Myriad Pro"/>
                <w:b/>
                <w:bCs/>
                <w:color w:val="000000"/>
                <w:sz w:val="14"/>
                <w:szCs w:val="14"/>
                <w:lang w:val="es-ES" w:eastAsia="es-ES"/>
              </w:rPr>
            </w:pPr>
            <w:r w:rsidRPr="001044A5">
              <w:rPr>
                <w:rFonts w:ascii="Myriad Pro" w:eastAsia="Times New Roman" w:hAnsi="Myriad Pro"/>
                <w:b/>
                <w:bCs/>
                <w:color w:val="000000"/>
                <w:sz w:val="14"/>
                <w:szCs w:val="14"/>
                <w:lang w:val="es-ES" w:eastAsia="es-ES"/>
              </w:rPr>
              <w:t>PROCEDIMIENTO</w:t>
            </w:r>
          </w:p>
        </w:tc>
        <w:tc>
          <w:tcPr>
            <w:tcW w:w="1307" w:type="dxa"/>
            <w:tcBorders>
              <w:top w:val="nil"/>
              <w:left w:val="nil"/>
              <w:bottom w:val="single" w:sz="4" w:space="0" w:color="auto"/>
              <w:right w:val="single" w:sz="4" w:space="0" w:color="auto"/>
            </w:tcBorders>
            <w:shd w:val="clear" w:color="000000" w:fill="E6B8B7"/>
            <w:vAlign w:val="center"/>
            <w:hideMark/>
          </w:tcPr>
          <w:p w:rsidR="00252867" w:rsidRPr="001044A5" w:rsidRDefault="00252867" w:rsidP="005B4E5F">
            <w:pPr>
              <w:jc w:val="center"/>
              <w:rPr>
                <w:rFonts w:ascii="Myriad Pro" w:eastAsia="Times New Roman" w:hAnsi="Myriad Pro"/>
                <w:b/>
                <w:bCs/>
                <w:color w:val="000000"/>
                <w:sz w:val="14"/>
                <w:szCs w:val="14"/>
                <w:lang w:val="es-ES" w:eastAsia="es-ES"/>
              </w:rPr>
            </w:pPr>
            <w:r w:rsidRPr="001044A5">
              <w:rPr>
                <w:rFonts w:ascii="Myriad Pro" w:eastAsia="Times New Roman" w:hAnsi="Myriad Pro"/>
                <w:b/>
                <w:bCs/>
                <w:color w:val="000000"/>
                <w:sz w:val="14"/>
                <w:szCs w:val="14"/>
                <w:lang w:val="es-ES" w:eastAsia="es-ES"/>
              </w:rPr>
              <w:t xml:space="preserve">CENTRO ODONTOLÓGICO </w:t>
            </w:r>
          </w:p>
        </w:tc>
        <w:tc>
          <w:tcPr>
            <w:tcW w:w="1276" w:type="dxa"/>
            <w:tcBorders>
              <w:top w:val="nil"/>
              <w:left w:val="nil"/>
              <w:bottom w:val="single" w:sz="4" w:space="0" w:color="auto"/>
              <w:right w:val="single" w:sz="4" w:space="0" w:color="auto"/>
            </w:tcBorders>
            <w:shd w:val="clear" w:color="000000" w:fill="E6B8B7"/>
            <w:vAlign w:val="center"/>
            <w:hideMark/>
          </w:tcPr>
          <w:p w:rsidR="00252867" w:rsidRPr="001044A5" w:rsidRDefault="00252867" w:rsidP="005B4E5F">
            <w:pPr>
              <w:jc w:val="center"/>
              <w:rPr>
                <w:rFonts w:ascii="Myriad Pro" w:eastAsia="Times New Roman" w:hAnsi="Myriad Pro"/>
                <w:b/>
                <w:bCs/>
                <w:color w:val="000000"/>
                <w:sz w:val="14"/>
                <w:szCs w:val="14"/>
                <w:lang w:val="es-ES" w:eastAsia="es-ES"/>
              </w:rPr>
            </w:pPr>
            <w:r w:rsidRPr="001044A5">
              <w:rPr>
                <w:rFonts w:ascii="Myriad Pro" w:eastAsia="Times New Roman" w:hAnsi="Myriad Pro"/>
                <w:b/>
                <w:bCs/>
                <w:color w:val="000000"/>
                <w:sz w:val="14"/>
                <w:szCs w:val="14"/>
                <w:lang w:val="es-ES" w:eastAsia="es-ES"/>
              </w:rPr>
              <w:t>PROVEEDOR DE SERVICIOS</w:t>
            </w:r>
          </w:p>
        </w:tc>
        <w:tc>
          <w:tcPr>
            <w:tcW w:w="819" w:type="dxa"/>
            <w:tcBorders>
              <w:top w:val="nil"/>
              <w:left w:val="nil"/>
              <w:bottom w:val="single" w:sz="4" w:space="0" w:color="auto"/>
              <w:right w:val="single" w:sz="4" w:space="0" w:color="auto"/>
            </w:tcBorders>
            <w:shd w:val="clear" w:color="000000" w:fill="E6B8B7"/>
            <w:vAlign w:val="center"/>
            <w:hideMark/>
          </w:tcPr>
          <w:p w:rsidR="00252867" w:rsidRPr="001044A5" w:rsidRDefault="00252867" w:rsidP="005B4E5F">
            <w:pPr>
              <w:jc w:val="center"/>
              <w:rPr>
                <w:rFonts w:ascii="Myriad Pro" w:eastAsia="Times New Roman" w:hAnsi="Myriad Pro"/>
                <w:b/>
                <w:bCs/>
                <w:color w:val="000000"/>
                <w:sz w:val="14"/>
                <w:szCs w:val="14"/>
                <w:lang w:val="es-ES" w:eastAsia="es-ES"/>
              </w:rPr>
            </w:pPr>
            <w:r w:rsidRPr="001044A5">
              <w:rPr>
                <w:rFonts w:ascii="Myriad Pro" w:eastAsia="Times New Roman" w:hAnsi="Myriad Pro"/>
                <w:b/>
                <w:bCs/>
                <w:color w:val="000000"/>
                <w:sz w:val="14"/>
                <w:szCs w:val="14"/>
                <w:lang w:val="es-ES" w:eastAsia="es-ES"/>
              </w:rPr>
              <w:t>TOTAL</w:t>
            </w:r>
          </w:p>
        </w:tc>
        <w:tc>
          <w:tcPr>
            <w:tcW w:w="1307" w:type="dxa"/>
            <w:tcBorders>
              <w:top w:val="nil"/>
              <w:left w:val="nil"/>
              <w:bottom w:val="single" w:sz="4" w:space="0" w:color="auto"/>
              <w:right w:val="single" w:sz="4" w:space="0" w:color="auto"/>
            </w:tcBorders>
            <w:shd w:val="clear" w:color="000000" w:fill="E6B8B7"/>
            <w:vAlign w:val="center"/>
            <w:hideMark/>
          </w:tcPr>
          <w:p w:rsidR="00252867" w:rsidRPr="001044A5" w:rsidRDefault="00252867" w:rsidP="005B4E5F">
            <w:pPr>
              <w:jc w:val="center"/>
              <w:rPr>
                <w:rFonts w:ascii="Myriad Pro" w:eastAsia="Times New Roman" w:hAnsi="Myriad Pro"/>
                <w:b/>
                <w:bCs/>
                <w:color w:val="000000"/>
                <w:sz w:val="14"/>
                <w:szCs w:val="14"/>
                <w:lang w:val="es-ES" w:eastAsia="es-ES"/>
              </w:rPr>
            </w:pPr>
            <w:r w:rsidRPr="001044A5">
              <w:rPr>
                <w:rFonts w:ascii="Myriad Pro" w:eastAsia="Times New Roman" w:hAnsi="Myriad Pro"/>
                <w:b/>
                <w:bCs/>
                <w:color w:val="000000"/>
                <w:sz w:val="14"/>
                <w:szCs w:val="14"/>
                <w:lang w:val="es-ES" w:eastAsia="es-ES"/>
              </w:rPr>
              <w:t xml:space="preserve">CENTRO ODONTOLÓGICO </w:t>
            </w:r>
          </w:p>
        </w:tc>
        <w:tc>
          <w:tcPr>
            <w:tcW w:w="1174" w:type="dxa"/>
            <w:tcBorders>
              <w:top w:val="nil"/>
              <w:left w:val="nil"/>
              <w:bottom w:val="single" w:sz="4" w:space="0" w:color="auto"/>
              <w:right w:val="single" w:sz="4" w:space="0" w:color="auto"/>
            </w:tcBorders>
            <w:shd w:val="clear" w:color="000000" w:fill="E6B8B7"/>
            <w:vAlign w:val="center"/>
            <w:hideMark/>
          </w:tcPr>
          <w:p w:rsidR="00252867" w:rsidRPr="001044A5" w:rsidRDefault="00252867" w:rsidP="005B4E5F">
            <w:pPr>
              <w:jc w:val="center"/>
              <w:rPr>
                <w:rFonts w:ascii="Myriad Pro" w:eastAsia="Times New Roman" w:hAnsi="Myriad Pro"/>
                <w:b/>
                <w:bCs/>
                <w:color w:val="000000"/>
                <w:sz w:val="14"/>
                <w:szCs w:val="14"/>
                <w:lang w:val="es-ES" w:eastAsia="es-ES"/>
              </w:rPr>
            </w:pPr>
            <w:r w:rsidRPr="001044A5">
              <w:rPr>
                <w:rFonts w:ascii="Myriad Pro" w:eastAsia="Times New Roman" w:hAnsi="Myriad Pro"/>
                <w:b/>
                <w:bCs/>
                <w:color w:val="000000"/>
                <w:sz w:val="14"/>
                <w:szCs w:val="14"/>
                <w:lang w:val="es-ES" w:eastAsia="es-ES"/>
              </w:rPr>
              <w:t>PROVEEDOR DE SERVICIOS</w:t>
            </w:r>
          </w:p>
        </w:tc>
        <w:tc>
          <w:tcPr>
            <w:tcW w:w="779" w:type="dxa"/>
            <w:tcBorders>
              <w:top w:val="nil"/>
              <w:left w:val="nil"/>
              <w:bottom w:val="single" w:sz="4" w:space="0" w:color="auto"/>
              <w:right w:val="single" w:sz="4" w:space="0" w:color="auto"/>
            </w:tcBorders>
            <w:shd w:val="clear" w:color="000000" w:fill="E6B8B7"/>
            <w:vAlign w:val="center"/>
            <w:hideMark/>
          </w:tcPr>
          <w:p w:rsidR="00252867" w:rsidRPr="001044A5" w:rsidRDefault="00252867" w:rsidP="005B4E5F">
            <w:pPr>
              <w:jc w:val="center"/>
              <w:rPr>
                <w:rFonts w:ascii="Myriad Pro" w:eastAsia="Times New Roman" w:hAnsi="Myriad Pro"/>
                <w:b/>
                <w:bCs/>
                <w:color w:val="000000"/>
                <w:sz w:val="14"/>
                <w:szCs w:val="14"/>
                <w:lang w:val="es-ES" w:eastAsia="es-ES"/>
              </w:rPr>
            </w:pPr>
            <w:r w:rsidRPr="001044A5">
              <w:rPr>
                <w:rFonts w:ascii="Myriad Pro" w:eastAsia="Times New Roman" w:hAnsi="Myriad Pro"/>
                <w:b/>
                <w:bCs/>
                <w:color w:val="000000"/>
                <w:sz w:val="14"/>
                <w:szCs w:val="14"/>
                <w:lang w:val="es-ES" w:eastAsia="es-ES"/>
              </w:rPr>
              <w:t>TOTAL</w:t>
            </w:r>
          </w:p>
        </w:tc>
      </w:tr>
      <w:tr w:rsidR="00252867" w:rsidRPr="00EA616F" w:rsidTr="005B4E5F">
        <w:trPr>
          <w:trHeight w:val="30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2867" w:rsidRPr="001044A5" w:rsidRDefault="00252867" w:rsidP="005B4E5F">
            <w:pP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DIAGNÓSTICOS</w:t>
            </w:r>
          </w:p>
        </w:tc>
        <w:tc>
          <w:tcPr>
            <w:tcW w:w="1307"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5,535</w:t>
            </w:r>
          </w:p>
        </w:tc>
        <w:tc>
          <w:tcPr>
            <w:tcW w:w="1276"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1,776</w:t>
            </w:r>
          </w:p>
        </w:tc>
        <w:tc>
          <w:tcPr>
            <w:tcW w:w="819"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7,311</w:t>
            </w:r>
          </w:p>
        </w:tc>
        <w:tc>
          <w:tcPr>
            <w:tcW w:w="1307"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5,048</w:t>
            </w:r>
          </w:p>
        </w:tc>
        <w:tc>
          <w:tcPr>
            <w:tcW w:w="1174"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6,011</w:t>
            </w:r>
          </w:p>
        </w:tc>
        <w:tc>
          <w:tcPr>
            <w:tcW w:w="779"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11,059</w:t>
            </w:r>
          </w:p>
        </w:tc>
      </w:tr>
      <w:tr w:rsidR="00252867" w:rsidRPr="00EA616F" w:rsidTr="005B4E5F">
        <w:trPr>
          <w:trHeight w:val="450"/>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rsidR="00252867" w:rsidRPr="001044A5" w:rsidRDefault="00252867" w:rsidP="005B4E5F">
            <w:pP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PROFILAXIS, DETARTRAJE (APLICACIÓN DE FLÚOR)</w:t>
            </w:r>
          </w:p>
        </w:tc>
        <w:tc>
          <w:tcPr>
            <w:tcW w:w="1307"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4,996</w:t>
            </w:r>
          </w:p>
        </w:tc>
        <w:tc>
          <w:tcPr>
            <w:tcW w:w="1276"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2,595</w:t>
            </w:r>
          </w:p>
        </w:tc>
        <w:tc>
          <w:tcPr>
            <w:tcW w:w="819"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7,591</w:t>
            </w:r>
          </w:p>
        </w:tc>
        <w:tc>
          <w:tcPr>
            <w:tcW w:w="1307"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3,886</w:t>
            </w:r>
          </w:p>
        </w:tc>
        <w:tc>
          <w:tcPr>
            <w:tcW w:w="1174"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10,240</w:t>
            </w:r>
          </w:p>
        </w:tc>
        <w:tc>
          <w:tcPr>
            <w:tcW w:w="779"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14,125</w:t>
            </w:r>
          </w:p>
        </w:tc>
      </w:tr>
      <w:tr w:rsidR="00252867" w:rsidRPr="00EA616F" w:rsidTr="005B4E5F">
        <w:trPr>
          <w:trHeight w:val="450"/>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rsidR="00252867" w:rsidRPr="001044A5" w:rsidRDefault="00252867" w:rsidP="005B4E5F">
            <w:pP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SELLANTES DE FOSAS Y FISURAS</w:t>
            </w:r>
          </w:p>
        </w:tc>
        <w:tc>
          <w:tcPr>
            <w:tcW w:w="1307"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4,676</w:t>
            </w:r>
          </w:p>
        </w:tc>
        <w:tc>
          <w:tcPr>
            <w:tcW w:w="1276"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632</w:t>
            </w:r>
          </w:p>
        </w:tc>
        <w:tc>
          <w:tcPr>
            <w:tcW w:w="819"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5,308</w:t>
            </w:r>
          </w:p>
        </w:tc>
        <w:tc>
          <w:tcPr>
            <w:tcW w:w="1307"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3,883</w:t>
            </w:r>
          </w:p>
        </w:tc>
        <w:tc>
          <w:tcPr>
            <w:tcW w:w="1174"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1,658</w:t>
            </w:r>
          </w:p>
        </w:tc>
        <w:tc>
          <w:tcPr>
            <w:tcW w:w="779"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5,542</w:t>
            </w:r>
          </w:p>
        </w:tc>
      </w:tr>
      <w:tr w:rsidR="00252867" w:rsidRPr="00EA616F" w:rsidTr="005B4E5F">
        <w:trPr>
          <w:trHeight w:val="300"/>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rsidR="00252867" w:rsidRPr="001044A5" w:rsidRDefault="00252867" w:rsidP="005B4E5F">
            <w:pP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EXTRACCIONES</w:t>
            </w:r>
          </w:p>
        </w:tc>
        <w:tc>
          <w:tcPr>
            <w:tcW w:w="1307"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502</w:t>
            </w:r>
          </w:p>
        </w:tc>
        <w:tc>
          <w:tcPr>
            <w:tcW w:w="1276"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331</w:t>
            </w:r>
          </w:p>
        </w:tc>
        <w:tc>
          <w:tcPr>
            <w:tcW w:w="819"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833</w:t>
            </w:r>
          </w:p>
        </w:tc>
        <w:tc>
          <w:tcPr>
            <w:tcW w:w="1307"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485</w:t>
            </w:r>
          </w:p>
        </w:tc>
        <w:tc>
          <w:tcPr>
            <w:tcW w:w="1174"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1,799</w:t>
            </w:r>
          </w:p>
        </w:tc>
        <w:tc>
          <w:tcPr>
            <w:tcW w:w="779"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2,284</w:t>
            </w:r>
          </w:p>
        </w:tc>
      </w:tr>
      <w:tr w:rsidR="00252867" w:rsidRPr="00EA616F" w:rsidTr="005B4E5F">
        <w:trPr>
          <w:trHeight w:val="300"/>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rsidR="00252867" w:rsidRPr="001044A5" w:rsidRDefault="00252867" w:rsidP="005B4E5F">
            <w:pP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OBTURACIONES DE RESINA</w:t>
            </w:r>
          </w:p>
        </w:tc>
        <w:tc>
          <w:tcPr>
            <w:tcW w:w="1307"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3,593</w:t>
            </w:r>
          </w:p>
        </w:tc>
        <w:tc>
          <w:tcPr>
            <w:tcW w:w="1276"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4,151</w:t>
            </w:r>
          </w:p>
        </w:tc>
        <w:tc>
          <w:tcPr>
            <w:tcW w:w="819"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7,744</w:t>
            </w:r>
          </w:p>
        </w:tc>
        <w:tc>
          <w:tcPr>
            <w:tcW w:w="1307"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5,060</w:t>
            </w:r>
          </w:p>
        </w:tc>
        <w:tc>
          <w:tcPr>
            <w:tcW w:w="1174"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14,344</w:t>
            </w:r>
          </w:p>
        </w:tc>
        <w:tc>
          <w:tcPr>
            <w:tcW w:w="779"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19,404</w:t>
            </w:r>
          </w:p>
        </w:tc>
      </w:tr>
      <w:tr w:rsidR="00252867" w:rsidRPr="00EA616F" w:rsidTr="005B4E5F">
        <w:trPr>
          <w:trHeight w:val="450"/>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rsidR="00252867" w:rsidRPr="001044A5" w:rsidRDefault="00252867" w:rsidP="005B4E5F">
            <w:pP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OBTURACIONES DE AMALGAMA DE PLATA</w:t>
            </w:r>
          </w:p>
        </w:tc>
        <w:tc>
          <w:tcPr>
            <w:tcW w:w="1307"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224</w:t>
            </w:r>
          </w:p>
        </w:tc>
        <w:tc>
          <w:tcPr>
            <w:tcW w:w="1276"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266</w:t>
            </w:r>
          </w:p>
        </w:tc>
        <w:tc>
          <w:tcPr>
            <w:tcW w:w="819"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490</w:t>
            </w:r>
          </w:p>
        </w:tc>
        <w:tc>
          <w:tcPr>
            <w:tcW w:w="1307"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316</w:t>
            </w:r>
          </w:p>
        </w:tc>
        <w:tc>
          <w:tcPr>
            <w:tcW w:w="1174"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768</w:t>
            </w:r>
          </w:p>
        </w:tc>
        <w:tc>
          <w:tcPr>
            <w:tcW w:w="779"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1,084</w:t>
            </w:r>
          </w:p>
        </w:tc>
      </w:tr>
      <w:tr w:rsidR="00252867" w:rsidRPr="00EA616F" w:rsidTr="005B4E5F">
        <w:trPr>
          <w:trHeight w:val="300"/>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rsidR="00252867" w:rsidRPr="001044A5" w:rsidRDefault="00252867" w:rsidP="005B4E5F">
            <w:pP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NO. DE ATENCIONES</w:t>
            </w:r>
          </w:p>
        </w:tc>
        <w:tc>
          <w:tcPr>
            <w:tcW w:w="1307"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17,054</w:t>
            </w:r>
          </w:p>
        </w:tc>
        <w:tc>
          <w:tcPr>
            <w:tcW w:w="1276"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5,178</w:t>
            </w:r>
          </w:p>
        </w:tc>
        <w:tc>
          <w:tcPr>
            <w:tcW w:w="819"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22,232</w:t>
            </w:r>
          </w:p>
        </w:tc>
        <w:tc>
          <w:tcPr>
            <w:tcW w:w="1307"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14,728</w:t>
            </w:r>
          </w:p>
        </w:tc>
        <w:tc>
          <w:tcPr>
            <w:tcW w:w="1174"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21,048</w:t>
            </w:r>
          </w:p>
        </w:tc>
        <w:tc>
          <w:tcPr>
            <w:tcW w:w="779" w:type="dxa"/>
            <w:tcBorders>
              <w:top w:val="nil"/>
              <w:left w:val="nil"/>
              <w:bottom w:val="single" w:sz="4" w:space="0" w:color="auto"/>
              <w:right w:val="single" w:sz="4" w:space="0" w:color="auto"/>
            </w:tcBorders>
            <w:shd w:val="clear" w:color="auto" w:fill="auto"/>
            <w:noWrap/>
            <w:vAlign w:val="center"/>
            <w:hideMark/>
          </w:tcPr>
          <w:p w:rsidR="00252867" w:rsidRPr="001044A5" w:rsidRDefault="00252867" w:rsidP="005B4E5F">
            <w:pPr>
              <w:jc w:val="center"/>
              <w:rPr>
                <w:rFonts w:ascii="Myriad Pro" w:eastAsia="Times New Roman" w:hAnsi="Myriad Pro"/>
                <w:color w:val="000000"/>
                <w:sz w:val="14"/>
                <w:szCs w:val="14"/>
                <w:lang w:val="es-ES" w:eastAsia="es-ES"/>
              </w:rPr>
            </w:pPr>
            <w:r w:rsidRPr="001044A5">
              <w:rPr>
                <w:rFonts w:ascii="Myriad Pro" w:eastAsia="Times New Roman" w:hAnsi="Myriad Pro"/>
                <w:color w:val="000000"/>
                <w:sz w:val="14"/>
                <w:szCs w:val="14"/>
                <w:lang w:val="es-ES" w:eastAsia="es-ES"/>
              </w:rPr>
              <w:t>35,776</w:t>
            </w:r>
          </w:p>
        </w:tc>
      </w:tr>
      <w:tr w:rsidR="00252867" w:rsidRPr="00EA616F" w:rsidTr="005B4E5F">
        <w:trPr>
          <w:trHeight w:val="300"/>
        </w:trPr>
        <w:tc>
          <w:tcPr>
            <w:tcW w:w="2127" w:type="dxa"/>
            <w:tcBorders>
              <w:top w:val="single" w:sz="4" w:space="0" w:color="auto"/>
              <w:left w:val="nil"/>
              <w:bottom w:val="single" w:sz="4" w:space="0" w:color="auto"/>
              <w:right w:val="single" w:sz="4" w:space="0" w:color="auto"/>
            </w:tcBorders>
            <w:shd w:val="clear" w:color="000000" w:fill="E6B8B7"/>
            <w:vAlign w:val="center"/>
            <w:hideMark/>
          </w:tcPr>
          <w:p w:rsidR="00252867" w:rsidRPr="001044A5" w:rsidRDefault="00252867" w:rsidP="005B4E5F">
            <w:pPr>
              <w:jc w:val="center"/>
              <w:rPr>
                <w:rFonts w:ascii="Myriad Pro" w:eastAsia="Times New Roman" w:hAnsi="Myriad Pro"/>
                <w:b/>
                <w:bCs/>
                <w:color w:val="000000"/>
                <w:sz w:val="14"/>
                <w:szCs w:val="14"/>
                <w:lang w:val="es-ES" w:eastAsia="es-ES"/>
              </w:rPr>
            </w:pPr>
            <w:r w:rsidRPr="001044A5">
              <w:rPr>
                <w:rFonts w:ascii="Myriad Pro" w:eastAsia="Times New Roman" w:hAnsi="Myriad Pro"/>
                <w:b/>
                <w:bCs/>
                <w:color w:val="000000"/>
                <w:sz w:val="14"/>
                <w:szCs w:val="14"/>
                <w:lang w:val="es-ES" w:eastAsia="es-ES"/>
              </w:rPr>
              <w:t>TOTAL</w:t>
            </w:r>
          </w:p>
        </w:tc>
        <w:tc>
          <w:tcPr>
            <w:tcW w:w="1307" w:type="dxa"/>
            <w:tcBorders>
              <w:top w:val="nil"/>
              <w:left w:val="nil"/>
              <w:bottom w:val="single" w:sz="4" w:space="0" w:color="auto"/>
              <w:right w:val="single" w:sz="4" w:space="0" w:color="auto"/>
            </w:tcBorders>
            <w:shd w:val="clear" w:color="000000" w:fill="E6B8B7"/>
            <w:vAlign w:val="center"/>
            <w:hideMark/>
          </w:tcPr>
          <w:p w:rsidR="00252867" w:rsidRPr="001044A5" w:rsidRDefault="00252867" w:rsidP="005B4E5F">
            <w:pPr>
              <w:jc w:val="center"/>
              <w:rPr>
                <w:rFonts w:ascii="Myriad Pro" w:eastAsia="Times New Roman" w:hAnsi="Myriad Pro"/>
                <w:b/>
                <w:bCs/>
                <w:color w:val="000000"/>
                <w:sz w:val="14"/>
                <w:szCs w:val="14"/>
                <w:lang w:val="es-ES" w:eastAsia="es-ES"/>
              </w:rPr>
            </w:pPr>
            <w:r w:rsidRPr="001044A5">
              <w:rPr>
                <w:rFonts w:ascii="Myriad Pro" w:eastAsia="Times New Roman" w:hAnsi="Myriad Pro"/>
                <w:b/>
                <w:bCs/>
                <w:color w:val="000000"/>
                <w:sz w:val="14"/>
                <w:szCs w:val="14"/>
                <w:lang w:val="es-ES" w:eastAsia="es-ES"/>
              </w:rPr>
              <w:t>36,580</w:t>
            </w:r>
          </w:p>
        </w:tc>
        <w:tc>
          <w:tcPr>
            <w:tcW w:w="1276" w:type="dxa"/>
            <w:tcBorders>
              <w:top w:val="nil"/>
              <w:left w:val="nil"/>
              <w:bottom w:val="single" w:sz="4" w:space="0" w:color="auto"/>
              <w:right w:val="single" w:sz="4" w:space="0" w:color="auto"/>
            </w:tcBorders>
            <w:shd w:val="clear" w:color="000000" w:fill="E6B8B7"/>
            <w:vAlign w:val="center"/>
            <w:hideMark/>
          </w:tcPr>
          <w:p w:rsidR="00252867" w:rsidRPr="001044A5" w:rsidRDefault="00252867" w:rsidP="005B4E5F">
            <w:pPr>
              <w:jc w:val="center"/>
              <w:rPr>
                <w:rFonts w:ascii="Myriad Pro" w:eastAsia="Times New Roman" w:hAnsi="Myriad Pro"/>
                <w:b/>
                <w:bCs/>
                <w:color w:val="000000"/>
                <w:sz w:val="14"/>
                <w:szCs w:val="14"/>
                <w:lang w:val="es-ES" w:eastAsia="es-ES"/>
              </w:rPr>
            </w:pPr>
            <w:r w:rsidRPr="001044A5">
              <w:rPr>
                <w:rFonts w:ascii="Myriad Pro" w:eastAsia="Times New Roman" w:hAnsi="Myriad Pro"/>
                <w:b/>
                <w:bCs/>
                <w:color w:val="000000"/>
                <w:sz w:val="14"/>
                <w:szCs w:val="14"/>
                <w:lang w:val="es-ES" w:eastAsia="es-ES"/>
              </w:rPr>
              <w:t>14,929</w:t>
            </w:r>
          </w:p>
        </w:tc>
        <w:tc>
          <w:tcPr>
            <w:tcW w:w="819" w:type="dxa"/>
            <w:tcBorders>
              <w:top w:val="nil"/>
              <w:left w:val="nil"/>
              <w:bottom w:val="single" w:sz="4" w:space="0" w:color="auto"/>
              <w:right w:val="single" w:sz="4" w:space="0" w:color="auto"/>
            </w:tcBorders>
            <w:shd w:val="clear" w:color="000000" w:fill="E6B8B7"/>
            <w:vAlign w:val="center"/>
            <w:hideMark/>
          </w:tcPr>
          <w:p w:rsidR="00252867" w:rsidRPr="001044A5" w:rsidRDefault="00252867" w:rsidP="005B4E5F">
            <w:pPr>
              <w:jc w:val="center"/>
              <w:rPr>
                <w:rFonts w:ascii="Myriad Pro" w:eastAsia="Times New Roman" w:hAnsi="Myriad Pro"/>
                <w:b/>
                <w:bCs/>
                <w:color w:val="000000"/>
                <w:sz w:val="14"/>
                <w:szCs w:val="14"/>
                <w:lang w:val="es-ES" w:eastAsia="es-ES"/>
              </w:rPr>
            </w:pPr>
            <w:r w:rsidRPr="001044A5">
              <w:rPr>
                <w:rFonts w:ascii="Myriad Pro" w:eastAsia="Times New Roman" w:hAnsi="Myriad Pro"/>
                <w:b/>
                <w:bCs/>
                <w:color w:val="000000"/>
                <w:sz w:val="14"/>
                <w:szCs w:val="14"/>
                <w:lang w:val="es-ES" w:eastAsia="es-ES"/>
              </w:rPr>
              <w:t>51,509</w:t>
            </w:r>
          </w:p>
        </w:tc>
        <w:tc>
          <w:tcPr>
            <w:tcW w:w="1307" w:type="dxa"/>
            <w:tcBorders>
              <w:top w:val="nil"/>
              <w:left w:val="nil"/>
              <w:bottom w:val="single" w:sz="4" w:space="0" w:color="auto"/>
              <w:right w:val="single" w:sz="4" w:space="0" w:color="auto"/>
            </w:tcBorders>
            <w:shd w:val="clear" w:color="000000" w:fill="E6B8B7"/>
            <w:vAlign w:val="center"/>
            <w:hideMark/>
          </w:tcPr>
          <w:p w:rsidR="00252867" w:rsidRPr="001044A5" w:rsidRDefault="00252867" w:rsidP="005B4E5F">
            <w:pPr>
              <w:jc w:val="center"/>
              <w:rPr>
                <w:rFonts w:ascii="Myriad Pro" w:eastAsia="Times New Roman" w:hAnsi="Myriad Pro"/>
                <w:b/>
                <w:bCs/>
                <w:color w:val="000000"/>
                <w:sz w:val="14"/>
                <w:szCs w:val="14"/>
                <w:lang w:val="es-ES" w:eastAsia="es-ES"/>
              </w:rPr>
            </w:pPr>
            <w:r w:rsidRPr="001044A5">
              <w:rPr>
                <w:rFonts w:ascii="Myriad Pro" w:eastAsia="Times New Roman" w:hAnsi="Myriad Pro"/>
                <w:b/>
                <w:bCs/>
                <w:color w:val="000000"/>
                <w:sz w:val="14"/>
                <w:szCs w:val="14"/>
                <w:lang w:val="es-ES" w:eastAsia="es-ES"/>
              </w:rPr>
              <w:t>33,406</w:t>
            </w:r>
          </w:p>
        </w:tc>
        <w:tc>
          <w:tcPr>
            <w:tcW w:w="1174" w:type="dxa"/>
            <w:tcBorders>
              <w:top w:val="nil"/>
              <w:left w:val="nil"/>
              <w:bottom w:val="single" w:sz="4" w:space="0" w:color="auto"/>
              <w:right w:val="single" w:sz="4" w:space="0" w:color="auto"/>
            </w:tcBorders>
            <w:shd w:val="clear" w:color="000000" w:fill="E6B8B7"/>
            <w:vAlign w:val="center"/>
            <w:hideMark/>
          </w:tcPr>
          <w:p w:rsidR="00252867" w:rsidRPr="001044A5" w:rsidRDefault="00252867" w:rsidP="005B4E5F">
            <w:pPr>
              <w:jc w:val="center"/>
              <w:rPr>
                <w:rFonts w:ascii="Myriad Pro" w:eastAsia="Times New Roman" w:hAnsi="Myriad Pro"/>
                <w:b/>
                <w:bCs/>
                <w:color w:val="000000"/>
                <w:sz w:val="14"/>
                <w:szCs w:val="14"/>
                <w:lang w:val="es-ES" w:eastAsia="es-ES"/>
              </w:rPr>
            </w:pPr>
            <w:r w:rsidRPr="001044A5">
              <w:rPr>
                <w:rFonts w:ascii="Myriad Pro" w:eastAsia="Times New Roman" w:hAnsi="Myriad Pro"/>
                <w:b/>
                <w:bCs/>
                <w:color w:val="000000"/>
                <w:sz w:val="14"/>
                <w:szCs w:val="14"/>
                <w:lang w:val="es-ES" w:eastAsia="es-ES"/>
              </w:rPr>
              <w:t>55,867</w:t>
            </w:r>
          </w:p>
        </w:tc>
        <w:tc>
          <w:tcPr>
            <w:tcW w:w="779" w:type="dxa"/>
            <w:tcBorders>
              <w:top w:val="nil"/>
              <w:left w:val="nil"/>
              <w:bottom w:val="single" w:sz="4" w:space="0" w:color="auto"/>
              <w:right w:val="single" w:sz="4" w:space="0" w:color="auto"/>
            </w:tcBorders>
            <w:shd w:val="clear" w:color="000000" w:fill="E6B8B7"/>
            <w:vAlign w:val="center"/>
            <w:hideMark/>
          </w:tcPr>
          <w:p w:rsidR="00252867" w:rsidRPr="001044A5" w:rsidRDefault="00252867" w:rsidP="005B4E5F">
            <w:pPr>
              <w:jc w:val="center"/>
              <w:rPr>
                <w:rFonts w:ascii="Myriad Pro" w:eastAsia="Times New Roman" w:hAnsi="Myriad Pro"/>
                <w:b/>
                <w:bCs/>
                <w:color w:val="000000"/>
                <w:sz w:val="14"/>
                <w:szCs w:val="14"/>
                <w:lang w:val="es-ES" w:eastAsia="es-ES"/>
              </w:rPr>
            </w:pPr>
            <w:r w:rsidRPr="001044A5">
              <w:rPr>
                <w:rFonts w:ascii="Myriad Pro" w:eastAsia="Times New Roman" w:hAnsi="Myriad Pro"/>
                <w:b/>
                <w:bCs/>
                <w:color w:val="000000"/>
                <w:sz w:val="14"/>
                <w:szCs w:val="14"/>
                <w:lang w:val="es-ES" w:eastAsia="es-ES"/>
              </w:rPr>
              <w:t>89,273</w:t>
            </w:r>
          </w:p>
        </w:tc>
      </w:tr>
    </w:tbl>
    <w:p w:rsidR="00252867" w:rsidRDefault="00252867" w:rsidP="00252867">
      <w:pPr>
        <w:jc w:val="both"/>
        <w:rPr>
          <w:rFonts w:ascii="Century Gothic" w:hAnsi="Century Gothic"/>
        </w:rPr>
      </w:pPr>
      <w:r w:rsidRPr="00740CEA">
        <w:rPr>
          <w:rFonts w:ascii="Century Gothic" w:hAnsi="Century Gothic"/>
          <w:sz w:val="18"/>
          <w:szCs w:val="18"/>
        </w:rPr>
        <w:t xml:space="preserve">Fuente: </w:t>
      </w:r>
      <w:r>
        <w:rPr>
          <w:rFonts w:ascii="Century Gothic" w:hAnsi="Century Gothic"/>
          <w:sz w:val="18"/>
          <w:szCs w:val="18"/>
        </w:rPr>
        <w:t>Informes mensuales de atenciones odontológicas</w:t>
      </w:r>
    </w:p>
    <w:p w:rsidR="00252867" w:rsidRDefault="00252867" w:rsidP="00252867">
      <w:pPr>
        <w:jc w:val="both"/>
        <w:rPr>
          <w:rFonts w:ascii="Century Gothic" w:hAnsi="Century Gothic"/>
        </w:rPr>
      </w:pPr>
    </w:p>
    <w:p w:rsidR="00EC3C1E" w:rsidRDefault="00EC3C1E" w:rsidP="00252867">
      <w:pPr>
        <w:jc w:val="both"/>
        <w:rPr>
          <w:rFonts w:ascii="Century Gothic" w:hAnsi="Century Gothic"/>
        </w:rPr>
      </w:pPr>
    </w:p>
    <w:p w:rsidR="00252867" w:rsidRPr="000F5D60" w:rsidRDefault="00252867" w:rsidP="00252867">
      <w:pPr>
        <w:pStyle w:val="Ttulo5"/>
        <w:numPr>
          <w:ilvl w:val="4"/>
          <w:numId w:val="14"/>
        </w:numPr>
        <w:spacing w:after="120"/>
        <w:ind w:left="851"/>
        <w:rPr>
          <w:b/>
        </w:rPr>
      </w:pPr>
      <w:bookmarkStart w:id="32" w:name="_Toc467228654"/>
      <w:bookmarkStart w:id="33" w:name="_Toc491684903"/>
      <w:r w:rsidRPr="000F5D60">
        <w:rPr>
          <w:b/>
        </w:rPr>
        <w:t>Atención de medicina especializada y sub-especializada.</w:t>
      </w:r>
      <w:bookmarkEnd w:id="32"/>
      <w:bookmarkEnd w:id="33"/>
    </w:p>
    <w:p w:rsidR="00252867" w:rsidRPr="00CB29EF" w:rsidRDefault="00252867" w:rsidP="00EC3C1E">
      <w:pPr>
        <w:spacing w:before="200" w:line="276" w:lineRule="auto"/>
        <w:jc w:val="both"/>
        <w:rPr>
          <w:rFonts w:ascii="Century Gothic" w:hAnsi="Century Gothic"/>
        </w:rPr>
      </w:pPr>
      <w:r w:rsidRPr="00CB29EF">
        <w:rPr>
          <w:rFonts w:ascii="Century Gothic" w:hAnsi="Century Gothic"/>
        </w:rPr>
        <w:t>El Programa Especial de Salud del Instituto, además de los servicios en atención primaria que se prestan directamente en Policlínicos y Consultorios Magisteriales, cuenta con Servicios Médicos de Especialidad y Subespecialidad, contratados a través de procesos establecidos mediante la L</w:t>
      </w:r>
      <w:r w:rsidR="00F95DB8" w:rsidRPr="00CB29EF">
        <w:rPr>
          <w:rFonts w:ascii="Century Gothic" w:hAnsi="Century Gothic"/>
        </w:rPr>
        <w:t>ey de Adquisiciones y Contrataciones de la Administración Pública, L</w:t>
      </w:r>
      <w:r w:rsidRPr="00CB29EF">
        <w:rPr>
          <w:rFonts w:ascii="Century Gothic" w:hAnsi="Century Gothic"/>
        </w:rPr>
        <w:t xml:space="preserve">ACAP, para brindar servicios de salud oportunos a la población usuaria, con lo que estos profesionales se convierten en apoyo resolutivo a los médicos magisteriales y contribuyen con la atención integral en salud a nivel nacional. </w:t>
      </w:r>
    </w:p>
    <w:p w:rsidR="00252867" w:rsidRDefault="00252867" w:rsidP="00252867">
      <w:pPr>
        <w:jc w:val="both"/>
        <w:rPr>
          <w:rFonts w:ascii="Century Gothic" w:hAnsi="Century Gothic"/>
        </w:rPr>
      </w:pPr>
    </w:p>
    <w:p w:rsidR="00EC3C1E" w:rsidRDefault="00EC3C1E" w:rsidP="00252867">
      <w:pPr>
        <w:jc w:val="both"/>
        <w:rPr>
          <w:rFonts w:ascii="Century Gothic" w:hAnsi="Century Gothic"/>
        </w:rPr>
      </w:pPr>
    </w:p>
    <w:p w:rsidR="004628AA" w:rsidRDefault="004628AA" w:rsidP="00252867">
      <w:pPr>
        <w:jc w:val="both"/>
        <w:rPr>
          <w:rFonts w:ascii="Century Gothic" w:hAnsi="Century Gothic"/>
        </w:rPr>
      </w:pPr>
      <w:r>
        <w:rPr>
          <w:noProof/>
          <w:lang w:eastAsia="es-SV"/>
        </w:rPr>
        <w:drawing>
          <wp:inline distT="0" distB="0" distL="0" distR="0" wp14:anchorId="4036A9BF" wp14:editId="0C1AE0C7">
            <wp:extent cx="5305425" cy="2676525"/>
            <wp:effectExtent l="0" t="0" r="9525" b="9525"/>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52867" w:rsidRPr="00740CEA" w:rsidRDefault="00252867" w:rsidP="00252867">
      <w:pPr>
        <w:pStyle w:val="Default"/>
        <w:rPr>
          <w:rFonts w:ascii="Century Gothic" w:hAnsi="Century Gothic"/>
          <w:sz w:val="16"/>
          <w:szCs w:val="16"/>
        </w:rPr>
      </w:pPr>
      <w:r w:rsidRPr="00740CEA">
        <w:rPr>
          <w:rFonts w:ascii="Century Gothic" w:hAnsi="Century Gothic"/>
          <w:sz w:val="18"/>
          <w:szCs w:val="18"/>
        </w:rPr>
        <w:t xml:space="preserve">   </w:t>
      </w:r>
      <w:r>
        <w:rPr>
          <w:rFonts w:ascii="Century Gothic" w:hAnsi="Century Gothic"/>
          <w:sz w:val="16"/>
          <w:szCs w:val="16"/>
        </w:rPr>
        <w:t>Fuente: I</w:t>
      </w:r>
      <w:r w:rsidRPr="00740CEA">
        <w:rPr>
          <w:rFonts w:ascii="Century Gothic" w:hAnsi="Century Gothic"/>
          <w:sz w:val="16"/>
          <w:szCs w:val="16"/>
        </w:rPr>
        <w:t xml:space="preserve">nformes mensuales de proveedores de </w:t>
      </w:r>
      <w:r>
        <w:rPr>
          <w:rFonts w:ascii="Century Gothic" w:hAnsi="Century Gothic"/>
          <w:sz w:val="16"/>
          <w:szCs w:val="16"/>
        </w:rPr>
        <w:t xml:space="preserve">Médicos Especialistas y </w:t>
      </w:r>
      <w:r w:rsidRPr="00740CEA">
        <w:rPr>
          <w:rFonts w:ascii="Century Gothic" w:hAnsi="Century Gothic"/>
          <w:sz w:val="16"/>
          <w:szCs w:val="16"/>
        </w:rPr>
        <w:t>Hospitales.</w:t>
      </w:r>
    </w:p>
    <w:p w:rsidR="00252867" w:rsidRDefault="00252867" w:rsidP="00252867">
      <w:pPr>
        <w:jc w:val="both"/>
        <w:rPr>
          <w:rFonts w:ascii="Century Gothic" w:hAnsi="Century Gothic"/>
          <w:sz w:val="18"/>
          <w:szCs w:val="18"/>
        </w:rPr>
      </w:pPr>
    </w:p>
    <w:p w:rsidR="00252867" w:rsidRDefault="00252867" w:rsidP="00252867">
      <w:pPr>
        <w:jc w:val="both"/>
        <w:rPr>
          <w:rFonts w:ascii="Century Gothic" w:hAnsi="Century Gothic"/>
        </w:rPr>
      </w:pPr>
    </w:p>
    <w:p w:rsidR="00EC3C1E" w:rsidRDefault="00EC3C1E" w:rsidP="00252867">
      <w:pPr>
        <w:jc w:val="both"/>
        <w:rPr>
          <w:rFonts w:ascii="Century Gothic" w:hAnsi="Century Gothic"/>
        </w:rPr>
      </w:pPr>
    </w:p>
    <w:tbl>
      <w:tblPr>
        <w:tblW w:w="8820" w:type="dxa"/>
        <w:tblInd w:w="70" w:type="dxa"/>
        <w:tblCellMar>
          <w:left w:w="70" w:type="dxa"/>
          <w:right w:w="70" w:type="dxa"/>
        </w:tblCellMar>
        <w:tblLook w:val="04A0" w:firstRow="1" w:lastRow="0" w:firstColumn="1" w:lastColumn="0" w:noHBand="0" w:noVBand="1"/>
      </w:tblPr>
      <w:tblGrid>
        <w:gridCol w:w="2920"/>
        <w:gridCol w:w="2400"/>
        <w:gridCol w:w="2080"/>
        <w:gridCol w:w="1420"/>
      </w:tblGrid>
      <w:tr w:rsidR="00252867" w:rsidRPr="00EC53C3" w:rsidTr="005B4E5F">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ESPECIALIDAD</w:t>
            </w:r>
          </w:p>
        </w:tc>
        <w:tc>
          <w:tcPr>
            <w:tcW w:w="240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JUNIO A DICIEMBRE 2016</w:t>
            </w:r>
          </w:p>
        </w:tc>
        <w:tc>
          <w:tcPr>
            <w:tcW w:w="208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ENERO A JUNIO 2017</w:t>
            </w:r>
          </w:p>
        </w:tc>
        <w:tc>
          <w:tcPr>
            <w:tcW w:w="142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TOTAL</w:t>
            </w:r>
          </w:p>
        </w:tc>
      </w:tr>
      <w:tr w:rsidR="00252867" w:rsidRPr="00EC53C3" w:rsidTr="005B4E5F">
        <w:trPr>
          <w:trHeight w:val="300"/>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252867" w:rsidRPr="00EC53C3" w:rsidRDefault="00252867" w:rsidP="005B4E5F">
            <w:pPr>
              <w:rPr>
                <w:rFonts w:eastAsia="Times New Roman"/>
                <w:color w:val="000000"/>
                <w:sz w:val="20"/>
                <w:szCs w:val="20"/>
                <w:lang w:val="es-ES" w:eastAsia="es-ES"/>
              </w:rPr>
            </w:pPr>
            <w:r w:rsidRPr="00EC53C3">
              <w:rPr>
                <w:rFonts w:eastAsia="Times New Roman"/>
                <w:color w:val="000000"/>
                <w:sz w:val="20"/>
                <w:szCs w:val="20"/>
                <w:lang w:val="es-ES" w:eastAsia="es-ES"/>
              </w:rPr>
              <w:t>MEDICINA INTERNA</w:t>
            </w:r>
          </w:p>
        </w:tc>
        <w:tc>
          <w:tcPr>
            <w:tcW w:w="2400" w:type="dxa"/>
            <w:tcBorders>
              <w:top w:val="nil"/>
              <w:left w:val="nil"/>
              <w:bottom w:val="single" w:sz="4" w:space="0" w:color="auto"/>
              <w:right w:val="single" w:sz="4" w:space="0" w:color="auto"/>
            </w:tcBorders>
            <w:shd w:val="clear" w:color="auto" w:fill="auto"/>
            <w:noWrap/>
            <w:vAlign w:val="center"/>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17,754</w:t>
            </w:r>
          </w:p>
        </w:tc>
        <w:tc>
          <w:tcPr>
            <w:tcW w:w="2080" w:type="dxa"/>
            <w:tcBorders>
              <w:top w:val="nil"/>
              <w:left w:val="nil"/>
              <w:bottom w:val="single" w:sz="4" w:space="0" w:color="auto"/>
              <w:right w:val="single" w:sz="4" w:space="0" w:color="auto"/>
            </w:tcBorders>
            <w:shd w:val="clear" w:color="auto" w:fill="auto"/>
            <w:noWrap/>
            <w:vAlign w:val="center"/>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13,247</w:t>
            </w:r>
          </w:p>
        </w:tc>
        <w:tc>
          <w:tcPr>
            <w:tcW w:w="1420" w:type="dxa"/>
            <w:tcBorders>
              <w:top w:val="nil"/>
              <w:left w:val="nil"/>
              <w:bottom w:val="single" w:sz="4" w:space="0" w:color="auto"/>
              <w:right w:val="single" w:sz="4" w:space="0" w:color="auto"/>
            </w:tcBorders>
            <w:shd w:val="clear" w:color="auto" w:fill="auto"/>
            <w:noWrap/>
            <w:vAlign w:val="center"/>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31,001</w:t>
            </w:r>
          </w:p>
        </w:tc>
      </w:tr>
      <w:tr w:rsidR="00252867" w:rsidRPr="00EC53C3" w:rsidTr="005B4E5F">
        <w:trPr>
          <w:trHeight w:val="300"/>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252867" w:rsidRPr="00EC53C3" w:rsidRDefault="00252867" w:rsidP="005B4E5F">
            <w:pPr>
              <w:rPr>
                <w:rFonts w:eastAsia="Times New Roman"/>
                <w:color w:val="000000"/>
                <w:sz w:val="20"/>
                <w:szCs w:val="20"/>
                <w:lang w:val="es-ES" w:eastAsia="es-ES"/>
              </w:rPr>
            </w:pPr>
            <w:r w:rsidRPr="00EC53C3">
              <w:rPr>
                <w:rFonts w:eastAsia="Times New Roman"/>
                <w:color w:val="000000"/>
                <w:sz w:val="20"/>
                <w:szCs w:val="20"/>
                <w:lang w:val="es-ES" w:eastAsia="es-ES"/>
              </w:rPr>
              <w:t>PEDIATRÍA</w:t>
            </w:r>
          </w:p>
        </w:tc>
        <w:tc>
          <w:tcPr>
            <w:tcW w:w="2400" w:type="dxa"/>
            <w:tcBorders>
              <w:top w:val="nil"/>
              <w:left w:val="nil"/>
              <w:bottom w:val="single" w:sz="4" w:space="0" w:color="auto"/>
              <w:right w:val="single" w:sz="4" w:space="0" w:color="auto"/>
            </w:tcBorders>
            <w:shd w:val="clear" w:color="auto" w:fill="auto"/>
            <w:noWrap/>
            <w:vAlign w:val="center"/>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3,339</w:t>
            </w:r>
          </w:p>
        </w:tc>
        <w:tc>
          <w:tcPr>
            <w:tcW w:w="2080" w:type="dxa"/>
            <w:tcBorders>
              <w:top w:val="nil"/>
              <w:left w:val="nil"/>
              <w:bottom w:val="single" w:sz="4" w:space="0" w:color="auto"/>
              <w:right w:val="single" w:sz="4" w:space="0" w:color="auto"/>
            </w:tcBorders>
            <w:shd w:val="clear" w:color="auto" w:fill="auto"/>
            <w:noWrap/>
            <w:vAlign w:val="center"/>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2,459</w:t>
            </w:r>
          </w:p>
        </w:tc>
        <w:tc>
          <w:tcPr>
            <w:tcW w:w="1420" w:type="dxa"/>
            <w:tcBorders>
              <w:top w:val="nil"/>
              <w:left w:val="nil"/>
              <w:bottom w:val="single" w:sz="4" w:space="0" w:color="auto"/>
              <w:right w:val="single" w:sz="4" w:space="0" w:color="auto"/>
            </w:tcBorders>
            <w:shd w:val="clear" w:color="auto" w:fill="auto"/>
            <w:noWrap/>
            <w:vAlign w:val="center"/>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5,798</w:t>
            </w:r>
          </w:p>
        </w:tc>
      </w:tr>
      <w:tr w:rsidR="00252867" w:rsidRPr="00EC53C3" w:rsidTr="005B4E5F">
        <w:trPr>
          <w:trHeight w:val="300"/>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252867" w:rsidRPr="00EC53C3" w:rsidRDefault="00252867" w:rsidP="005B4E5F">
            <w:pPr>
              <w:rPr>
                <w:rFonts w:eastAsia="Times New Roman"/>
                <w:color w:val="000000"/>
                <w:sz w:val="20"/>
                <w:szCs w:val="20"/>
                <w:lang w:val="es-ES" w:eastAsia="es-ES"/>
              </w:rPr>
            </w:pPr>
            <w:r w:rsidRPr="00EC53C3">
              <w:rPr>
                <w:rFonts w:eastAsia="Times New Roman"/>
                <w:color w:val="000000"/>
                <w:sz w:val="20"/>
                <w:szCs w:val="20"/>
                <w:lang w:val="es-ES" w:eastAsia="es-ES"/>
              </w:rPr>
              <w:t>GINECOLOGÍA Y OBSTETRICIA</w:t>
            </w:r>
          </w:p>
        </w:tc>
        <w:tc>
          <w:tcPr>
            <w:tcW w:w="2400" w:type="dxa"/>
            <w:tcBorders>
              <w:top w:val="nil"/>
              <w:left w:val="nil"/>
              <w:bottom w:val="single" w:sz="4" w:space="0" w:color="auto"/>
              <w:right w:val="single" w:sz="4" w:space="0" w:color="auto"/>
            </w:tcBorders>
            <w:shd w:val="clear" w:color="auto" w:fill="auto"/>
            <w:noWrap/>
            <w:vAlign w:val="center"/>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10,715</w:t>
            </w:r>
          </w:p>
        </w:tc>
        <w:tc>
          <w:tcPr>
            <w:tcW w:w="2080" w:type="dxa"/>
            <w:tcBorders>
              <w:top w:val="nil"/>
              <w:left w:val="nil"/>
              <w:bottom w:val="single" w:sz="4" w:space="0" w:color="auto"/>
              <w:right w:val="single" w:sz="4" w:space="0" w:color="auto"/>
            </w:tcBorders>
            <w:shd w:val="clear" w:color="auto" w:fill="auto"/>
            <w:noWrap/>
            <w:vAlign w:val="center"/>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9,794</w:t>
            </w:r>
          </w:p>
        </w:tc>
        <w:tc>
          <w:tcPr>
            <w:tcW w:w="1420" w:type="dxa"/>
            <w:tcBorders>
              <w:top w:val="nil"/>
              <w:left w:val="nil"/>
              <w:bottom w:val="single" w:sz="4" w:space="0" w:color="auto"/>
              <w:right w:val="single" w:sz="4" w:space="0" w:color="auto"/>
            </w:tcBorders>
            <w:shd w:val="clear" w:color="auto" w:fill="auto"/>
            <w:noWrap/>
            <w:vAlign w:val="center"/>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20,509</w:t>
            </w:r>
          </w:p>
        </w:tc>
      </w:tr>
      <w:tr w:rsidR="00252867" w:rsidRPr="00EC53C3" w:rsidTr="005B4E5F">
        <w:trPr>
          <w:trHeight w:val="300"/>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252867" w:rsidRPr="00EC53C3" w:rsidRDefault="00252867" w:rsidP="005B4E5F">
            <w:pPr>
              <w:rPr>
                <w:rFonts w:eastAsia="Times New Roman"/>
                <w:color w:val="000000"/>
                <w:sz w:val="20"/>
                <w:szCs w:val="20"/>
                <w:lang w:val="es-ES" w:eastAsia="es-ES"/>
              </w:rPr>
            </w:pPr>
            <w:r w:rsidRPr="00EC53C3">
              <w:rPr>
                <w:rFonts w:eastAsia="Times New Roman"/>
                <w:color w:val="000000"/>
                <w:sz w:val="20"/>
                <w:szCs w:val="20"/>
                <w:lang w:val="es-ES" w:eastAsia="es-ES"/>
              </w:rPr>
              <w:t>CIRUGÍA</w:t>
            </w:r>
          </w:p>
        </w:tc>
        <w:tc>
          <w:tcPr>
            <w:tcW w:w="2400" w:type="dxa"/>
            <w:tcBorders>
              <w:top w:val="nil"/>
              <w:left w:val="nil"/>
              <w:bottom w:val="single" w:sz="4" w:space="0" w:color="auto"/>
              <w:right w:val="single" w:sz="4" w:space="0" w:color="auto"/>
            </w:tcBorders>
            <w:shd w:val="clear" w:color="auto" w:fill="auto"/>
            <w:noWrap/>
            <w:vAlign w:val="center"/>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20,167</w:t>
            </w:r>
          </w:p>
        </w:tc>
        <w:tc>
          <w:tcPr>
            <w:tcW w:w="2080" w:type="dxa"/>
            <w:tcBorders>
              <w:top w:val="nil"/>
              <w:left w:val="nil"/>
              <w:bottom w:val="single" w:sz="4" w:space="0" w:color="auto"/>
              <w:right w:val="single" w:sz="4" w:space="0" w:color="auto"/>
            </w:tcBorders>
            <w:shd w:val="clear" w:color="auto" w:fill="auto"/>
            <w:noWrap/>
            <w:vAlign w:val="center"/>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16,774</w:t>
            </w:r>
          </w:p>
        </w:tc>
        <w:tc>
          <w:tcPr>
            <w:tcW w:w="1420" w:type="dxa"/>
            <w:tcBorders>
              <w:top w:val="nil"/>
              <w:left w:val="nil"/>
              <w:bottom w:val="single" w:sz="4" w:space="0" w:color="auto"/>
              <w:right w:val="single" w:sz="4" w:space="0" w:color="auto"/>
            </w:tcBorders>
            <w:shd w:val="clear" w:color="auto" w:fill="auto"/>
            <w:noWrap/>
            <w:vAlign w:val="center"/>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36,941</w:t>
            </w:r>
          </w:p>
        </w:tc>
      </w:tr>
      <w:tr w:rsidR="00252867" w:rsidRPr="00EC53C3" w:rsidTr="005B4E5F">
        <w:trPr>
          <w:trHeight w:val="300"/>
        </w:trPr>
        <w:tc>
          <w:tcPr>
            <w:tcW w:w="2920"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rsidR="00252867" w:rsidRPr="00EC53C3" w:rsidRDefault="00252867" w:rsidP="005B4E5F">
            <w:pPr>
              <w:rPr>
                <w:rFonts w:eastAsia="Times New Roman"/>
                <w:color w:val="000000"/>
                <w:sz w:val="20"/>
                <w:szCs w:val="20"/>
                <w:lang w:val="es-ES" w:eastAsia="es-ES"/>
              </w:rPr>
            </w:pPr>
            <w:r w:rsidRPr="00EC53C3">
              <w:rPr>
                <w:rFonts w:eastAsia="Times New Roman"/>
                <w:color w:val="000000"/>
                <w:sz w:val="20"/>
                <w:szCs w:val="20"/>
                <w:lang w:val="es-ES" w:eastAsia="es-ES"/>
              </w:rPr>
              <w:t>TOTAL</w:t>
            </w:r>
          </w:p>
        </w:tc>
        <w:tc>
          <w:tcPr>
            <w:tcW w:w="2400" w:type="dxa"/>
            <w:tcBorders>
              <w:top w:val="nil"/>
              <w:left w:val="nil"/>
              <w:bottom w:val="single" w:sz="4" w:space="0" w:color="auto"/>
              <w:right w:val="single" w:sz="4" w:space="0" w:color="auto"/>
            </w:tcBorders>
            <w:shd w:val="clear" w:color="auto" w:fill="DBE5F1" w:themeFill="accent1" w:themeFillTint="33"/>
            <w:noWrap/>
            <w:vAlign w:val="center"/>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51,975</w:t>
            </w:r>
          </w:p>
        </w:tc>
        <w:tc>
          <w:tcPr>
            <w:tcW w:w="2080" w:type="dxa"/>
            <w:tcBorders>
              <w:top w:val="nil"/>
              <w:left w:val="nil"/>
              <w:bottom w:val="single" w:sz="4" w:space="0" w:color="auto"/>
              <w:right w:val="single" w:sz="4" w:space="0" w:color="auto"/>
            </w:tcBorders>
            <w:shd w:val="clear" w:color="auto" w:fill="DBE5F1" w:themeFill="accent1" w:themeFillTint="33"/>
            <w:noWrap/>
            <w:vAlign w:val="center"/>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42,274</w:t>
            </w:r>
          </w:p>
        </w:tc>
        <w:tc>
          <w:tcPr>
            <w:tcW w:w="1420" w:type="dxa"/>
            <w:tcBorders>
              <w:top w:val="nil"/>
              <w:left w:val="nil"/>
              <w:bottom w:val="single" w:sz="4" w:space="0" w:color="auto"/>
              <w:right w:val="single" w:sz="4" w:space="0" w:color="auto"/>
            </w:tcBorders>
            <w:shd w:val="clear" w:color="auto" w:fill="DBE5F1" w:themeFill="accent1" w:themeFillTint="33"/>
            <w:noWrap/>
            <w:vAlign w:val="center"/>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94,249</w:t>
            </w:r>
          </w:p>
        </w:tc>
      </w:tr>
    </w:tbl>
    <w:p w:rsidR="00252867" w:rsidRDefault="00252867" w:rsidP="00252867">
      <w:pPr>
        <w:jc w:val="both"/>
        <w:rPr>
          <w:rFonts w:ascii="Century Gothic" w:hAnsi="Century Gothic"/>
          <w:sz w:val="16"/>
          <w:szCs w:val="16"/>
        </w:rPr>
      </w:pPr>
      <w:r>
        <w:rPr>
          <w:rFonts w:ascii="Century Gothic" w:hAnsi="Century Gothic"/>
          <w:sz w:val="16"/>
          <w:szCs w:val="16"/>
        </w:rPr>
        <w:t>Fuente: I</w:t>
      </w:r>
      <w:r w:rsidRPr="00740CEA">
        <w:rPr>
          <w:rFonts w:ascii="Century Gothic" w:hAnsi="Century Gothic"/>
          <w:sz w:val="16"/>
          <w:szCs w:val="16"/>
        </w:rPr>
        <w:t xml:space="preserve">nformes mensuales de proveedores de </w:t>
      </w:r>
      <w:r>
        <w:rPr>
          <w:rFonts w:ascii="Century Gothic" w:hAnsi="Century Gothic"/>
          <w:sz w:val="16"/>
          <w:szCs w:val="16"/>
        </w:rPr>
        <w:t xml:space="preserve">Médicos Especialistas y </w:t>
      </w:r>
      <w:r w:rsidRPr="00740CEA">
        <w:rPr>
          <w:rFonts w:ascii="Century Gothic" w:hAnsi="Century Gothic"/>
          <w:sz w:val="16"/>
          <w:szCs w:val="16"/>
        </w:rPr>
        <w:t>Hospitales.</w:t>
      </w:r>
    </w:p>
    <w:p w:rsidR="00EC3C1E" w:rsidRDefault="00EC3C1E" w:rsidP="00252867">
      <w:pPr>
        <w:jc w:val="both"/>
        <w:rPr>
          <w:rFonts w:ascii="Century Gothic" w:hAnsi="Century Gothic"/>
          <w:sz w:val="16"/>
          <w:szCs w:val="16"/>
        </w:rPr>
      </w:pPr>
    </w:p>
    <w:p w:rsidR="00EC3C1E" w:rsidRDefault="00EC3C1E" w:rsidP="00252867">
      <w:pPr>
        <w:jc w:val="both"/>
        <w:rPr>
          <w:rFonts w:ascii="Century Gothic" w:hAnsi="Century Gothic"/>
          <w:sz w:val="16"/>
          <w:szCs w:val="16"/>
        </w:rPr>
      </w:pPr>
    </w:p>
    <w:p w:rsidR="00EC3C1E" w:rsidRDefault="00EC3C1E" w:rsidP="00252867">
      <w:pPr>
        <w:jc w:val="both"/>
        <w:rPr>
          <w:rFonts w:ascii="Century Gothic" w:hAnsi="Century Gothic"/>
          <w:sz w:val="24"/>
          <w:szCs w:val="24"/>
        </w:rPr>
      </w:pPr>
    </w:p>
    <w:p w:rsidR="00EC3C1E" w:rsidRPr="00740CEA" w:rsidRDefault="00EC3C1E" w:rsidP="00252867">
      <w:pPr>
        <w:jc w:val="both"/>
        <w:rPr>
          <w:rFonts w:ascii="Century Gothic" w:hAnsi="Century Gothic"/>
          <w:sz w:val="24"/>
          <w:szCs w:val="24"/>
        </w:rPr>
      </w:pPr>
    </w:p>
    <w:p w:rsidR="00252867" w:rsidRPr="000F5D60" w:rsidRDefault="00252867" w:rsidP="00252867">
      <w:pPr>
        <w:pStyle w:val="Ttulo5"/>
        <w:numPr>
          <w:ilvl w:val="4"/>
          <w:numId w:val="14"/>
        </w:numPr>
        <w:spacing w:after="120"/>
        <w:ind w:left="851"/>
        <w:rPr>
          <w:b/>
        </w:rPr>
      </w:pPr>
      <w:bookmarkStart w:id="34" w:name="_Toc467228655"/>
      <w:bookmarkStart w:id="35" w:name="_Toc491684904"/>
      <w:r w:rsidRPr="000F5D60">
        <w:rPr>
          <w:b/>
        </w:rPr>
        <w:t>Atención hospitalaria.</w:t>
      </w:r>
      <w:bookmarkEnd w:id="34"/>
      <w:bookmarkEnd w:id="35"/>
    </w:p>
    <w:p w:rsidR="00252867" w:rsidRPr="00CB29EF" w:rsidRDefault="00252867" w:rsidP="00252867">
      <w:pPr>
        <w:spacing w:before="200" w:line="276" w:lineRule="auto"/>
        <w:jc w:val="both"/>
        <w:rPr>
          <w:rFonts w:ascii="Century Gothic" w:hAnsi="Century Gothic"/>
        </w:rPr>
      </w:pPr>
      <w:r w:rsidRPr="00CB29EF">
        <w:rPr>
          <w:rFonts w:ascii="Century Gothic" w:hAnsi="Century Gothic"/>
        </w:rPr>
        <w:t>La atención hospitalaria se brindó por medio de 6 hospitales privados y 1 centro de atención especializado en hemodiálisis, todos contratados mediante procedimientos LACAP; además de 21 hospitales del Ministerio de Salud (MINSAL) y el Instituto Salvadoreño de Rehabilitación Integral (ISRI), estos mediante convenios interinstitucionales. Dos grandes ventajas de esta colaboración interinstitucional son: las diferentes capacidades resolutivas de la red hospitalaria y su distribución geográfica a nivel nacional.</w:t>
      </w:r>
    </w:p>
    <w:p w:rsidR="00EC3C1E" w:rsidRPr="00CB29EF" w:rsidRDefault="00EC3C1E" w:rsidP="00252867">
      <w:pPr>
        <w:spacing w:before="200" w:line="276" w:lineRule="auto"/>
        <w:jc w:val="both"/>
        <w:rPr>
          <w:rFonts w:ascii="Century Gothic" w:hAnsi="Century Gothic"/>
        </w:rPr>
      </w:pPr>
    </w:p>
    <w:p w:rsidR="00252867" w:rsidRPr="00CB29EF" w:rsidRDefault="00252867" w:rsidP="00252867">
      <w:pPr>
        <w:spacing w:before="200" w:line="276" w:lineRule="auto"/>
        <w:jc w:val="both"/>
        <w:rPr>
          <w:rFonts w:ascii="Century Gothic" w:hAnsi="Century Gothic"/>
        </w:rPr>
      </w:pPr>
      <w:r w:rsidRPr="00CB29EF">
        <w:rPr>
          <w:rFonts w:ascii="Century Gothic" w:hAnsi="Century Gothic"/>
        </w:rPr>
        <w:t xml:space="preserve">La población usuaria ha sido atendida en los servicios de emergencias, hospitalización, consulta externa especializada, cirugías electivas, despacho de medicamentos y procedimientos especiales como quimioterapias, hemodiálisis y servicio de apoyo diagnóstico. </w:t>
      </w:r>
    </w:p>
    <w:p w:rsidR="00EC3C1E" w:rsidRPr="00CB29EF" w:rsidRDefault="00EC3C1E" w:rsidP="00252867">
      <w:pPr>
        <w:spacing w:before="200" w:line="276" w:lineRule="auto"/>
        <w:jc w:val="both"/>
        <w:rPr>
          <w:rFonts w:ascii="Century Gothic" w:hAnsi="Century Gothic"/>
        </w:rPr>
      </w:pPr>
    </w:p>
    <w:p w:rsidR="00252867" w:rsidRDefault="00252867" w:rsidP="00252867">
      <w:pPr>
        <w:spacing w:before="200" w:line="276" w:lineRule="auto"/>
        <w:jc w:val="both"/>
        <w:rPr>
          <w:rFonts w:ascii="Century Gothic" w:hAnsi="Century Gothic"/>
        </w:rPr>
      </w:pPr>
      <w:r w:rsidRPr="00CB29EF">
        <w:rPr>
          <w:rFonts w:ascii="Century Gothic" w:hAnsi="Century Gothic"/>
        </w:rPr>
        <w:t>El comparativo de los ingresos hospitalarios, se presentan en la tabla siguiente</w:t>
      </w:r>
      <w:r w:rsidRPr="00B03627">
        <w:rPr>
          <w:rFonts w:ascii="Century Gothic" w:hAnsi="Century Gothic"/>
        </w:rPr>
        <w:t>:</w:t>
      </w:r>
    </w:p>
    <w:p w:rsidR="00EC3C1E" w:rsidRDefault="00EC3C1E" w:rsidP="00252867">
      <w:pPr>
        <w:spacing w:before="200" w:line="276" w:lineRule="auto"/>
        <w:jc w:val="both"/>
        <w:rPr>
          <w:rFonts w:ascii="Century Gothic" w:hAnsi="Century Gothic"/>
        </w:rPr>
      </w:pPr>
    </w:p>
    <w:p w:rsidR="00252867" w:rsidRPr="00740CEA" w:rsidRDefault="00252867" w:rsidP="00252867">
      <w:pPr>
        <w:spacing w:before="200" w:line="276" w:lineRule="auto"/>
        <w:jc w:val="both"/>
        <w:rPr>
          <w:rFonts w:ascii="Century Gothic" w:hAnsi="Century Gothic"/>
        </w:rPr>
      </w:pPr>
      <w:r>
        <w:rPr>
          <w:noProof/>
          <w:lang w:eastAsia="es-SV"/>
        </w:rPr>
        <w:drawing>
          <wp:inline distT="0" distB="0" distL="0" distR="0" wp14:anchorId="6805DE7D" wp14:editId="44355C5E">
            <wp:extent cx="5459105" cy="3029803"/>
            <wp:effectExtent l="0" t="0" r="8255" b="18415"/>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52867" w:rsidRPr="00740CEA" w:rsidRDefault="00252867" w:rsidP="00252867">
      <w:pPr>
        <w:pStyle w:val="Default"/>
        <w:rPr>
          <w:rFonts w:ascii="Century Gothic" w:hAnsi="Century Gothic"/>
          <w:sz w:val="16"/>
          <w:szCs w:val="16"/>
        </w:rPr>
      </w:pPr>
      <w:r>
        <w:rPr>
          <w:rFonts w:ascii="Century Gothic" w:hAnsi="Century Gothic"/>
          <w:sz w:val="16"/>
          <w:szCs w:val="16"/>
        </w:rPr>
        <w:t>Fuente: I</w:t>
      </w:r>
      <w:r w:rsidRPr="00740CEA">
        <w:rPr>
          <w:rFonts w:ascii="Century Gothic" w:hAnsi="Century Gothic"/>
          <w:sz w:val="16"/>
          <w:szCs w:val="16"/>
        </w:rPr>
        <w:t>nformes mensuales de proveedores de Hospitales.</w:t>
      </w:r>
    </w:p>
    <w:p w:rsidR="00252867" w:rsidRDefault="00252867" w:rsidP="00252867">
      <w:pPr>
        <w:pStyle w:val="Default"/>
        <w:jc w:val="center"/>
        <w:rPr>
          <w:rFonts w:ascii="Century Gothic" w:hAnsi="Century Gothic"/>
          <w:sz w:val="16"/>
          <w:szCs w:val="16"/>
        </w:rPr>
      </w:pPr>
    </w:p>
    <w:p w:rsidR="00252867" w:rsidRDefault="00252867" w:rsidP="00252867">
      <w:pPr>
        <w:pStyle w:val="Default"/>
        <w:jc w:val="center"/>
        <w:rPr>
          <w:rFonts w:ascii="Century Gothic" w:hAnsi="Century Gothic"/>
          <w:sz w:val="16"/>
          <w:szCs w:val="16"/>
        </w:rPr>
      </w:pPr>
    </w:p>
    <w:p w:rsidR="00EC3C1E" w:rsidRDefault="00EC3C1E" w:rsidP="00252867">
      <w:pPr>
        <w:pStyle w:val="Default"/>
        <w:jc w:val="center"/>
        <w:rPr>
          <w:rFonts w:ascii="Century Gothic" w:hAnsi="Century Gothic"/>
          <w:sz w:val="16"/>
          <w:szCs w:val="16"/>
        </w:rPr>
      </w:pPr>
    </w:p>
    <w:p w:rsidR="00EC3C1E" w:rsidRDefault="00EC3C1E" w:rsidP="00252867">
      <w:pPr>
        <w:pStyle w:val="Default"/>
        <w:jc w:val="center"/>
        <w:rPr>
          <w:rFonts w:ascii="Century Gothic" w:hAnsi="Century Gothic"/>
          <w:sz w:val="16"/>
          <w:szCs w:val="16"/>
        </w:rPr>
      </w:pPr>
    </w:p>
    <w:p w:rsidR="00EC3C1E" w:rsidRDefault="00EC3C1E" w:rsidP="00252867">
      <w:pPr>
        <w:pStyle w:val="Default"/>
        <w:jc w:val="center"/>
        <w:rPr>
          <w:rFonts w:ascii="Century Gothic" w:hAnsi="Century Gothic"/>
          <w:sz w:val="16"/>
          <w:szCs w:val="16"/>
        </w:rPr>
      </w:pPr>
    </w:p>
    <w:tbl>
      <w:tblPr>
        <w:tblW w:w="8640" w:type="dxa"/>
        <w:tblInd w:w="70" w:type="dxa"/>
        <w:tblCellMar>
          <w:left w:w="70" w:type="dxa"/>
          <w:right w:w="70" w:type="dxa"/>
        </w:tblCellMar>
        <w:tblLook w:val="04A0" w:firstRow="1" w:lastRow="0" w:firstColumn="1" w:lastColumn="0" w:noHBand="0" w:noVBand="1"/>
      </w:tblPr>
      <w:tblGrid>
        <w:gridCol w:w="2140"/>
        <w:gridCol w:w="2480"/>
        <w:gridCol w:w="2500"/>
        <w:gridCol w:w="1520"/>
      </w:tblGrid>
      <w:tr w:rsidR="00252867" w:rsidRPr="00EC53C3" w:rsidTr="005B4E5F">
        <w:trPr>
          <w:trHeight w:val="300"/>
        </w:trPr>
        <w:tc>
          <w:tcPr>
            <w:tcW w:w="21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TIPO DE ATENCIÓN</w:t>
            </w:r>
          </w:p>
        </w:tc>
        <w:tc>
          <w:tcPr>
            <w:tcW w:w="248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JUNIO A DICIEMBRE 2016</w:t>
            </w:r>
          </w:p>
        </w:tc>
        <w:tc>
          <w:tcPr>
            <w:tcW w:w="250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ENERO A JULIO 2017</w:t>
            </w:r>
          </w:p>
        </w:tc>
        <w:tc>
          <w:tcPr>
            <w:tcW w:w="152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TOTAL</w:t>
            </w:r>
          </w:p>
        </w:tc>
      </w:tr>
      <w:tr w:rsidR="00252867" w:rsidRPr="00EC53C3" w:rsidTr="005B4E5F">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52867" w:rsidRPr="00EC53C3" w:rsidRDefault="00252867" w:rsidP="005B4E5F">
            <w:pPr>
              <w:rPr>
                <w:rFonts w:eastAsia="Times New Roman"/>
                <w:color w:val="000000"/>
                <w:sz w:val="20"/>
                <w:szCs w:val="20"/>
                <w:lang w:val="es-ES" w:eastAsia="es-ES"/>
              </w:rPr>
            </w:pPr>
            <w:r w:rsidRPr="00EC53C3">
              <w:rPr>
                <w:rFonts w:eastAsia="Times New Roman"/>
                <w:color w:val="000000"/>
                <w:sz w:val="20"/>
                <w:szCs w:val="20"/>
                <w:lang w:val="es-ES" w:eastAsia="es-ES"/>
              </w:rPr>
              <w:t>AMBULATORIA</w:t>
            </w:r>
          </w:p>
        </w:tc>
        <w:tc>
          <w:tcPr>
            <w:tcW w:w="2480" w:type="dxa"/>
            <w:tcBorders>
              <w:top w:val="nil"/>
              <w:left w:val="nil"/>
              <w:bottom w:val="single" w:sz="4" w:space="0" w:color="auto"/>
              <w:right w:val="single" w:sz="4" w:space="0" w:color="auto"/>
            </w:tcBorders>
            <w:shd w:val="clear" w:color="auto" w:fill="auto"/>
            <w:noWrap/>
            <w:vAlign w:val="bottom"/>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1,409</w:t>
            </w:r>
          </w:p>
        </w:tc>
        <w:tc>
          <w:tcPr>
            <w:tcW w:w="2500" w:type="dxa"/>
            <w:tcBorders>
              <w:top w:val="nil"/>
              <w:left w:val="nil"/>
              <w:bottom w:val="single" w:sz="4" w:space="0" w:color="auto"/>
              <w:right w:val="single" w:sz="4" w:space="0" w:color="auto"/>
            </w:tcBorders>
            <w:shd w:val="clear" w:color="auto" w:fill="auto"/>
            <w:noWrap/>
            <w:vAlign w:val="bottom"/>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1,223</w:t>
            </w:r>
          </w:p>
        </w:tc>
        <w:tc>
          <w:tcPr>
            <w:tcW w:w="1520" w:type="dxa"/>
            <w:tcBorders>
              <w:top w:val="nil"/>
              <w:left w:val="nil"/>
              <w:bottom w:val="single" w:sz="4" w:space="0" w:color="auto"/>
              <w:right w:val="single" w:sz="4" w:space="0" w:color="auto"/>
            </w:tcBorders>
            <w:shd w:val="clear" w:color="auto" w:fill="auto"/>
            <w:noWrap/>
            <w:vAlign w:val="bottom"/>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2,632</w:t>
            </w:r>
          </w:p>
        </w:tc>
      </w:tr>
      <w:tr w:rsidR="00252867" w:rsidRPr="00EC53C3" w:rsidTr="005B4E5F">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52867" w:rsidRPr="00EC53C3" w:rsidRDefault="00252867" w:rsidP="005B4E5F">
            <w:pPr>
              <w:rPr>
                <w:rFonts w:eastAsia="Times New Roman"/>
                <w:color w:val="000000"/>
                <w:sz w:val="20"/>
                <w:szCs w:val="20"/>
                <w:lang w:val="es-ES" w:eastAsia="es-ES"/>
              </w:rPr>
            </w:pPr>
            <w:r w:rsidRPr="00EC53C3">
              <w:rPr>
                <w:rFonts w:eastAsia="Times New Roman"/>
                <w:color w:val="000000"/>
                <w:sz w:val="20"/>
                <w:szCs w:val="20"/>
                <w:lang w:val="es-ES" w:eastAsia="es-ES"/>
              </w:rPr>
              <w:t>EMERGENCIA</w:t>
            </w:r>
          </w:p>
        </w:tc>
        <w:tc>
          <w:tcPr>
            <w:tcW w:w="2480" w:type="dxa"/>
            <w:tcBorders>
              <w:top w:val="nil"/>
              <w:left w:val="nil"/>
              <w:bottom w:val="single" w:sz="4" w:space="0" w:color="auto"/>
              <w:right w:val="single" w:sz="4" w:space="0" w:color="auto"/>
            </w:tcBorders>
            <w:shd w:val="clear" w:color="auto" w:fill="auto"/>
            <w:noWrap/>
            <w:vAlign w:val="bottom"/>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1,804</w:t>
            </w:r>
          </w:p>
        </w:tc>
        <w:tc>
          <w:tcPr>
            <w:tcW w:w="2500" w:type="dxa"/>
            <w:tcBorders>
              <w:top w:val="nil"/>
              <w:left w:val="nil"/>
              <w:bottom w:val="single" w:sz="4" w:space="0" w:color="auto"/>
              <w:right w:val="single" w:sz="4" w:space="0" w:color="auto"/>
            </w:tcBorders>
            <w:shd w:val="clear" w:color="auto" w:fill="auto"/>
            <w:noWrap/>
            <w:vAlign w:val="bottom"/>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1,479</w:t>
            </w:r>
          </w:p>
        </w:tc>
        <w:tc>
          <w:tcPr>
            <w:tcW w:w="1520" w:type="dxa"/>
            <w:tcBorders>
              <w:top w:val="nil"/>
              <w:left w:val="nil"/>
              <w:bottom w:val="single" w:sz="4" w:space="0" w:color="auto"/>
              <w:right w:val="single" w:sz="4" w:space="0" w:color="auto"/>
            </w:tcBorders>
            <w:shd w:val="clear" w:color="auto" w:fill="auto"/>
            <w:noWrap/>
            <w:vAlign w:val="bottom"/>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3,283</w:t>
            </w:r>
          </w:p>
        </w:tc>
      </w:tr>
      <w:tr w:rsidR="00252867" w:rsidRPr="00EC53C3" w:rsidTr="005B4E5F">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52867" w:rsidRPr="00EC53C3" w:rsidRDefault="00252867" w:rsidP="005B4E5F">
            <w:pPr>
              <w:rPr>
                <w:rFonts w:eastAsia="Times New Roman"/>
                <w:color w:val="000000"/>
                <w:sz w:val="20"/>
                <w:szCs w:val="20"/>
                <w:lang w:val="es-ES" w:eastAsia="es-ES"/>
              </w:rPr>
            </w:pPr>
            <w:r w:rsidRPr="00EC53C3">
              <w:rPr>
                <w:rFonts w:eastAsia="Times New Roman"/>
                <w:color w:val="000000"/>
                <w:sz w:val="20"/>
                <w:szCs w:val="20"/>
                <w:lang w:val="es-ES" w:eastAsia="es-ES"/>
              </w:rPr>
              <w:t>ELECTIVA</w:t>
            </w:r>
          </w:p>
        </w:tc>
        <w:tc>
          <w:tcPr>
            <w:tcW w:w="2480" w:type="dxa"/>
            <w:tcBorders>
              <w:top w:val="nil"/>
              <w:left w:val="nil"/>
              <w:bottom w:val="single" w:sz="4" w:space="0" w:color="auto"/>
              <w:right w:val="single" w:sz="4" w:space="0" w:color="auto"/>
            </w:tcBorders>
            <w:shd w:val="clear" w:color="auto" w:fill="auto"/>
            <w:noWrap/>
            <w:vAlign w:val="bottom"/>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1,495</w:t>
            </w:r>
          </w:p>
        </w:tc>
        <w:tc>
          <w:tcPr>
            <w:tcW w:w="2500" w:type="dxa"/>
            <w:tcBorders>
              <w:top w:val="nil"/>
              <w:left w:val="nil"/>
              <w:bottom w:val="single" w:sz="4" w:space="0" w:color="auto"/>
              <w:right w:val="single" w:sz="4" w:space="0" w:color="auto"/>
            </w:tcBorders>
            <w:shd w:val="clear" w:color="auto" w:fill="auto"/>
            <w:noWrap/>
            <w:vAlign w:val="bottom"/>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1,312</w:t>
            </w:r>
          </w:p>
        </w:tc>
        <w:tc>
          <w:tcPr>
            <w:tcW w:w="1520" w:type="dxa"/>
            <w:tcBorders>
              <w:top w:val="nil"/>
              <w:left w:val="nil"/>
              <w:bottom w:val="single" w:sz="4" w:space="0" w:color="auto"/>
              <w:right w:val="single" w:sz="4" w:space="0" w:color="auto"/>
            </w:tcBorders>
            <w:shd w:val="clear" w:color="auto" w:fill="auto"/>
            <w:noWrap/>
            <w:vAlign w:val="bottom"/>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2,807</w:t>
            </w:r>
          </w:p>
        </w:tc>
      </w:tr>
      <w:tr w:rsidR="00252867" w:rsidRPr="00EC53C3" w:rsidTr="005B4E5F">
        <w:trPr>
          <w:trHeight w:val="300"/>
        </w:trPr>
        <w:tc>
          <w:tcPr>
            <w:tcW w:w="2140"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TOTAL</w:t>
            </w:r>
          </w:p>
        </w:tc>
        <w:tc>
          <w:tcPr>
            <w:tcW w:w="2480" w:type="dxa"/>
            <w:tcBorders>
              <w:top w:val="nil"/>
              <w:left w:val="nil"/>
              <w:bottom w:val="single" w:sz="4" w:space="0" w:color="auto"/>
              <w:right w:val="single" w:sz="4" w:space="0" w:color="auto"/>
            </w:tcBorders>
            <w:shd w:val="clear" w:color="auto" w:fill="DBE5F1" w:themeFill="accent1" w:themeFillTint="33"/>
            <w:noWrap/>
            <w:vAlign w:val="bottom"/>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4,708</w:t>
            </w:r>
          </w:p>
        </w:tc>
        <w:tc>
          <w:tcPr>
            <w:tcW w:w="2500" w:type="dxa"/>
            <w:tcBorders>
              <w:top w:val="nil"/>
              <w:left w:val="nil"/>
              <w:bottom w:val="single" w:sz="4" w:space="0" w:color="auto"/>
              <w:right w:val="single" w:sz="4" w:space="0" w:color="auto"/>
            </w:tcBorders>
            <w:shd w:val="clear" w:color="auto" w:fill="DBE5F1" w:themeFill="accent1" w:themeFillTint="33"/>
            <w:noWrap/>
            <w:vAlign w:val="bottom"/>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4,014</w:t>
            </w:r>
          </w:p>
        </w:tc>
        <w:tc>
          <w:tcPr>
            <w:tcW w:w="1520" w:type="dxa"/>
            <w:tcBorders>
              <w:top w:val="nil"/>
              <w:left w:val="nil"/>
              <w:bottom w:val="single" w:sz="4" w:space="0" w:color="auto"/>
              <w:right w:val="single" w:sz="4" w:space="0" w:color="auto"/>
            </w:tcBorders>
            <w:shd w:val="clear" w:color="auto" w:fill="DBE5F1" w:themeFill="accent1" w:themeFillTint="33"/>
            <w:noWrap/>
            <w:vAlign w:val="bottom"/>
            <w:hideMark/>
          </w:tcPr>
          <w:p w:rsidR="00252867" w:rsidRPr="00EC53C3" w:rsidRDefault="00252867" w:rsidP="005B4E5F">
            <w:pPr>
              <w:jc w:val="center"/>
              <w:rPr>
                <w:rFonts w:eastAsia="Times New Roman"/>
                <w:color w:val="000000"/>
                <w:sz w:val="20"/>
                <w:szCs w:val="20"/>
                <w:lang w:val="es-ES" w:eastAsia="es-ES"/>
              </w:rPr>
            </w:pPr>
            <w:r w:rsidRPr="00EC53C3">
              <w:rPr>
                <w:rFonts w:eastAsia="Times New Roman"/>
                <w:color w:val="000000"/>
                <w:sz w:val="20"/>
                <w:szCs w:val="20"/>
                <w:lang w:val="es-ES" w:eastAsia="es-ES"/>
              </w:rPr>
              <w:t>8,722</w:t>
            </w:r>
          </w:p>
        </w:tc>
      </w:tr>
    </w:tbl>
    <w:p w:rsidR="00252867" w:rsidRPr="00740CEA" w:rsidRDefault="00252867" w:rsidP="00252867">
      <w:pPr>
        <w:pStyle w:val="Default"/>
        <w:rPr>
          <w:rFonts w:ascii="Century Gothic" w:hAnsi="Century Gothic"/>
          <w:sz w:val="16"/>
          <w:szCs w:val="16"/>
        </w:rPr>
      </w:pPr>
      <w:r>
        <w:rPr>
          <w:rFonts w:ascii="Century Gothic" w:hAnsi="Century Gothic"/>
          <w:sz w:val="16"/>
          <w:szCs w:val="16"/>
        </w:rPr>
        <w:t xml:space="preserve"> Fuente: I</w:t>
      </w:r>
      <w:r w:rsidRPr="00740CEA">
        <w:rPr>
          <w:rFonts w:ascii="Century Gothic" w:hAnsi="Century Gothic"/>
          <w:sz w:val="16"/>
          <w:szCs w:val="16"/>
        </w:rPr>
        <w:t>nformes mensuales de proveedores de Hospitales.</w:t>
      </w:r>
    </w:p>
    <w:p w:rsidR="00252867" w:rsidRDefault="00252867" w:rsidP="00252867">
      <w:pPr>
        <w:jc w:val="both"/>
        <w:rPr>
          <w:rFonts w:ascii="Century Gothic" w:hAnsi="Century Gothic"/>
        </w:rPr>
      </w:pPr>
    </w:p>
    <w:p w:rsidR="00252867" w:rsidRDefault="00252867" w:rsidP="00252867">
      <w:pPr>
        <w:jc w:val="center"/>
        <w:rPr>
          <w:noProof/>
          <w:lang w:val="es-ES" w:eastAsia="es-ES"/>
        </w:rPr>
      </w:pPr>
    </w:p>
    <w:p w:rsidR="00252867" w:rsidRDefault="00252867" w:rsidP="00252867">
      <w:pPr>
        <w:jc w:val="center"/>
        <w:rPr>
          <w:noProof/>
          <w:lang w:val="es-ES" w:eastAsia="es-ES"/>
        </w:rPr>
      </w:pPr>
      <w:r>
        <w:rPr>
          <w:noProof/>
          <w:lang w:eastAsia="es-SV"/>
        </w:rPr>
        <w:drawing>
          <wp:inline distT="0" distB="0" distL="0" distR="0" wp14:anchorId="4E255EC2" wp14:editId="0AB125CD">
            <wp:extent cx="5324475" cy="2952750"/>
            <wp:effectExtent l="0" t="0" r="9525" b="0"/>
            <wp:docPr id="7169" name="Gráfico 716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52867" w:rsidRPr="00740CEA" w:rsidRDefault="00252867" w:rsidP="00252867">
      <w:pPr>
        <w:pStyle w:val="Default"/>
        <w:rPr>
          <w:rFonts w:ascii="Century Gothic" w:hAnsi="Century Gothic"/>
          <w:sz w:val="16"/>
          <w:szCs w:val="16"/>
        </w:rPr>
      </w:pPr>
      <w:r>
        <w:rPr>
          <w:rFonts w:ascii="Century Gothic" w:hAnsi="Century Gothic"/>
          <w:sz w:val="16"/>
          <w:szCs w:val="16"/>
        </w:rPr>
        <w:t xml:space="preserve"> Fuente: I</w:t>
      </w:r>
      <w:r w:rsidRPr="00740CEA">
        <w:rPr>
          <w:rFonts w:ascii="Century Gothic" w:hAnsi="Century Gothic"/>
          <w:sz w:val="16"/>
          <w:szCs w:val="16"/>
        </w:rPr>
        <w:t>nformes mensuales de proveedores de Hospitales.</w:t>
      </w:r>
    </w:p>
    <w:p w:rsidR="00252867" w:rsidRDefault="00252867" w:rsidP="00252867">
      <w:pPr>
        <w:rPr>
          <w:rFonts w:ascii="Century Gothic" w:hAnsi="Century Gothic"/>
        </w:rPr>
      </w:pPr>
    </w:p>
    <w:tbl>
      <w:tblPr>
        <w:tblW w:w="7940" w:type="dxa"/>
        <w:jc w:val="center"/>
        <w:tblCellMar>
          <w:left w:w="70" w:type="dxa"/>
          <w:right w:w="70" w:type="dxa"/>
        </w:tblCellMar>
        <w:tblLook w:val="04A0" w:firstRow="1" w:lastRow="0" w:firstColumn="1" w:lastColumn="0" w:noHBand="0" w:noVBand="1"/>
      </w:tblPr>
      <w:tblGrid>
        <w:gridCol w:w="2280"/>
        <w:gridCol w:w="2440"/>
        <w:gridCol w:w="2020"/>
        <w:gridCol w:w="1200"/>
      </w:tblGrid>
      <w:tr w:rsidR="00252867" w:rsidRPr="001317C1" w:rsidTr="005B4E5F">
        <w:trPr>
          <w:trHeight w:val="300"/>
          <w:jc w:val="center"/>
        </w:trPr>
        <w:tc>
          <w:tcPr>
            <w:tcW w:w="2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2867" w:rsidRPr="001317C1" w:rsidRDefault="00252867" w:rsidP="005B4E5F">
            <w:pPr>
              <w:rPr>
                <w:rFonts w:eastAsia="Times New Roman"/>
                <w:color w:val="000000"/>
                <w:sz w:val="20"/>
                <w:szCs w:val="20"/>
                <w:lang w:val="es-ES" w:eastAsia="es-ES"/>
              </w:rPr>
            </w:pPr>
            <w:r w:rsidRPr="001317C1">
              <w:rPr>
                <w:rFonts w:eastAsia="Times New Roman"/>
                <w:color w:val="000000"/>
                <w:sz w:val="20"/>
                <w:szCs w:val="20"/>
                <w:lang w:val="es-ES" w:eastAsia="es-ES"/>
              </w:rPr>
              <w:t>TIPO DE ATENCIÓN</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rsidR="00252867" w:rsidRPr="001317C1" w:rsidRDefault="00252867" w:rsidP="005B4E5F">
            <w:pPr>
              <w:jc w:val="center"/>
              <w:rPr>
                <w:rFonts w:eastAsia="Times New Roman"/>
                <w:color w:val="000000"/>
                <w:sz w:val="20"/>
                <w:szCs w:val="20"/>
                <w:lang w:val="es-ES" w:eastAsia="es-ES"/>
              </w:rPr>
            </w:pPr>
            <w:r w:rsidRPr="001317C1">
              <w:rPr>
                <w:rFonts w:eastAsia="Times New Roman"/>
                <w:color w:val="000000"/>
                <w:sz w:val="20"/>
                <w:szCs w:val="20"/>
                <w:lang w:val="es-ES" w:eastAsia="es-ES"/>
              </w:rPr>
              <w:t>JUNIO A DICIEMBRE 2016</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rsidR="00252867" w:rsidRPr="001317C1" w:rsidRDefault="00252867" w:rsidP="005B4E5F">
            <w:pPr>
              <w:jc w:val="center"/>
              <w:rPr>
                <w:rFonts w:eastAsia="Times New Roman"/>
                <w:color w:val="000000"/>
                <w:sz w:val="20"/>
                <w:szCs w:val="20"/>
                <w:lang w:val="es-ES" w:eastAsia="es-ES"/>
              </w:rPr>
            </w:pPr>
            <w:r w:rsidRPr="001317C1">
              <w:rPr>
                <w:rFonts w:eastAsia="Times New Roman"/>
                <w:color w:val="000000"/>
                <w:sz w:val="20"/>
                <w:szCs w:val="20"/>
                <w:lang w:val="es-ES" w:eastAsia="es-ES"/>
              </w:rPr>
              <w:t>ENERO A JUNIO 2017</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252867" w:rsidRPr="001317C1" w:rsidRDefault="00252867" w:rsidP="005B4E5F">
            <w:pPr>
              <w:jc w:val="center"/>
              <w:rPr>
                <w:rFonts w:eastAsia="Times New Roman"/>
                <w:color w:val="000000"/>
                <w:sz w:val="20"/>
                <w:szCs w:val="20"/>
                <w:lang w:val="es-ES" w:eastAsia="es-ES"/>
              </w:rPr>
            </w:pPr>
            <w:r w:rsidRPr="001317C1">
              <w:rPr>
                <w:rFonts w:eastAsia="Times New Roman"/>
                <w:color w:val="000000"/>
                <w:sz w:val="20"/>
                <w:szCs w:val="20"/>
                <w:lang w:val="es-ES" w:eastAsia="es-ES"/>
              </w:rPr>
              <w:t>TOTAL</w:t>
            </w:r>
          </w:p>
        </w:tc>
      </w:tr>
      <w:tr w:rsidR="00252867" w:rsidRPr="001317C1" w:rsidTr="005B4E5F">
        <w:trPr>
          <w:trHeight w:val="300"/>
          <w:jc w:val="center"/>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252867" w:rsidRPr="001317C1" w:rsidRDefault="00252867" w:rsidP="005B4E5F">
            <w:pPr>
              <w:rPr>
                <w:rFonts w:eastAsia="Times New Roman"/>
                <w:color w:val="000000"/>
                <w:sz w:val="20"/>
                <w:szCs w:val="20"/>
                <w:lang w:val="es-ES" w:eastAsia="es-ES"/>
              </w:rPr>
            </w:pPr>
            <w:r w:rsidRPr="001317C1">
              <w:rPr>
                <w:rFonts w:eastAsia="Times New Roman"/>
                <w:color w:val="000000"/>
                <w:sz w:val="20"/>
                <w:szCs w:val="20"/>
                <w:lang w:val="es-ES" w:eastAsia="es-ES"/>
              </w:rPr>
              <w:t>VAGINAL</w:t>
            </w:r>
          </w:p>
        </w:tc>
        <w:tc>
          <w:tcPr>
            <w:tcW w:w="2440" w:type="dxa"/>
            <w:tcBorders>
              <w:top w:val="nil"/>
              <w:left w:val="nil"/>
              <w:bottom w:val="single" w:sz="4" w:space="0" w:color="auto"/>
              <w:right w:val="single" w:sz="4" w:space="0" w:color="auto"/>
            </w:tcBorders>
            <w:shd w:val="clear" w:color="auto" w:fill="auto"/>
            <w:noWrap/>
            <w:vAlign w:val="bottom"/>
            <w:hideMark/>
          </w:tcPr>
          <w:p w:rsidR="00252867" w:rsidRPr="001317C1" w:rsidRDefault="00252867" w:rsidP="005B4E5F">
            <w:pPr>
              <w:jc w:val="center"/>
              <w:rPr>
                <w:rFonts w:eastAsia="Times New Roman"/>
                <w:color w:val="000000"/>
                <w:sz w:val="20"/>
                <w:szCs w:val="20"/>
                <w:lang w:val="es-ES" w:eastAsia="es-ES"/>
              </w:rPr>
            </w:pPr>
            <w:r w:rsidRPr="001317C1">
              <w:rPr>
                <w:rFonts w:eastAsia="Times New Roman"/>
                <w:color w:val="000000"/>
                <w:sz w:val="20"/>
                <w:szCs w:val="20"/>
                <w:lang w:val="es-ES" w:eastAsia="es-ES"/>
              </w:rPr>
              <w:t>112</w:t>
            </w:r>
          </w:p>
        </w:tc>
        <w:tc>
          <w:tcPr>
            <w:tcW w:w="2020" w:type="dxa"/>
            <w:tcBorders>
              <w:top w:val="nil"/>
              <w:left w:val="nil"/>
              <w:bottom w:val="single" w:sz="4" w:space="0" w:color="auto"/>
              <w:right w:val="single" w:sz="4" w:space="0" w:color="auto"/>
            </w:tcBorders>
            <w:shd w:val="clear" w:color="auto" w:fill="auto"/>
            <w:noWrap/>
            <w:vAlign w:val="bottom"/>
            <w:hideMark/>
          </w:tcPr>
          <w:p w:rsidR="00252867" w:rsidRPr="001317C1" w:rsidRDefault="00252867" w:rsidP="005B4E5F">
            <w:pPr>
              <w:jc w:val="center"/>
              <w:rPr>
                <w:rFonts w:eastAsia="Times New Roman"/>
                <w:color w:val="000000"/>
                <w:sz w:val="20"/>
                <w:szCs w:val="20"/>
                <w:lang w:val="es-ES" w:eastAsia="es-ES"/>
              </w:rPr>
            </w:pPr>
            <w:r w:rsidRPr="001317C1">
              <w:rPr>
                <w:rFonts w:eastAsia="Times New Roman"/>
                <w:color w:val="000000"/>
                <w:sz w:val="20"/>
                <w:szCs w:val="20"/>
                <w:lang w:val="es-ES" w:eastAsia="es-ES"/>
              </w:rPr>
              <w:t>59</w:t>
            </w:r>
          </w:p>
        </w:tc>
        <w:tc>
          <w:tcPr>
            <w:tcW w:w="1200" w:type="dxa"/>
            <w:tcBorders>
              <w:top w:val="nil"/>
              <w:left w:val="nil"/>
              <w:bottom w:val="single" w:sz="4" w:space="0" w:color="auto"/>
              <w:right w:val="single" w:sz="4" w:space="0" w:color="auto"/>
            </w:tcBorders>
            <w:shd w:val="clear" w:color="auto" w:fill="auto"/>
            <w:noWrap/>
            <w:vAlign w:val="bottom"/>
            <w:hideMark/>
          </w:tcPr>
          <w:p w:rsidR="00252867" w:rsidRPr="001317C1" w:rsidRDefault="00252867" w:rsidP="005B4E5F">
            <w:pPr>
              <w:jc w:val="center"/>
              <w:rPr>
                <w:rFonts w:eastAsia="Times New Roman"/>
                <w:color w:val="000000"/>
                <w:sz w:val="20"/>
                <w:szCs w:val="20"/>
                <w:lang w:val="es-ES" w:eastAsia="es-ES"/>
              </w:rPr>
            </w:pPr>
            <w:r w:rsidRPr="001317C1">
              <w:rPr>
                <w:rFonts w:eastAsia="Times New Roman"/>
                <w:color w:val="000000"/>
                <w:sz w:val="20"/>
                <w:szCs w:val="20"/>
                <w:lang w:val="es-ES" w:eastAsia="es-ES"/>
              </w:rPr>
              <w:t>171</w:t>
            </w:r>
          </w:p>
        </w:tc>
      </w:tr>
      <w:tr w:rsidR="00252867" w:rsidRPr="001317C1" w:rsidTr="005B4E5F">
        <w:trPr>
          <w:trHeight w:val="300"/>
          <w:jc w:val="center"/>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252867" w:rsidRPr="001317C1" w:rsidRDefault="00252867" w:rsidP="005B4E5F">
            <w:pPr>
              <w:rPr>
                <w:rFonts w:eastAsia="Times New Roman"/>
                <w:color w:val="000000"/>
                <w:sz w:val="20"/>
                <w:szCs w:val="20"/>
                <w:lang w:val="es-ES" w:eastAsia="es-ES"/>
              </w:rPr>
            </w:pPr>
            <w:r w:rsidRPr="001317C1">
              <w:rPr>
                <w:rFonts w:eastAsia="Times New Roman"/>
                <w:color w:val="000000"/>
                <w:sz w:val="20"/>
                <w:szCs w:val="20"/>
                <w:lang w:val="es-ES" w:eastAsia="es-ES"/>
              </w:rPr>
              <w:t>CESÁREA</w:t>
            </w:r>
          </w:p>
        </w:tc>
        <w:tc>
          <w:tcPr>
            <w:tcW w:w="2440" w:type="dxa"/>
            <w:tcBorders>
              <w:top w:val="nil"/>
              <w:left w:val="nil"/>
              <w:bottom w:val="single" w:sz="4" w:space="0" w:color="auto"/>
              <w:right w:val="single" w:sz="4" w:space="0" w:color="auto"/>
            </w:tcBorders>
            <w:shd w:val="clear" w:color="auto" w:fill="auto"/>
            <w:noWrap/>
            <w:vAlign w:val="bottom"/>
            <w:hideMark/>
          </w:tcPr>
          <w:p w:rsidR="00252867" w:rsidRPr="001317C1" w:rsidRDefault="00252867" w:rsidP="005B4E5F">
            <w:pPr>
              <w:jc w:val="center"/>
              <w:rPr>
                <w:rFonts w:eastAsia="Times New Roman"/>
                <w:color w:val="000000"/>
                <w:sz w:val="20"/>
                <w:szCs w:val="20"/>
                <w:lang w:val="es-ES" w:eastAsia="es-ES"/>
              </w:rPr>
            </w:pPr>
            <w:r w:rsidRPr="001317C1">
              <w:rPr>
                <w:rFonts w:eastAsia="Times New Roman"/>
                <w:color w:val="000000"/>
                <w:sz w:val="20"/>
                <w:szCs w:val="20"/>
                <w:lang w:val="es-ES" w:eastAsia="es-ES"/>
              </w:rPr>
              <w:t>249</w:t>
            </w:r>
          </w:p>
        </w:tc>
        <w:tc>
          <w:tcPr>
            <w:tcW w:w="2020" w:type="dxa"/>
            <w:tcBorders>
              <w:top w:val="nil"/>
              <w:left w:val="nil"/>
              <w:bottom w:val="single" w:sz="4" w:space="0" w:color="auto"/>
              <w:right w:val="single" w:sz="4" w:space="0" w:color="auto"/>
            </w:tcBorders>
            <w:shd w:val="clear" w:color="auto" w:fill="auto"/>
            <w:noWrap/>
            <w:vAlign w:val="bottom"/>
            <w:hideMark/>
          </w:tcPr>
          <w:p w:rsidR="00252867" w:rsidRPr="001317C1" w:rsidRDefault="00252867" w:rsidP="005B4E5F">
            <w:pPr>
              <w:jc w:val="center"/>
              <w:rPr>
                <w:rFonts w:eastAsia="Times New Roman"/>
                <w:color w:val="000000"/>
                <w:sz w:val="20"/>
                <w:szCs w:val="20"/>
                <w:lang w:val="es-ES" w:eastAsia="es-ES"/>
              </w:rPr>
            </w:pPr>
            <w:r w:rsidRPr="001317C1">
              <w:rPr>
                <w:rFonts w:eastAsia="Times New Roman"/>
                <w:color w:val="000000"/>
                <w:sz w:val="20"/>
                <w:szCs w:val="20"/>
                <w:lang w:val="es-ES" w:eastAsia="es-ES"/>
              </w:rPr>
              <w:t>113</w:t>
            </w:r>
          </w:p>
        </w:tc>
        <w:tc>
          <w:tcPr>
            <w:tcW w:w="1200" w:type="dxa"/>
            <w:tcBorders>
              <w:top w:val="nil"/>
              <w:left w:val="nil"/>
              <w:bottom w:val="single" w:sz="4" w:space="0" w:color="auto"/>
              <w:right w:val="single" w:sz="4" w:space="0" w:color="auto"/>
            </w:tcBorders>
            <w:shd w:val="clear" w:color="auto" w:fill="auto"/>
            <w:noWrap/>
            <w:vAlign w:val="bottom"/>
            <w:hideMark/>
          </w:tcPr>
          <w:p w:rsidR="00252867" w:rsidRPr="001317C1" w:rsidRDefault="00252867" w:rsidP="005B4E5F">
            <w:pPr>
              <w:jc w:val="center"/>
              <w:rPr>
                <w:rFonts w:eastAsia="Times New Roman"/>
                <w:color w:val="000000"/>
                <w:sz w:val="20"/>
                <w:szCs w:val="20"/>
                <w:lang w:val="es-ES" w:eastAsia="es-ES"/>
              </w:rPr>
            </w:pPr>
            <w:r w:rsidRPr="001317C1">
              <w:rPr>
                <w:rFonts w:eastAsia="Times New Roman"/>
                <w:color w:val="000000"/>
                <w:sz w:val="20"/>
                <w:szCs w:val="20"/>
                <w:lang w:val="es-ES" w:eastAsia="es-ES"/>
              </w:rPr>
              <w:t>362</w:t>
            </w:r>
          </w:p>
        </w:tc>
      </w:tr>
      <w:tr w:rsidR="00252867" w:rsidRPr="001317C1" w:rsidTr="005B4E5F">
        <w:trPr>
          <w:trHeight w:val="300"/>
          <w:jc w:val="center"/>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252867" w:rsidRPr="001317C1" w:rsidRDefault="00252867" w:rsidP="005B4E5F">
            <w:pPr>
              <w:rPr>
                <w:rFonts w:eastAsia="Times New Roman"/>
                <w:color w:val="000000"/>
                <w:sz w:val="20"/>
                <w:szCs w:val="20"/>
                <w:lang w:val="es-ES" w:eastAsia="es-ES"/>
              </w:rPr>
            </w:pPr>
            <w:r w:rsidRPr="001317C1">
              <w:rPr>
                <w:rFonts w:eastAsia="Times New Roman"/>
                <w:color w:val="000000"/>
                <w:sz w:val="20"/>
                <w:szCs w:val="20"/>
                <w:lang w:val="es-ES" w:eastAsia="es-ES"/>
              </w:rPr>
              <w:t>TOTAL</w:t>
            </w:r>
          </w:p>
        </w:tc>
        <w:tc>
          <w:tcPr>
            <w:tcW w:w="2440" w:type="dxa"/>
            <w:tcBorders>
              <w:top w:val="nil"/>
              <w:left w:val="nil"/>
              <w:bottom w:val="single" w:sz="4" w:space="0" w:color="auto"/>
              <w:right w:val="single" w:sz="4" w:space="0" w:color="auto"/>
            </w:tcBorders>
            <w:shd w:val="clear" w:color="auto" w:fill="auto"/>
            <w:noWrap/>
            <w:vAlign w:val="bottom"/>
            <w:hideMark/>
          </w:tcPr>
          <w:p w:rsidR="00252867" w:rsidRPr="001317C1" w:rsidRDefault="00252867" w:rsidP="005B4E5F">
            <w:pPr>
              <w:jc w:val="center"/>
              <w:rPr>
                <w:rFonts w:eastAsia="Times New Roman"/>
                <w:color w:val="000000"/>
                <w:sz w:val="20"/>
                <w:szCs w:val="20"/>
                <w:lang w:val="es-ES" w:eastAsia="es-ES"/>
              </w:rPr>
            </w:pPr>
            <w:r w:rsidRPr="001317C1">
              <w:rPr>
                <w:rFonts w:eastAsia="Times New Roman"/>
                <w:color w:val="000000"/>
                <w:sz w:val="20"/>
                <w:szCs w:val="20"/>
                <w:lang w:val="es-ES" w:eastAsia="es-ES"/>
              </w:rPr>
              <w:t>361</w:t>
            </w:r>
          </w:p>
        </w:tc>
        <w:tc>
          <w:tcPr>
            <w:tcW w:w="2020" w:type="dxa"/>
            <w:tcBorders>
              <w:top w:val="nil"/>
              <w:left w:val="nil"/>
              <w:bottom w:val="single" w:sz="4" w:space="0" w:color="auto"/>
              <w:right w:val="single" w:sz="4" w:space="0" w:color="auto"/>
            </w:tcBorders>
            <w:shd w:val="clear" w:color="auto" w:fill="auto"/>
            <w:noWrap/>
            <w:vAlign w:val="bottom"/>
            <w:hideMark/>
          </w:tcPr>
          <w:p w:rsidR="00252867" w:rsidRPr="001317C1" w:rsidRDefault="00252867" w:rsidP="005B4E5F">
            <w:pPr>
              <w:jc w:val="center"/>
              <w:rPr>
                <w:rFonts w:eastAsia="Times New Roman"/>
                <w:color w:val="000000"/>
                <w:sz w:val="20"/>
                <w:szCs w:val="20"/>
                <w:lang w:val="es-ES" w:eastAsia="es-ES"/>
              </w:rPr>
            </w:pPr>
            <w:r w:rsidRPr="001317C1">
              <w:rPr>
                <w:rFonts w:eastAsia="Times New Roman"/>
                <w:color w:val="000000"/>
                <w:sz w:val="20"/>
                <w:szCs w:val="20"/>
                <w:lang w:val="es-ES" w:eastAsia="es-ES"/>
              </w:rPr>
              <w:t>172</w:t>
            </w:r>
          </w:p>
        </w:tc>
        <w:tc>
          <w:tcPr>
            <w:tcW w:w="1200" w:type="dxa"/>
            <w:tcBorders>
              <w:top w:val="nil"/>
              <w:left w:val="nil"/>
              <w:bottom w:val="single" w:sz="4" w:space="0" w:color="auto"/>
              <w:right w:val="single" w:sz="4" w:space="0" w:color="auto"/>
            </w:tcBorders>
            <w:shd w:val="clear" w:color="auto" w:fill="auto"/>
            <w:noWrap/>
            <w:vAlign w:val="bottom"/>
            <w:hideMark/>
          </w:tcPr>
          <w:p w:rsidR="00252867" w:rsidRPr="001317C1" w:rsidRDefault="00252867" w:rsidP="005B4E5F">
            <w:pPr>
              <w:jc w:val="center"/>
              <w:rPr>
                <w:rFonts w:eastAsia="Times New Roman"/>
                <w:color w:val="000000"/>
                <w:sz w:val="20"/>
                <w:szCs w:val="20"/>
                <w:lang w:val="es-ES" w:eastAsia="es-ES"/>
              </w:rPr>
            </w:pPr>
            <w:r w:rsidRPr="001317C1">
              <w:rPr>
                <w:rFonts w:eastAsia="Times New Roman"/>
                <w:color w:val="000000"/>
                <w:sz w:val="20"/>
                <w:szCs w:val="20"/>
                <w:lang w:val="es-ES" w:eastAsia="es-ES"/>
              </w:rPr>
              <w:t>533</w:t>
            </w:r>
          </w:p>
        </w:tc>
      </w:tr>
    </w:tbl>
    <w:p w:rsidR="00252867" w:rsidRPr="00740CEA" w:rsidRDefault="00252867" w:rsidP="00252867">
      <w:pPr>
        <w:pStyle w:val="Default"/>
        <w:rPr>
          <w:rFonts w:ascii="Century Gothic" w:hAnsi="Century Gothic"/>
          <w:sz w:val="16"/>
          <w:szCs w:val="16"/>
        </w:rPr>
      </w:pPr>
      <w:r>
        <w:rPr>
          <w:rFonts w:ascii="Century Gothic" w:hAnsi="Century Gothic"/>
          <w:sz w:val="16"/>
          <w:szCs w:val="16"/>
        </w:rPr>
        <w:t xml:space="preserve">         Fuente: I</w:t>
      </w:r>
      <w:r w:rsidRPr="00740CEA">
        <w:rPr>
          <w:rFonts w:ascii="Century Gothic" w:hAnsi="Century Gothic"/>
          <w:sz w:val="16"/>
          <w:szCs w:val="16"/>
        </w:rPr>
        <w:t>nformes mensuales de proveedores de Hospitales.</w:t>
      </w:r>
    </w:p>
    <w:p w:rsidR="00252867" w:rsidRDefault="00252867" w:rsidP="00252867">
      <w:pPr>
        <w:jc w:val="center"/>
        <w:rPr>
          <w:rFonts w:ascii="Century Gothic" w:hAnsi="Century Gothic"/>
        </w:rPr>
      </w:pPr>
    </w:p>
    <w:p w:rsidR="00252867" w:rsidRDefault="00252867" w:rsidP="00252867">
      <w:pPr>
        <w:jc w:val="center"/>
        <w:rPr>
          <w:rFonts w:ascii="Century Gothic" w:hAnsi="Century Gothic"/>
        </w:rPr>
      </w:pPr>
    </w:p>
    <w:p w:rsidR="00252867" w:rsidRDefault="00252867" w:rsidP="00252867">
      <w:pPr>
        <w:jc w:val="center"/>
        <w:rPr>
          <w:rFonts w:ascii="Century Gothic" w:hAnsi="Century Gothic"/>
          <w:b/>
        </w:rPr>
      </w:pPr>
    </w:p>
    <w:p w:rsidR="00252867" w:rsidRDefault="00252867" w:rsidP="00252867">
      <w:pPr>
        <w:jc w:val="center"/>
        <w:rPr>
          <w:rFonts w:ascii="Century Gothic" w:hAnsi="Century Gothic"/>
          <w:b/>
        </w:rPr>
      </w:pPr>
    </w:p>
    <w:p w:rsidR="00252867" w:rsidRPr="002A2F8C" w:rsidRDefault="00252867" w:rsidP="00252867">
      <w:pPr>
        <w:jc w:val="center"/>
        <w:rPr>
          <w:rFonts w:ascii="Century Gothic" w:hAnsi="Century Gothic"/>
          <w:b/>
        </w:rPr>
      </w:pPr>
      <w:r w:rsidRPr="002A2F8C">
        <w:rPr>
          <w:rFonts w:ascii="Century Gothic" w:hAnsi="Century Gothic"/>
          <w:b/>
        </w:rPr>
        <w:t>Atención de Usuarios con insuficiencia Renal:</w:t>
      </w:r>
    </w:p>
    <w:p w:rsidR="00252867" w:rsidRDefault="00252867" w:rsidP="00252867">
      <w:pPr>
        <w:jc w:val="center"/>
        <w:rPr>
          <w:rFonts w:ascii="Century Gothic" w:hAnsi="Century Gothic"/>
          <w:sz w:val="12"/>
          <w:szCs w:val="12"/>
        </w:rPr>
      </w:pPr>
    </w:p>
    <w:tbl>
      <w:tblPr>
        <w:tblStyle w:val="Tablaconcuadrcula"/>
        <w:tblW w:w="0" w:type="auto"/>
        <w:tblLook w:val="04A0" w:firstRow="1" w:lastRow="0" w:firstColumn="1" w:lastColumn="0" w:noHBand="0" w:noVBand="1"/>
      </w:tblPr>
      <w:tblGrid>
        <w:gridCol w:w="2124"/>
        <w:gridCol w:w="1504"/>
        <w:gridCol w:w="1786"/>
        <w:gridCol w:w="1617"/>
        <w:gridCol w:w="1801"/>
      </w:tblGrid>
      <w:tr w:rsidR="00252867" w:rsidRPr="00A90A43" w:rsidTr="005B4E5F">
        <w:trPr>
          <w:trHeight w:val="720"/>
        </w:trPr>
        <w:tc>
          <w:tcPr>
            <w:tcW w:w="2124" w:type="dxa"/>
            <w:noWrap/>
            <w:vAlign w:val="center"/>
            <w:hideMark/>
          </w:tcPr>
          <w:p w:rsidR="00252867" w:rsidRPr="00A90A43" w:rsidRDefault="00252867" w:rsidP="005B4E5F">
            <w:pPr>
              <w:jc w:val="center"/>
              <w:rPr>
                <w:rFonts w:ascii="Century Gothic" w:hAnsi="Century Gothic"/>
                <w:b/>
                <w:bCs/>
                <w:sz w:val="14"/>
                <w:szCs w:val="14"/>
              </w:rPr>
            </w:pPr>
            <w:r w:rsidRPr="00A90A43">
              <w:rPr>
                <w:rFonts w:ascii="Century Gothic" w:hAnsi="Century Gothic"/>
                <w:b/>
                <w:bCs/>
                <w:sz w:val="14"/>
                <w:szCs w:val="14"/>
              </w:rPr>
              <w:t>CENTRO DE ATENCIÓN</w:t>
            </w:r>
          </w:p>
        </w:tc>
        <w:tc>
          <w:tcPr>
            <w:tcW w:w="1504" w:type="dxa"/>
            <w:noWrap/>
            <w:vAlign w:val="center"/>
            <w:hideMark/>
          </w:tcPr>
          <w:p w:rsidR="00252867" w:rsidRPr="00A90A43" w:rsidRDefault="00252867" w:rsidP="005B4E5F">
            <w:pPr>
              <w:jc w:val="center"/>
              <w:rPr>
                <w:rFonts w:ascii="Century Gothic" w:hAnsi="Century Gothic"/>
                <w:sz w:val="14"/>
                <w:szCs w:val="14"/>
              </w:rPr>
            </w:pPr>
          </w:p>
          <w:p w:rsidR="00252867" w:rsidRPr="00A90A43" w:rsidRDefault="00252867" w:rsidP="005B4E5F">
            <w:pPr>
              <w:jc w:val="center"/>
              <w:rPr>
                <w:rFonts w:ascii="Century Gothic" w:hAnsi="Century Gothic"/>
                <w:b/>
                <w:sz w:val="14"/>
                <w:szCs w:val="14"/>
              </w:rPr>
            </w:pPr>
            <w:r w:rsidRPr="00A90A43">
              <w:rPr>
                <w:rFonts w:ascii="Century Gothic" w:hAnsi="Century Gothic"/>
                <w:b/>
                <w:sz w:val="14"/>
                <w:szCs w:val="14"/>
              </w:rPr>
              <w:t>MUNICIPIO</w:t>
            </w:r>
          </w:p>
        </w:tc>
        <w:tc>
          <w:tcPr>
            <w:tcW w:w="1786" w:type="dxa"/>
            <w:vAlign w:val="center"/>
            <w:hideMark/>
          </w:tcPr>
          <w:p w:rsidR="00252867" w:rsidRPr="00A90A43" w:rsidRDefault="00252867" w:rsidP="005B4E5F">
            <w:pPr>
              <w:jc w:val="center"/>
              <w:rPr>
                <w:rFonts w:ascii="Century Gothic" w:hAnsi="Century Gothic"/>
                <w:b/>
                <w:bCs/>
                <w:sz w:val="14"/>
                <w:szCs w:val="14"/>
              </w:rPr>
            </w:pPr>
            <w:r w:rsidRPr="00A90A43">
              <w:rPr>
                <w:rFonts w:ascii="Century Gothic" w:hAnsi="Century Gothic"/>
                <w:b/>
                <w:bCs/>
                <w:sz w:val="14"/>
                <w:szCs w:val="14"/>
              </w:rPr>
              <w:t>NÚMERO DE PACIENTES HEMODIÁLISIS 2015</w:t>
            </w:r>
          </w:p>
        </w:tc>
        <w:tc>
          <w:tcPr>
            <w:tcW w:w="1617" w:type="dxa"/>
            <w:vAlign w:val="center"/>
            <w:hideMark/>
          </w:tcPr>
          <w:p w:rsidR="00252867" w:rsidRPr="00A90A43" w:rsidRDefault="00252867" w:rsidP="005B4E5F">
            <w:pPr>
              <w:jc w:val="center"/>
              <w:rPr>
                <w:rFonts w:ascii="Century Gothic" w:hAnsi="Century Gothic"/>
                <w:b/>
                <w:bCs/>
                <w:sz w:val="14"/>
                <w:szCs w:val="14"/>
              </w:rPr>
            </w:pPr>
            <w:r w:rsidRPr="00A90A43">
              <w:rPr>
                <w:rFonts w:ascii="Century Gothic" w:hAnsi="Century Gothic"/>
                <w:b/>
                <w:bCs/>
                <w:sz w:val="14"/>
                <w:szCs w:val="14"/>
              </w:rPr>
              <w:t>NÚMERO DE PACIENTES HEMODIÁLISIS 2016</w:t>
            </w:r>
          </w:p>
        </w:tc>
        <w:tc>
          <w:tcPr>
            <w:tcW w:w="1801" w:type="dxa"/>
            <w:vAlign w:val="center"/>
            <w:hideMark/>
          </w:tcPr>
          <w:p w:rsidR="00252867" w:rsidRPr="00A90A43" w:rsidRDefault="00252867" w:rsidP="005B4E5F">
            <w:pPr>
              <w:jc w:val="center"/>
              <w:rPr>
                <w:rFonts w:ascii="Century Gothic" w:hAnsi="Century Gothic"/>
                <w:b/>
                <w:bCs/>
                <w:sz w:val="14"/>
                <w:szCs w:val="14"/>
              </w:rPr>
            </w:pPr>
            <w:r w:rsidRPr="00A90A43">
              <w:rPr>
                <w:rFonts w:ascii="Century Gothic" w:hAnsi="Century Gothic"/>
                <w:b/>
                <w:bCs/>
                <w:sz w:val="14"/>
                <w:szCs w:val="14"/>
              </w:rPr>
              <w:t>NÚMERO DE PACIENTES HEMODIÁLISIS A JUNIO 2017</w:t>
            </w:r>
          </w:p>
        </w:tc>
      </w:tr>
      <w:tr w:rsidR="00252867" w:rsidRPr="00A90A43" w:rsidTr="005B4E5F">
        <w:trPr>
          <w:trHeight w:val="315"/>
        </w:trPr>
        <w:tc>
          <w:tcPr>
            <w:tcW w:w="2124" w:type="dxa"/>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CLÍNICA PRIVADA</w:t>
            </w:r>
          </w:p>
        </w:tc>
        <w:tc>
          <w:tcPr>
            <w:tcW w:w="1504" w:type="dxa"/>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SAN SALVADOR</w:t>
            </w:r>
          </w:p>
        </w:tc>
        <w:tc>
          <w:tcPr>
            <w:tcW w:w="1786"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30</w:t>
            </w:r>
          </w:p>
        </w:tc>
        <w:tc>
          <w:tcPr>
            <w:tcW w:w="1617"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48</w:t>
            </w:r>
          </w:p>
        </w:tc>
        <w:tc>
          <w:tcPr>
            <w:tcW w:w="1801"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52</w:t>
            </w:r>
          </w:p>
        </w:tc>
      </w:tr>
      <w:tr w:rsidR="00252867" w:rsidRPr="00A90A43" w:rsidTr="005B4E5F">
        <w:trPr>
          <w:trHeight w:val="315"/>
        </w:trPr>
        <w:tc>
          <w:tcPr>
            <w:tcW w:w="2124"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HOSPITAL ROSALES</w:t>
            </w:r>
          </w:p>
        </w:tc>
        <w:tc>
          <w:tcPr>
            <w:tcW w:w="1504"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SAN SALVADOR</w:t>
            </w:r>
          </w:p>
        </w:tc>
        <w:tc>
          <w:tcPr>
            <w:tcW w:w="1786"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20</w:t>
            </w:r>
          </w:p>
        </w:tc>
        <w:tc>
          <w:tcPr>
            <w:tcW w:w="1617"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0</w:t>
            </w:r>
          </w:p>
        </w:tc>
        <w:tc>
          <w:tcPr>
            <w:tcW w:w="1801"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0</w:t>
            </w:r>
          </w:p>
        </w:tc>
      </w:tr>
      <w:tr w:rsidR="00252867" w:rsidRPr="00A90A43" w:rsidTr="005B4E5F">
        <w:trPr>
          <w:trHeight w:val="315"/>
        </w:trPr>
        <w:tc>
          <w:tcPr>
            <w:tcW w:w="2124"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 xml:space="preserve">HOSPITAL GUADALUPANO </w:t>
            </w:r>
          </w:p>
        </w:tc>
        <w:tc>
          <w:tcPr>
            <w:tcW w:w="1504"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COJUTEPEQUE</w:t>
            </w:r>
          </w:p>
        </w:tc>
        <w:tc>
          <w:tcPr>
            <w:tcW w:w="1786"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6</w:t>
            </w:r>
          </w:p>
        </w:tc>
        <w:tc>
          <w:tcPr>
            <w:tcW w:w="1617"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6</w:t>
            </w:r>
          </w:p>
        </w:tc>
        <w:tc>
          <w:tcPr>
            <w:tcW w:w="1801"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9</w:t>
            </w:r>
          </w:p>
        </w:tc>
      </w:tr>
      <w:tr w:rsidR="00252867" w:rsidRPr="00A90A43" w:rsidTr="005B4E5F">
        <w:trPr>
          <w:trHeight w:val="315"/>
        </w:trPr>
        <w:tc>
          <w:tcPr>
            <w:tcW w:w="2124" w:type="dxa"/>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 xml:space="preserve">HOSPITAL SAN JUAN DIOS   </w:t>
            </w:r>
          </w:p>
        </w:tc>
        <w:tc>
          <w:tcPr>
            <w:tcW w:w="1504" w:type="dxa"/>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SANTA ANA</w:t>
            </w:r>
          </w:p>
        </w:tc>
        <w:tc>
          <w:tcPr>
            <w:tcW w:w="1786"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6</w:t>
            </w:r>
          </w:p>
        </w:tc>
        <w:tc>
          <w:tcPr>
            <w:tcW w:w="1617"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4</w:t>
            </w:r>
          </w:p>
        </w:tc>
        <w:tc>
          <w:tcPr>
            <w:tcW w:w="1801"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5</w:t>
            </w:r>
          </w:p>
        </w:tc>
      </w:tr>
      <w:tr w:rsidR="00252867" w:rsidRPr="00A90A43" w:rsidTr="005B4E5F">
        <w:trPr>
          <w:trHeight w:val="315"/>
        </w:trPr>
        <w:tc>
          <w:tcPr>
            <w:tcW w:w="2124" w:type="dxa"/>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 xml:space="preserve">CLÍNICA PRIVADA </w:t>
            </w:r>
          </w:p>
        </w:tc>
        <w:tc>
          <w:tcPr>
            <w:tcW w:w="1504" w:type="dxa"/>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SANTA ANA</w:t>
            </w:r>
          </w:p>
        </w:tc>
        <w:tc>
          <w:tcPr>
            <w:tcW w:w="1786"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6</w:t>
            </w:r>
          </w:p>
        </w:tc>
        <w:tc>
          <w:tcPr>
            <w:tcW w:w="1617"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13</w:t>
            </w:r>
          </w:p>
        </w:tc>
        <w:tc>
          <w:tcPr>
            <w:tcW w:w="1801"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9</w:t>
            </w:r>
          </w:p>
        </w:tc>
      </w:tr>
      <w:tr w:rsidR="00252867" w:rsidRPr="00A90A43" w:rsidTr="005B4E5F">
        <w:trPr>
          <w:trHeight w:val="315"/>
        </w:trPr>
        <w:tc>
          <w:tcPr>
            <w:tcW w:w="2124"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CLÍNICA PRIVADA</w:t>
            </w:r>
          </w:p>
        </w:tc>
        <w:tc>
          <w:tcPr>
            <w:tcW w:w="1504"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 xml:space="preserve">SAN MIGUEL </w:t>
            </w:r>
          </w:p>
        </w:tc>
        <w:tc>
          <w:tcPr>
            <w:tcW w:w="1786"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10</w:t>
            </w:r>
          </w:p>
        </w:tc>
        <w:tc>
          <w:tcPr>
            <w:tcW w:w="1617"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6</w:t>
            </w:r>
          </w:p>
        </w:tc>
        <w:tc>
          <w:tcPr>
            <w:tcW w:w="1801"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11</w:t>
            </w:r>
          </w:p>
        </w:tc>
      </w:tr>
      <w:tr w:rsidR="00252867" w:rsidRPr="00A90A43" w:rsidTr="005B4E5F">
        <w:trPr>
          <w:trHeight w:val="315"/>
        </w:trPr>
        <w:tc>
          <w:tcPr>
            <w:tcW w:w="2124"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 xml:space="preserve">HOSPITAL SAN JUAN DIOS   </w:t>
            </w:r>
          </w:p>
        </w:tc>
        <w:tc>
          <w:tcPr>
            <w:tcW w:w="1504"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 xml:space="preserve">SAN MIGUEL </w:t>
            </w:r>
          </w:p>
        </w:tc>
        <w:tc>
          <w:tcPr>
            <w:tcW w:w="1786"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12</w:t>
            </w:r>
          </w:p>
        </w:tc>
        <w:tc>
          <w:tcPr>
            <w:tcW w:w="1617"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17</w:t>
            </w:r>
          </w:p>
        </w:tc>
        <w:tc>
          <w:tcPr>
            <w:tcW w:w="1801"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10</w:t>
            </w:r>
          </w:p>
        </w:tc>
      </w:tr>
      <w:tr w:rsidR="00252867" w:rsidRPr="00A90A43" w:rsidTr="005B4E5F">
        <w:trPr>
          <w:trHeight w:val="315"/>
        </w:trPr>
        <w:tc>
          <w:tcPr>
            <w:tcW w:w="2124"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HOSPITAL BLOOM</w:t>
            </w:r>
          </w:p>
        </w:tc>
        <w:tc>
          <w:tcPr>
            <w:tcW w:w="1504"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SAN SALVADOR</w:t>
            </w:r>
          </w:p>
        </w:tc>
        <w:tc>
          <w:tcPr>
            <w:tcW w:w="1786"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0</w:t>
            </w:r>
          </w:p>
        </w:tc>
        <w:tc>
          <w:tcPr>
            <w:tcW w:w="1617"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1</w:t>
            </w:r>
          </w:p>
        </w:tc>
        <w:tc>
          <w:tcPr>
            <w:tcW w:w="1801" w:type="dxa"/>
            <w:noWrap/>
            <w:vAlign w:val="center"/>
            <w:hideMark/>
          </w:tcPr>
          <w:p w:rsidR="00252867" w:rsidRPr="00A90A43" w:rsidRDefault="00252867" w:rsidP="005B4E5F">
            <w:pPr>
              <w:jc w:val="center"/>
              <w:rPr>
                <w:rFonts w:ascii="Century Gothic" w:hAnsi="Century Gothic"/>
                <w:sz w:val="14"/>
                <w:szCs w:val="14"/>
              </w:rPr>
            </w:pPr>
            <w:r w:rsidRPr="00A90A43">
              <w:rPr>
                <w:rFonts w:ascii="Century Gothic" w:hAnsi="Century Gothic"/>
                <w:sz w:val="14"/>
                <w:szCs w:val="14"/>
              </w:rPr>
              <w:t>1</w:t>
            </w:r>
          </w:p>
        </w:tc>
      </w:tr>
      <w:tr w:rsidR="00252867" w:rsidRPr="00A90A43" w:rsidTr="005B4E5F">
        <w:trPr>
          <w:trHeight w:val="315"/>
        </w:trPr>
        <w:tc>
          <w:tcPr>
            <w:tcW w:w="2124" w:type="dxa"/>
            <w:noWrap/>
            <w:vAlign w:val="center"/>
            <w:hideMark/>
          </w:tcPr>
          <w:p w:rsidR="00252867" w:rsidRPr="00A90A43" w:rsidRDefault="00252867" w:rsidP="005B4E5F">
            <w:pPr>
              <w:jc w:val="center"/>
              <w:rPr>
                <w:rFonts w:ascii="Century Gothic" w:hAnsi="Century Gothic"/>
                <w:b/>
                <w:bCs/>
                <w:sz w:val="14"/>
                <w:szCs w:val="14"/>
              </w:rPr>
            </w:pPr>
            <w:r w:rsidRPr="00A90A43">
              <w:rPr>
                <w:rFonts w:ascii="Century Gothic" w:hAnsi="Century Gothic"/>
                <w:b/>
                <w:bCs/>
                <w:sz w:val="14"/>
                <w:szCs w:val="14"/>
              </w:rPr>
              <w:t>TOTAL A NIVEL NACIONAL</w:t>
            </w:r>
          </w:p>
        </w:tc>
        <w:tc>
          <w:tcPr>
            <w:tcW w:w="1504" w:type="dxa"/>
            <w:noWrap/>
            <w:vAlign w:val="center"/>
            <w:hideMark/>
          </w:tcPr>
          <w:p w:rsidR="00252867" w:rsidRPr="00A90A43" w:rsidRDefault="00252867" w:rsidP="005B4E5F">
            <w:pPr>
              <w:jc w:val="center"/>
              <w:rPr>
                <w:rFonts w:ascii="Century Gothic" w:hAnsi="Century Gothic"/>
                <w:b/>
                <w:bCs/>
                <w:sz w:val="14"/>
                <w:szCs w:val="14"/>
              </w:rPr>
            </w:pPr>
            <w:r w:rsidRPr="00A90A43">
              <w:rPr>
                <w:rFonts w:ascii="Century Gothic" w:hAnsi="Century Gothic"/>
                <w:b/>
                <w:bCs/>
                <w:sz w:val="14"/>
                <w:szCs w:val="14"/>
              </w:rPr>
              <w:t> </w:t>
            </w:r>
          </w:p>
        </w:tc>
        <w:tc>
          <w:tcPr>
            <w:tcW w:w="1786" w:type="dxa"/>
            <w:noWrap/>
            <w:vAlign w:val="center"/>
            <w:hideMark/>
          </w:tcPr>
          <w:p w:rsidR="00252867" w:rsidRPr="00A90A43" w:rsidRDefault="00252867" w:rsidP="005B4E5F">
            <w:pPr>
              <w:jc w:val="center"/>
              <w:rPr>
                <w:rFonts w:ascii="Century Gothic" w:hAnsi="Century Gothic"/>
                <w:b/>
                <w:bCs/>
                <w:sz w:val="14"/>
                <w:szCs w:val="14"/>
              </w:rPr>
            </w:pPr>
            <w:r w:rsidRPr="00A90A43">
              <w:rPr>
                <w:rFonts w:ascii="Century Gothic" w:hAnsi="Century Gothic"/>
                <w:b/>
                <w:bCs/>
                <w:sz w:val="14"/>
                <w:szCs w:val="14"/>
              </w:rPr>
              <w:t>90</w:t>
            </w:r>
          </w:p>
        </w:tc>
        <w:tc>
          <w:tcPr>
            <w:tcW w:w="1617" w:type="dxa"/>
            <w:noWrap/>
            <w:vAlign w:val="center"/>
            <w:hideMark/>
          </w:tcPr>
          <w:p w:rsidR="00252867" w:rsidRPr="00A90A43" w:rsidRDefault="00252867" w:rsidP="005B4E5F">
            <w:pPr>
              <w:jc w:val="center"/>
              <w:rPr>
                <w:rFonts w:ascii="Century Gothic" w:hAnsi="Century Gothic"/>
                <w:b/>
                <w:bCs/>
                <w:sz w:val="14"/>
                <w:szCs w:val="14"/>
              </w:rPr>
            </w:pPr>
            <w:r w:rsidRPr="00A90A43">
              <w:rPr>
                <w:rFonts w:ascii="Century Gothic" w:hAnsi="Century Gothic"/>
                <w:b/>
                <w:bCs/>
                <w:sz w:val="14"/>
                <w:szCs w:val="14"/>
              </w:rPr>
              <w:t>95</w:t>
            </w:r>
          </w:p>
        </w:tc>
        <w:tc>
          <w:tcPr>
            <w:tcW w:w="1801" w:type="dxa"/>
            <w:noWrap/>
            <w:vAlign w:val="center"/>
            <w:hideMark/>
          </w:tcPr>
          <w:p w:rsidR="00252867" w:rsidRPr="00A90A43" w:rsidRDefault="00252867" w:rsidP="005B4E5F">
            <w:pPr>
              <w:jc w:val="center"/>
              <w:rPr>
                <w:rFonts w:ascii="Century Gothic" w:hAnsi="Century Gothic"/>
                <w:b/>
                <w:bCs/>
                <w:sz w:val="14"/>
                <w:szCs w:val="14"/>
              </w:rPr>
            </w:pPr>
            <w:r w:rsidRPr="00A90A43">
              <w:rPr>
                <w:rFonts w:ascii="Century Gothic" w:hAnsi="Century Gothic"/>
                <w:b/>
                <w:bCs/>
                <w:sz w:val="14"/>
                <w:szCs w:val="14"/>
              </w:rPr>
              <w:t>97</w:t>
            </w:r>
          </w:p>
        </w:tc>
      </w:tr>
    </w:tbl>
    <w:p w:rsidR="00252867" w:rsidRDefault="00252867" w:rsidP="00252867">
      <w:pPr>
        <w:rPr>
          <w:rFonts w:ascii="Century Gothic" w:hAnsi="Century Gothic"/>
          <w:sz w:val="12"/>
          <w:szCs w:val="12"/>
        </w:rPr>
      </w:pPr>
      <w:r>
        <w:rPr>
          <w:rFonts w:ascii="Century Gothic" w:hAnsi="Century Gothic"/>
          <w:sz w:val="16"/>
          <w:szCs w:val="16"/>
        </w:rPr>
        <w:t>Fuente: I</w:t>
      </w:r>
      <w:r w:rsidRPr="00740CEA">
        <w:rPr>
          <w:rFonts w:ascii="Century Gothic" w:hAnsi="Century Gothic"/>
          <w:sz w:val="16"/>
          <w:szCs w:val="16"/>
        </w:rPr>
        <w:t>nformes mensuales de proveedores</w:t>
      </w:r>
    </w:p>
    <w:p w:rsidR="00252867" w:rsidRDefault="00252867" w:rsidP="00252867">
      <w:pPr>
        <w:jc w:val="both"/>
        <w:rPr>
          <w:rFonts w:ascii="Century Gothic" w:hAnsi="Century Gothic"/>
        </w:rPr>
      </w:pPr>
    </w:p>
    <w:p w:rsidR="00583792" w:rsidRDefault="00583792" w:rsidP="00252867">
      <w:pPr>
        <w:jc w:val="both"/>
        <w:rPr>
          <w:rFonts w:ascii="Century Gothic" w:hAnsi="Century Gothic"/>
        </w:rPr>
      </w:pPr>
    </w:p>
    <w:p w:rsidR="00252867" w:rsidRPr="000F5D60" w:rsidRDefault="00252867" w:rsidP="00252867">
      <w:pPr>
        <w:pStyle w:val="Ttulo5"/>
        <w:numPr>
          <w:ilvl w:val="4"/>
          <w:numId w:val="14"/>
        </w:numPr>
        <w:spacing w:after="120"/>
        <w:ind w:left="851"/>
        <w:rPr>
          <w:b/>
        </w:rPr>
      </w:pPr>
      <w:bookmarkStart w:id="36" w:name="_Toc467228656"/>
      <w:bookmarkStart w:id="37" w:name="_Toc491684905"/>
      <w:r w:rsidRPr="000F5D60">
        <w:rPr>
          <w:b/>
        </w:rPr>
        <w:t>Proyecto educación del cerebro.</w:t>
      </w:r>
      <w:bookmarkEnd w:id="36"/>
      <w:bookmarkEnd w:id="37"/>
    </w:p>
    <w:p w:rsidR="00252867" w:rsidRDefault="00252867" w:rsidP="00252867">
      <w:pPr>
        <w:pStyle w:val="Default"/>
        <w:jc w:val="both"/>
        <w:rPr>
          <w:rFonts w:ascii="Century Gothic" w:hAnsi="Century Gothic"/>
          <w:color w:val="auto"/>
          <w:sz w:val="16"/>
          <w:szCs w:val="16"/>
        </w:rPr>
      </w:pPr>
    </w:p>
    <w:p w:rsidR="00252867" w:rsidRPr="00CB29EF" w:rsidRDefault="00252867" w:rsidP="002D7B12">
      <w:pPr>
        <w:pStyle w:val="Default"/>
        <w:spacing w:before="200" w:line="276" w:lineRule="auto"/>
        <w:jc w:val="both"/>
        <w:rPr>
          <w:rFonts w:ascii="Century Gothic" w:hAnsi="Century Gothic" w:cs="Times New Roman"/>
          <w:color w:val="auto"/>
          <w:sz w:val="22"/>
          <w:szCs w:val="22"/>
        </w:rPr>
      </w:pPr>
      <w:r w:rsidRPr="00CB29EF">
        <w:rPr>
          <w:rFonts w:ascii="Century Gothic" w:hAnsi="Century Gothic" w:cs="Times New Roman"/>
          <w:color w:val="auto"/>
          <w:sz w:val="22"/>
          <w:szCs w:val="22"/>
        </w:rPr>
        <w:t>Desde la implementación del programa, se han certificado un total de 4,500 personas entre servidores públicos docentes y personal del ISBM, demostrando ser exitoso porque proporcionó a los participantes conocimientos teóricos y prácticos como medidas preventivas, curativas o terapéuticas, para obtener el equilibrio y bienestar emocional propio. Asimismo, fueron capacitados como facilitadores para enseñarlo a otros, como una actividad relacionada con el cuidado de la salud mental que forma parte de la cobertura integral de salud a cargo del Instituto, ante los fenómenos sociales, económicos y delincuenciales que enfrenta actualmente en mayor envergadura la sociedad salvadoreña.</w:t>
      </w:r>
    </w:p>
    <w:p w:rsidR="002D21CA" w:rsidRPr="00CB29EF" w:rsidRDefault="00252867" w:rsidP="002D21CA">
      <w:pPr>
        <w:pStyle w:val="Default"/>
        <w:spacing w:before="200" w:line="276" w:lineRule="auto"/>
        <w:jc w:val="both"/>
        <w:rPr>
          <w:rFonts w:ascii="Century Gothic" w:hAnsi="Century Gothic" w:cs="Times New Roman"/>
          <w:color w:val="auto"/>
          <w:sz w:val="22"/>
          <w:szCs w:val="22"/>
        </w:rPr>
      </w:pPr>
      <w:r w:rsidRPr="00CB29EF">
        <w:rPr>
          <w:rFonts w:ascii="Century Gothic" w:hAnsi="Century Gothic" w:cs="Times New Roman"/>
          <w:color w:val="auto"/>
          <w:sz w:val="22"/>
          <w:szCs w:val="22"/>
        </w:rPr>
        <w:t>Durante el año 201</w:t>
      </w:r>
      <w:r w:rsidR="00583792" w:rsidRPr="00CB29EF">
        <w:rPr>
          <w:rFonts w:ascii="Century Gothic" w:hAnsi="Century Gothic" w:cs="Times New Roman"/>
          <w:color w:val="auto"/>
          <w:sz w:val="22"/>
          <w:szCs w:val="22"/>
        </w:rPr>
        <w:t>6</w:t>
      </w:r>
      <w:r w:rsidRPr="00CB29EF">
        <w:rPr>
          <w:rFonts w:ascii="Century Gothic" w:hAnsi="Century Gothic" w:cs="Times New Roman"/>
          <w:color w:val="auto"/>
          <w:sz w:val="22"/>
          <w:szCs w:val="22"/>
        </w:rPr>
        <w:t>, el ISBM continuó el pr</w:t>
      </w:r>
      <w:r w:rsidR="002D21CA" w:rsidRPr="00CB29EF">
        <w:rPr>
          <w:rFonts w:ascii="Century Gothic" w:hAnsi="Century Gothic" w:cs="Times New Roman"/>
          <w:color w:val="auto"/>
          <w:sz w:val="22"/>
          <w:szCs w:val="22"/>
        </w:rPr>
        <w:t>ograma</w:t>
      </w:r>
      <w:r w:rsidRPr="00CB29EF">
        <w:rPr>
          <w:rFonts w:ascii="Century Gothic" w:hAnsi="Century Gothic" w:cs="Times New Roman"/>
          <w:color w:val="auto"/>
          <w:sz w:val="22"/>
          <w:szCs w:val="22"/>
        </w:rPr>
        <w:t xml:space="preserve"> de </w:t>
      </w:r>
      <w:r w:rsidR="002D21CA" w:rsidRPr="00CB29EF">
        <w:rPr>
          <w:rFonts w:ascii="Century Gothic" w:hAnsi="Century Gothic" w:cs="Times New Roman"/>
          <w:color w:val="auto"/>
          <w:sz w:val="22"/>
          <w:szCs w:val="22"/>
        </w:rPr>
        <w:t>“</w:t>
      </w:r>
      <w:r w:rsidRPr="00CB29EF">
        <w:rPr>
          <w:rFonts w:ascii="Century Gothic" w:hAnsi="Century Gothic" w:cs="Times New Roman"/>
          <w:color w:val="auto"/>
          <w:sz w:val="22"/>
          <w:szCs w:val="22"/>
        </w:rPr>
        <w:t>Educación del Cerebro</w:t>
      </w:r>
      <w:r w:rsidR="002D21CA" w:rsidRPr="00CB29EF">
        <w:rPr>
          <w:rFonts w:ascii="Century Gothic" w:hAnsi="Century Gothic" w:cs="Times New Roman"/>
          <w:color w:val="auto"/>
          <w:sz w:val="22"/>
          <w:szCs w:val="22"/>
        </w:rPr>
        <w:t>”</w:t>
      </w:r>
      <w:r w:rsidRPr="00CB29EF">
        <w:rPr>
          <w:rFonts w:ascii="Century Gothic" w:hAnsi="Century Gothic" w:cs="Times New Roman"/>
          <w:color w:val="auto"/>
          <w:sz w:val="22"/>
          <w:szCs w:val="22"/>
        </w:rPr>
        <w:t xml:space="preserve"> impartid</w:t>
      </w:r>
      <w:r w:rsidR="00DC6844" w:rsidRPr="00CB29EF">
        <w:rPr>
          <w:rFonts w:ascii="Century Gothic" w:hAnsi="Century Gothic" w:cs="Times New Roman"/>
          <w:color w:val="auto"/>
          <w:sz w:val="22"/>
          <w:szCs w:val="22"/>
        </w:rPr>
        <w:t>o</w:t>
      </w:r>
      <w:r w:rsidRPr="00CB29EF">
        <w:rPr>
          <w:rFonts w:ascii="Century Gothic" w:hAnsi="Century Gothic" w:cs="Times New Roman"/>
          <w:color w:val="auto"/>
          <w:sz w:val="22"/>
          <w:szCs w:val="22"/>
        </w:rPr>
        <w:t xml:space="preserve"> por IBREA, por sus siglas del inglés (International Brain Educatio</w:t>
      </w:r>
      <w:r w:rsidR="00583792" w:rsidRPr="00CB29EF">
        <w:rPr>
          <w:rFonts w:ascii="Century Gothic" w:hAnsi="Century Gothic" w:cs="Times New Roman"/>
          <w:color w:val="auto"/>
          <w:sz w:val="22"/>
          <w:szCs w:val="22"/>
        </w:rPr>
        <w:t>n Association) en el marco del C</w:t>
      </w:r>
      <w:r w:rsidRPr="00CB29EF">
        <w:rPr>
          <w:rFonts w:ascii="Century Gothic" w:hAnsi="Century Gothic" w:cs="Times New Roman"/>
          <w:color w:val="auto"/>
          <w:sz w:val="22"/>
          <w:szCs w:val="22"/>
        </w:rPr>
        <w:t>onvenio</w:t>
      </w:r>
      <w:r w:rsidR="002D21CA" w:rsidRPr="00CB29EF">
        <w:rPr>
          <w:rFonts w:ascii="Century Gothic" w:hAnsi="Century Gothic" w:cs="Times New Roman"/>
          <w:color w:val="auto"/>
          <w:sz w:val="22"/>
          <w:szCs w:val="22"/>
        </w:rPr>
        <w:t xml:space="preserve"> tripartito</w:t>
      </w:r>
      <w:r w:rsidRPr="00CB29EF">
        <w:rPr>
          <w:rFonts w:ascii="Century Gothic" w:hAnsi="Century Gothic" w:cs="Times New Roman"/>
          <w:color w:val="auto"/>
          <w:sz w:val="22"/>
          <w:szCs w:val="22"/>
        </w:rPr>
        <w:t xml:space="preserve"> ISBM-MINED-IBREA</w:t>
      </w:r>
      <w:r w:rsidR="002E4436" w:rsidRPr="00CB29EF">
        <w:rPr>
          <w:rFonts w:ascii="Century Gothic" w:hAnsi="Century Gothic" w:cs="Times New Roman"/>
          <w:color w:val="auto"/>
          <w:sz w:val="22"/>
          <w:szCs w:val="22"/>
        </w:rPr>
        <w:t>. E</w:t>
      </w:r>
      <w:r w:rsidRPr="00CB29EF">
        <w:rPr>
          <w:rFonts w:ascii="Century Gothic" w:hAnsi="Century Gothic" w:cs="Times New Roman"/>
          <w:color w:val="auto"/>
          <w:sz w:val="22"/>
          <w:szCs w:val="22"/>
        </w:rPr>
        <w:t>n dicho pro</w:t>
      </w:r>
      <w:r w:rsidR="002D21CA" w:rsidRPr="00CB29EF">
        <w:rPr>
          <w:rFonts w:ascii="Century Gothic" w:hAnsi="Century Gothic" w:cs="Times New Roman"/>
          <w:color w:val="auto"/>
          <w:sz w:val="22"/>
          <w:szCs w:val="22"/>
        </w:rPr>
        <w:t>grama</w:t>
      </w:r>
      <w:r w:rsidRPr="00CB29EF">
        <w:rPr>
          <w:rFonts w:ascii="Century Gothic" w:hAnsi="Century Gothic" w:cs="Times New Roman"/>
          <w:color w:val="auto"/>
          <w:sz w:val="22"/>
          <w:szCs w:val="22"/>
        </w:rPr>
        <w:t xml:space="preserve"> se sigue beneficiando a personal administrativo y docente del Ministerio de Educación, así como </w:t>
      </w:r>
      <w:r w:rsidR="00583792" w:rsidRPr="00CB29EF">
        <w:rPr>
          <w:rFonts w:ascii="Century Gothic" w:hAnsi="Century Gothic" w:cs="Times New Roman"/>
          <w:color w:val="auto"/>
          <w:sz w:val="22"/>
          <w:szCs w:val="22"/>
        </w:rPr>
        <w:t xml:space="preserve">a </w:t>
      </w:r>
      <w:r w:rsidRPr="00CB29EF">
        <w:rPr>
          <w:rFonts w:ascii="Century Gothic" w:hAnsi="Century Gothic" w:cs="Times New Roman"/>
          <w:color w:val="auto"/>
          <w:sz w:val="22"/>
          <w:szCs w:val="22"/>
        </w:rPr>
        <w:t>personal de salud del ISBM a nivel nacional</w:t>
      </w:r>
      <w:r w:rsidR="002E4436" w:rsidRPr="00CB29EF">
        <w:rPr>
          <w:rFonts w:ascii="Century Gothic" w:hAnsi="Century Gothic" w:cs="Times New Roman"/>
          <w:color w:val="auto"/>
          <w:sz w:val="22"/>
          <w:szCs w:val="22"/>
        </w:rPr>
        <w:t>;</w:t>
      </w:r>
      <w:r w:rsidRPr="00CB29EF">
        <w:rPr>
          <w:rFonts w:ascii="Century Gothic" w:hAnsi="Century Gothic" w:cs="Times New Roman"/>
          <w:color w:val="auto"/>
          <w:sz w:val="22"/>
          <w:szCs w:val="22"/>
        </w:rPr>
        <w:t xml:space="preserve"> el programa consta de sesiones presenciales teóricas y prácticas, así como evaluaciones de los contenidos del curso.</w:t>
      </w:r>
      <w:r w:rsidR="002D21CA" w:rsidRPr="00CB29EF">
        <w:rPr>
          <w:rFonts w:ascii="Century Gothic" w:hAnsi="Century Gothic" w:cs="Times New Roman"/>
          <w:color w:val="auto"/>
          <w:sz w:val="22"/>
          <w:szCs w:val="22"/>
        </w:rPr>
        <w:t xml:space="preserve"> Para el año 2016 se certificaron 210 docentes, los cuales capacitaron a 2,800 docentes más que serían evaluados por los facilitadores de IBREA en el año 2017.</w:t>
      </w:r>
    </w:p>
    <w:p w:rsidR="002D21CA" w:rsidRPr="00CB29EF" w:rsidRDefault="002D21CA" w:rsidP="002D21CA">
      <w:pPr>
        <w:pStyle w:val="Default"/>
        <w:spacing w:before="200" w:line="276" w:lineRule="auto"/>
        <w:jc w:val="both"/>
        <w:rPr>
          <w:rFonts w:ascii="Century Gothic" w:hAnsi="Century Gothic" w:cs="Times New Roman"/>
          <w:color w:val="auto"/>
          <w:sz w:val="22"/>
          <w:szCs w:val="22"/>
        </w:rPr>
      </w:pPr>
      <w:r w:rsidRPr="00CB29EF">
        <w:rPr>
          <w:rFonts w:ascii="Century Gothic" w:hAnsi="Century Gothic" w:cs="Times New Roman"/>
          <w:color w:val="auto"/>
          <w:sz w:val="22"/>
          <w:szCs w:val="22"/>
        </w:rPr>
        <w:t>Para el año 2017, el Consejo Directivo del ISBM, acordó la suscripción de nuevo MEMORÁNDUM DE ENTENDIMIENTO, a efecto de continuar con el programa “Educación del Cerebro”, ya que el Instituto está trabajando en la atención integral del docente, favoreciendo una cultura de paz en el sistema educativo salvadoreño a través de la mejora de la salud, el manejo del estrés, la autoestima y la capacidad cognitiva y la toma de decisiones. El objetivo es incrementar el número de servidores públicos docentes capacitados/as en estas metodologías, proyectando un total de 50 empleados del ISBM certificados como capacitadores a nivel básico</w:t>
      </w:r>
      <w:r w:rsidR="00A4446D" w:rsidRPr="00CB29EF">
        <w:rPr>
          <w:rFonts w:ascii="Century Gothic" w:hAnsi="Century Gothic" w:cs="Times New Roman"/>
          <w:color w:val="auto"/>
          <w:sz w:val="22"/>
          <w:szCs w:val="22"/>
        </w:rPr>
        <w:t>, para sostenibilidad del programa,</w:t>
      </w:r>
      <w:r w:rsidRPr="00CB29EF">
        <w:rPr>
          <w:rFonts w:ascii="Century Gothic" w:hAnsi="Century Gothic" w:cs="Times New Roman"/>
          <w:color w:val="auto"/>
          <w:sz w:val="22"/>
          <w:szCs w:val="22"/>
        </w:rPr>
        <w:t xml:space="preserve"> </w:t>
      </w:r>
      <w:r w:rsidR="00A4446D" w:rsidRPr="00CB29EF">
        <w:rPr>
          <w:rFonts w:ascii="Century Gothic" w:hAnsi="Century Gothic" w:cs="Times New Roman"/>
          <w:color w:val="auto"/>
          <w:sz w:val="22"/>
          <w:szCs w:val="22"/>
        </w:rPr>
        <w:t xml:space="preserve">y </w:t>
      </w:r>
      <w:r w:rsidRPr="00CB29EF">
        <w:rPr>
          <w:rFonts w:ascii="Century Gothic" w:hAnsi="Century Gothic" w:cs="Times New Roman"/>
          <w:color w:val="auto"/>
          <w:sz w:val="22"/>
          <w:szCs w:val="22"/>
        </w:rPr>
        <w:t>504 servidores públicos docentes capacitados, examinados y certificados por IBREA.</w:t>
      </w:r>
    </w:p>
    <w:p w:rsidR="00252867" w:rsidRPr="00B51CE3" w:rsidRDefault="00252867" w:rsidP="00252867">
      <w:pPr>
        <w:pStyle w:val="Ttulo4"/>
        <w:numPr>
          <w:ilvl w:val="3"/>
          <w:numId w:val="18"/>
        </w:numPr>
        <w:spacing w:after="120"/>
        <w:rPr>
          <w:sz w:val="24"/>
        </w:rPr>
      </w:pPr>
      <w:bookmarkStart w:id="38" w:name="_Toc491684906"/>
      <w:bookmarkStart w:id="39" w:name="_Toc467228657"/>
      <w:r w:rsidRPr="00B51CE3">
        <w:rPr>
          <w:sz w:val="24"/>
        </w:rPr>
        <w:t>DISPENSACIÓN DE MEDICAMENTOS</w:t>
      </w:r>
      <w:bookmarkEnd w:id="38"/>
      <w:r>
        <w:rPr>
          <w:sz w:val="24"/>
        </w:rPr>
        <w:t xml:space="preserve"> </w:t>
      </w:r>
      <w:bookmarkEnd w:id="39"/>
    </w:p>
    <w:p w:rsidR="002425EA" w:rsidRDefault="002425EA" w:rsidP="00252867">
      <w:pPr>
        <w:spacing w:before="200" w:line="276" w:lineRule="auto"/>
        <w:jc w:val="both"/>
        <w:rPr>
          <w:rFonts w:ascii="Century Gothic" w:hAnsi="Century Gothic"/>
        </w:rPr>
      </w:pPr>
    </w:p>
    <w:p w:rsidR="00252867" w:rsidRDefault="00252867" w:rsidP="00252867">
      <w:pPr>
        <w:spacing w:before="200" w:line="276" w:lineRule="auto"/>
        <w:jc w:val="both"/>
        <w:rPr>
          <w:rFonts w:ascii="Century Gothic" w:hAnsi="Century Gothic"/>
        </w:rPr>
      </w:pPr>
      <w:r w:rsidRPr="00740CEA">
        <w:rPr>
          <w:rFonts w:ascii="Century Gothic" w:hAnsi="Century Gothic"/>
        </w:rPr>
        <w:t>El despacho de medicamentos a la població</w:t>
      </w:r>
      <w:r>
        <w:rPr>
          <w:rFonts w:ascii="Century Gothic" w:hAnsi="Century Gothic"/>
        </w:rPr>
        <w:t>n usuaria se realizó mediante 68</w:t>
      </w:r>
      <w:r w:rsidRPr="00740CEA">
        <w:rPr>
          <w:rFonts w:ascii="Century Gothic" w:hAnsi="Century Gothic"/>
        </w:rPr>
        <w:t xml:space="preserve"> farmacias privadas</w:t>
      </w:r>
      <w:r w:rsidR="00720FE9">
        <w:rPr>
          <w:rFonts w:ascii="Century Gothic" w:hAnsi="Century Gothic"/>
        </w:rPr>
        <w:t>,</w:t>
      </w:r>
      <w:r w:rsidRPr="00740CEA">
        <w:rPr>
          <w:rFonts w:ascii="Century Gothic" w:hAnsi="Century Gothic"/>
        </w:rPr>
        <w:t xml:space="preserve"> contratadas por medio</w:t>
      </w:r>
      <w:r>
        <w:rPr>
          <w:rFonts w:ascii="Century Gothic" w:hAnsi="Century Gothic"/>
        </w:rPr>
        <w:t xml:space="preserve"> de procesos de la LACAP, 23 farmacias de la red </w:t>
      </w:r>
      <w:r w:rsidRPr="00740CEA">
        <w:rPr>
          <w:rFonts w:ascii="Century Gothic" w:hAnsi="Century Gothic"/>
        </w:rPr>
        <w:t xml:space="preserve">CEFAFA y 22 </w:t>
      </w:r>
      <w:r w:rsidR="00720FE9" w:rsidRPr="00720FE9">
        <w:rPr>
          <w:rFonts w:ascii="Century Gothic" w:hAnsi="Century Gothic"/>
          <w:color w:val="002060"/>
        </w:rPr>
        <w:t>B</w:t>
      </w:r>
      <w:r w:rsidRPr="00740CEA">
        <w:rPr>
          <w:rFonts w:ascii="Century Gothic" w:hAnsi="Century Gothic"/>
        </w:rPr>
        <w:t xml:space="preserve">otiquines </w:t>
      </w:r>
      <w:r w:rsidR="00720FE9" w:rsidRPr="00720FE9">
        <w:rPr>
          <w:rFonts w:ascii="Century Gothic" w:hAnsi="Century Gothic"/>
          <w:color w:val="002060"/>
        </w:rPr>
        <w:t>M</w:t>
      </w:r>
      <w:r w:rsidRPr="00740CEA">
        <w:rPr>
          <w:rFonts w:ascii="Century Gothic" w:hAnsi="Century Gothic"/>
        </w:rPr>
        <w:t>agisteriales institucionales.</w:t>
      </w:r>
    </w:p>
    <w:p w:rsidR="002425EA" w:rsidRDefault="002425EA" w:rsidP="00252867">
      <w:pPr>
        <w:spacing w:before="200" w:line="276" w:lineRule="auto"/>
        <w:jc w:val="both"/>
        <w:rPr>
          <w:rFonts w:ascii="Century Gothic" w:hAnsi="Century Gothic"/>
        </w:rPr>
      </w:pPr>
    </w:p>
    <w:p w:rsidR="00252867" w:rsidRDefault="00252867" w:rsidP="00252867">
      <w:pPr>
        <w:jc w:val="center"/>
        <w:rPr>
          <w:rStyle w:val="Textoennegrita"/>
        </w:rPr>
      </w:pPr>
    </w:p>
    <w:p w:rsidR="00252867" w:rsidRDefault="00252867" w:rsidP="00252867">
      <w:pPr>
        <w:jc w:val="center"/>
        <w:rPr>
          <w:rStyle w:val="Textoennegrita"/>
        </w:rPr>
      </w:pPr>
      <w:r w:rsidRPr="001D643D">
        <w:rPr>
          <w:rStyle w:val="Textoennegrita"/>
        </w:rPr>
        <w:t>RECETAS DESPACHADAS POR CUADRO DE MEDICAMENTOS</w:t>
      </w:r>
    </w:p>
    <w:tbl>
      <w:tblPr>
        <w:tblW w:w="8505" w:type="dxa"/>
        <w:jc w:val="center"/>
        <w:tblCellMar>
          <w:left w:w="70" w:type="dxa"/>
          <w:right w:w="70" w:type="dxa"/>
        </w:tblCellMar>
        <w:tblLook w:val="04A0" w:firstRow="1" w:lastRow="0" w:firstColumn="1" w:lastColumn="0" w:noHBand="0" w:noVBand="1"/>
      </w:tblPr>
      <w:tblGrid>
        <w:gridCol w:w="1843"/>
        <w:gridCol w:w="1134"/>
        <w:gridCol w:w="1134"/>
        <w:gridCol w:w="992"/>
        <w:gridCol w:w="1134"/>
        <w:gridCol w:w="1276"/>
        <w:gridCol w:w="992"/>
      </w:tblGrid>
      <w:tr w:rsidR="00252867" w:rsidRPr="00711DD7" w:rsidTr="005B4E5F">
        <w:trPr>
          <w:trHeight w:val="480"/>
          <w:jc w:val="center"/>
        </w:trPr>
        <w:tc>
          <w:tcPr>
            <w:tcW w:w="1843" w:type="dxa"/>
            <w:tcBorders>
              <w:top w:val="nil"/>
              <w:left w:val="nil"/>
              <w:bottom w:val="nil"/>
              <w:right w:val="nil"/>
            </w:tcBorders>
            <w:shd w:val="clear" w:color="auto" w:fill="auto"/>
            <w:noWrap/>
            <w:vAlign w:val="bottom"/>
            <w:hideMark/>
          </w:tcPr>
          <w:p w:rsidR="00252867" w:rsidRPr="00711DD7" w:rsidRDefault="00252867" w:rsidP="005B4E5F">
            <w:pPr>
              <w:rPr>
                <w:rFonts w:ascii="Times New Roman" w:eastAsia="Times New Roman" w:hAnsi="Times New Roman"/>
                <w:sz w:val="16"/>
                <w:szCs w:val="16"/>
                <w:lang w:val="es-ES" w:eastAsia="es-ES"/>
              </w:rPr>
            </w:pPr>
          </w:p>
        </w:tc>
        <w:tc>
          <w:tcPr>
            <w:tcW w:w="3260" w:type="dxa"/>
            <w:gridSpan w:val="3"/>
            <w:tcBorders>
              <w:top w:val="single" w:sz="4" w:space="0" w:color="auto"/>
              <w:left w:val="single" w:sz="4" w:space="0" w:color="auto"/>
              <w:bottom w:val="single" w:sz="4" w:space="0" w:color="auto"/>
              <w:right w:val="single" w:sz="4" w:space="0" w:color="000000"/>
            </w:tcBorders>
            <w:shd w:val="clear" w:color="000000" w:fill="8BC161"/>
            <w:vAlign w:val="center"/>
            <w:hideMark/>
          </w:tcPr>
          <w:p w:rsidR="00252867" w:rsidRPr="00711DD7" w:rsidRDefault="00252867" w:rsidP="005B4E5F">
            <w:pPr>
              <w:jc w:val="center"/>
              <w:rPr>
                <w:rFonts w:eastAsia="Times New Roman"/>
                <w:b/>
                <w:bCs/>
                <w:color w:val="FFFFFF"/>
                <w:sz w:val="16"/>
                <w:szCs w:val="16"/>
                <w:lang w:val="es-ES" w:eastAsia="es-ES"/>
              </w:rPr>
            </w:pPr>
            <w:r w:rsidRPr="00711DD7">
              <w:rPr>
                <w:rFonts w:eastAsia="Times New Roman"/>
                <w:b/>
                <w:bCs/>
                <w:color w:val="FFFFFF"/>
                <w:sz w:val="16"/>
                <w:szCs w:val="16"/>
                <w:lang w:val="es-ES" w:eastAsia="es-ES"/>
              </w:rPr>
              <w:t>JUNIO A DICIEMBRE 2016</w:t>
            </w:r>
          </w:p>
        </w:tc>
        <w:tc>
          <w:tcPr>
            <w:tcW w:w="3402" w:type="dxa"/>
            <w:gridSpan w:val="3"/>
            <w:tcBorders>
              <w:top w:val="single" w:sz="4" w:space="0" w:color="auto"/>
              <w:left w:val="nil"/>
              <w:bottom w:val="single" w:sz="4" w:space="0" w:color="auto"/>
              <w:right w:val="single" w:sz="4" w:space="0" w:color="000000"/>
            </w:tcBorders>
            <w:shd w:val="clear" w:color="000000" w:fill="8BC161"/>
            <w:vAlign w:val="center"/>
            <w:hideMark/>
          </w:tcPr>
          <w:p w:rsidR="00252867" w:rsidRPr="00711DD7" w:rsidRDefault="00252867" w:rsidP="005B4E5F">
            <w:pPr>
              <w:jc w:val="center"/>
              <w:rPr>
                <w:rFonts w:eastAsia="Times New Roman"/>
                <w:b/>
                <w:bCs/>
                <w:color w:val="FFFFFF"/>
                <w:sz w:val="16"/>
                <w:szCs w:val="16"/>
                <w:lang w:val="es-ES" w:eastAsia="es-ES"/>
              </w:rPr>
            </w:pPr>
            <w:r w:rsidRPr="00711DD7">
              <w:rPr>
                <w:rFonts w:eastAsia="Times New Roman"/>
                <w:b/>
                <w:bCs/>
                <w:color w:val="FFFFFF"/>
                <w:sz w:val="16"/>
                <w:szCs w:val="16"/>
                <w:lang w:val="es-ES" w:eastAsia="es-ES"/>
              </w:rPr>
              <w:t>ENERO A JULIO 2017</w:t>
            </w:r>
          </w:p>
        </w:tc>
      </w:tr>
      <w:tr w:rsidR="00252867" w:rsidRPr="00711DD7" w:rsidTr="005B4E5F">
        <w:trPr>
          <w:trHeight w:val="480"/>
          <w:jc w:val="center"/>
        </w:trPr>
        <w:tc>
          <w:tcPr>
            <w:tcW w:w="1843" w:type="dxa"/>
            <w:tcBorders>
              <w:top w:val="single" w:sz="4" w:space="0" w:color="auto"/>
              <w:left w:val="single" w:sz="4" w:space="0" w:color="auto"/>
              <w:bottom w:val="single" w:sz="4" w:space="0" w:color="auto"/>
              <w:right w:val="nil"/>
            </w:tcBorders>
            <w:shd w:val="clear" w:color="000000" w:fill="8BC161"/>
            <w:vAlign w:val="center"/>
            <w:hideMark/>
          </w:tcPr>
          <w:p w:rsidR="00252867" w:rsidRPr="00711DD7" w:rsidRDefault="00252867" w:rsidP="005B4E5F">
            <w:pPr>
              <w:jc w:val="center"/>
              <w:rPr>
                <w:rFonts w:eastAsia="Times New Roman"/>
                <w:b/>
                <w:bCs/>
                <w:color w:val="FFFFFF"/>
                <w:sz w:val="16"/>
                <w:szCs w:val="16"/>
                <w:lang w:val="es-ES" w:eastAsia="es-ES"/>
              </w:rPr>
            </w:pPr>
            <w:r w:rsidRPr="00711DD7">
              <w:rPr>
                <w:rFonts w:eastAsia="Times New Roman"/>
                <w:b/>
                <w:bCs/>
                <w:color w:val="FFFFFF"/>
                <w:sz w:val="16"/>
                <w:szCs w:val="16"/>
                <w:lang w:val="es-ES" w:eastAsia="es-ES"/>
              </w:rPr>
              <w:t>LUGAR DE DESPACHO</w:t>
            </w:r>
          </w:p>
        </w:tc>
        <w:tc>
          <w:tcPr>
            <w:tcW w:w="1134" w:type="dxa"/>
            <w:tcBorders>
              <w:top w:val="nil"/>
              <w:left w:val="single" w:sz="4" w:space="0" w:color="auto"/>
              <w:bottom w:val="single" w:sz="4" w:space="0" w:color="auto"/>
              <w:right w:val="single" w:sz="4" w:space="0" w:color="auto"/>
            </w:tcBorders>
            <w:shd w:val="clear" w:color="000000" w:fill="8BC161"/>
            <w:vAlign w:val="center"/>
            <w:hideMark/>
          </w:tcPr>
          <w:p w:rsidR="00252867" w:rsidRPr="00711DD7" w:rsidRDefault="00252867" w:rsidP="005B4E5F">
            <w:pPr>
              <w:jc w:val="center"/>
              <w:rPr>
                <w:rFonts w:eastAsia="Times New Roman"/>
                <w:b/>
                <w:bCs/>
                <w:color w:val="FFFFFF"/>
                <w:sz w:val="16"/>
                <w:szCs w:val="16"/>
                <w:lang w:val="es-ES" w:eastAsia="es-ES"/>
              </w:rPr>
            </w:pPr>
            <w:r w:rsidRPr="00711DD7">
              <w:rPr>
                <w:rFonts w:eastAsia="Times New Roman"/>
                <w:b/>
                <w:bCs/>
                <w:color w:val="FFFFFF"/>
                <w:sz w:val="16"/>
                <w:szCs w:val="16"/>
                <w:lang w:val="es-ES" w:eastAsia="es-ES"/>
              </w:rPr>
              <w:t>CANTIDAD DE RECETAS</w:t>
            </w:r>
          </w:p>
        </w:tc>
        <w:tc>
          <w:tcPr>
            <w:tcW w:w="1134" w:type="dxa"/>
            <w:tcBorders>
              <w:top w:val="nil"/>
              <w:left w:val="nil"/>
              <w:bottom w:val="single" w:sz="4" w:space="0" w:color="auto"/>
              <w:right w:val="single" w:sz="4" w:space="0" w:color="auto"/>
            </w:tcBorders>
            <w:shd w:val="clear" w:color="000000" w:fill="8BC161"/>
            <w:vAlign w:val="center"/>
            <w:hideMark/>
          </w:tcPr>
          <w:p w:rsidR="00252867" w:rsidRPr="00711DD7" w:rsidRDefault="00252867" w:rsidP="005B4E5F">
            <w:pPr>
              <w:jc w:val="center"/>
              <w:rPr>
                <w:rFonts w:eastAsia="Times New Roman"/>
                <w:b/>
                <w:bCs/>
                <w:color w:val="FFFFFF"/>
                <w:sz w:val="16"/>
                <w:szCs w:val="16"/>
                <w:lang w:val="es-ES" w:eastAsia="es-ES"/>
              </w:rPr>
            </w:pPr>
            <w:r w:rsidRPr="00711DD7">
              <w:rPr>
                <w:rFonts w:eastAsia="Times New Roman"/>
                <w:b/>
                <w:bCs/>
                <w:color w:val="FFFFFF"/>
                <w:sz w:val="16"/>
                <w:szCs w:val="16"/>
                <w:lang w:val="es-ES" w:eastAsia="es-ES"/>
              </w:rPr>
              <w:t>MONTO</w:t>
            </w:r>
          </w:p>
        </w:tc>
        <w:tc>
          <w:tcPr>
            <w:tcW w:w="992" w:type="dxa"/>
            <w:tcBorders>
              <w:top w:val="nil"/>
              <w:left w:val="nil"/>
              <w:bottom w:val="single" w:sz="4" w:space="0" w:color="auto"/>
              <w:right w:val="single" w:sz="4" w:space="0" w:color="auto"/>
            </w:tcBorders>
            <w:shd w:val="clear" w:color="000000" w:fill="8BC161"/>
            <w:vAlign w:val="center"/>
            <w:hideMark/>
          </w:tcPr>
          <w:p w:rsidR="00252867" w:rsidRPr="00711DD7" w:rsidRDefault="00252867" w:rsidP="005B4E5F">
            <w:pPr>
              <w:jc w:val="center"/>
              <w:rPr>
                <w:rFonts w:eastAsia="Times New Roman"/>
                <w:b/>
                <w:bCs/>
                <w:color w:val="FFFFFF"/>
                <w:sz w:val="16"/>
                <w:szCs w:val="16"/>
                <w:lang w:val="es-ES" w:eastAsia="es-ES"/>
              </w:rPr>
            </w:pPr>
            <w:r w:rsidRPr="00711DD7">
              <w:rPr>
                <w:rFonts w:eastAsia="Times New Roman"/>
                <w:b/>
                <w:bCs/>
                <w:color w:val="FFFFFF"/>
                <w:sz w:val="16"/>
                <w:szCs w:val="16"/>
                <w:lang w:val="es-ES" w:eastAsia="es-ES"/>
              </w:rPr>
              <w:t>PROMEDIO</w:t>
            </w:r>
          </w:p>
        </w:tc>
        <w:tc>
          <w:tcPr>
            <w:tcW w:w="1134" w:type="dxa"/>
            <w:tcBorders>
              <w:top w:val="nil"/>
              <w:left w:val="nil"/>
              <w:bottom w:val="single" w:sz="4" w:space="0" w:color="auto"/>
              <w:right w:val="single" w:sz="4" w:space="0" w:color="auto"/>
            </w:tcBorders>
            <w:shd w:val="clear" w:color="000000" w:fill="8BC161"/>
            <w:vAlign w:val="center"/>
            <w:hideMark/>
          </w:tcPr>
          <w:p w:rsidR="00252867" w:rsidRPr="00711DD7" w:rsidRDefault="00252867" w:rsidP="005B4E5F">
            <w:pPr>
              <w:jc w:val="center"/>
              <w:rPr>
                <w:rFonts w:eastAsia="Times New Roman"/>
                <w:b/>
                <w:bCs/>
                <w:color w:val="FFFFFF"/>
                <w:sz w:val="16"/>
                <w:szCs w:val="16"/>
                <w:lang w:val="es-ES" w:eastAsia="es-ES"/>
              </w:rPr>
            </w:pPr>
            <w:r w:rsidRPr="00711DD7">
              <w:rPr>
                <w:rFonts w:eastAsia="Times New Roman"/>
                <w:b/>
                <w:bCs/>
                <w:color w:val="FFFFFF"/>
                <w:sz w:val="16"/>
                <w:szCs w:val="16"/>
                <w:lang w:eastAsia="es-ES"/>
              </w:rPr>
              <w:t>CANTIDAD DE RECETAS</w:t>
            </w:r>
          </w:p>
        </w:tc>
        <w:tc>
          <w:tcPr>
            <w:tcW w:w="1276" w:type="dxa"/>
            <w:tcBorders>
              <w:top w:val="nil"/>
              <w:left w:val="nil"/>
              <w:bottom w:val="single" w:sz="4" w:space="0" w:color="auto"/>
              <w:right w:val="single" w:sz="4" w:space="0" w:color="auto"/>
            </w:tcBorders>
            <w:shd w:val="clear" w:color="000000" w:fill="8BC161"/>
            <w:vAlign w:val="center"/>
            <w:hideMark/>
          </w:tcPr>
          <w:p w:rsidR="00252867" w:rsidRPr="00711DD7" w:rsidRDefault="00252867" w:rsidP="005B4E5F">
            <w:pPr>
              <w:jc w:val="center"/>
              <w:rPr>
                <w:rFonts w:eastAsia="Times New Roman"/>
                <w:b/>
                <w:bCs/>
                <w:color w:val="FFFFFF"/>
                <w:sz w:val="16"/>
                <w:szCs w:val="16"/>
                <w:lang w:val="es-ES" w:eastAsia="es-ES"/>
              </w:rPr>
            </w:pPr>
            <w:r w:rsidRPr="00711DD7">
              <w:rPr>
                <w:rFonts w:eastAsia="Times New Roman"/>
                <w:b/>
                <w:bCs/>
                <w:color w:val="FFFFFF"/>
                <w:sz w:val="16"/>
                <w:szCs w:val="16"/>
                <w:lang w:eastAsia="es-ES"/>
              </w:rPr>
              <w:t>MONTO</w:t>
            </w:r>
          </w:p>
        </w:tc>
        <w:tc>
          <w:tcPr>
            <w:tcW w:w="992" w:type="dxa"/>
            <w:tcBorders>
              <w:top w:val="nil"/>
              <w:left w:val="nil"/>
              <w:bottom w:val="single" w:sz="4" w:space="0" w:color="auto"/>
              <w:right w:val="single" w:sz="4" w:space="0" w:color="auto"/>
            </w:tcBorders>
            <w:shd w:val="clear" w:color="000000" w:fill="8BC161"/>
            <w:vAlign w:val="center"/>
            <w:hideMark/>
          </w:tcPr>
          <w:p w:rsidR="00252867" w:rsidRPr="00711DD7" w:rsidRDefault="00252867" w:rsidP="005B4E5F">
            <w:pPr>
              <w:jc w:val="center"/>
              <w:rPr>
                <w:rFonts w:eastAsia="Times New Roman"/>
                <w:b/>
                <w:bCs/>
                <w:color w:val="FFFFFF"/>
                <w:sz w:val="16"/>
                <w:szCs w:val="16"/>
                <w:lang w:val="es-ES" w:eastAsia="es-ES"/>
              </w:rPr>
            </w:pPr>
            <w:r w:rsidRPr="00711DD7">
              <w:rPr>
                <w:rFonts w:eastAsia="Times New Roman"/>
                <w:b/>
                <w:bCs/>
                <w:color w:val="FFFFFF"/>
                <w:sz w:val="16"/>
                <w:szCs w:val="16"/>
                <w:lang w:eastAsia="es-ES"/>
              </w:rPr>
              <w:t>PROMEDIO</w:t>
            </w:r>
          </w:p>
        </w:tc>
      </w:tr>
      <w:tr w:rsidR="00252867" w:rsidRPr="00711DD7" w:rsidTr="005B4E5F">
        <w:trPr>
          <w:trHeight w:val="300"/>
          <w:jc w:val="center"/>
        </w:trPr>
        <w:tc>
          <w:tcPr>
            <w:tcW w:w="1843" w:type="dxa"/>
            <w:tcBorders>
              <w:top w:val="nil"/>
              <w:left w:val="single" w:sz="4" w:space="0" w:color="auto"/>
              <w:bottom w:val="single" w:sz="4" w:space="0" w:color="auto"/>
              <w:right w:val="nil"/>
            </w:tcBorders>
            <w:shd w:val="clear" w:color="auto" w:fill="auto"/>
            <w:vAlign w:val="center"/>
            <w:hideMark/>
          </w:tcPr>
          <w:p w:rsidR="00252867" w:rsidRPr="00711DD7" w:rsidRDefault="00252867" w:rsidP="005B4E5F">
            <w:pPr>
              <w:rPr>
                <w:rFonts w:eastAsia="Times New Roman"/>
                <w:color w:val="000000"/>
                <w:sz w:val="16"/>
                <w:szCs w:val="16"/>
                <w:lang w:val="es-ES" w:eastAsia="es-ES"/>
              </w:rPr>
            </w:pPr>
            <w:r w:rsidRPr="00711DD7">
              <w:rPr>
                <w:rFonts w:eastAsia="Times New Roman"/>
                <w:color w:val="000000"/>
                <w:sz w:val="16"/>
                <w:szCs w:val="16"/>
                <w:lang w:val="es-ES" w:eastAsia="es-ES"/>
              </w:rPr>
              <w:t>FARMACIAS PRIVADAS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252867" w:rsidRPr="00711DD7" w:rsidRDefault="00252867" w:rsidP="005B4E5F">
            <w:pPr>
              <w:jc w:val="right"/>
              <w:rPr>
                <w:rFonts w:eastAsia="Times New Roman"/>
                <w:color w:val="000000"/>
                <w:sz w:val="16"/>
                <w:szCs w:val="16"/>
                <w:lang w:val="es-ES" w:eastAsia="es-ES"/>
              </w:rPr>
            </w:pPr>
            <w:r w:rsidRPr="00711DD7">
              <w:rPr>
                <w:rFonts w:eastAsia="Times New Roman"/>
                <w:color w:val="000000"/>
                <w:sz w:val="16"/>
                <w:szCs w:val="16"/>
                <w:lang w:val="es-ES" w:eastAsia="es-ES"/>
              </w:rPr>
              <w:t>297,096</w:t>
            </w:r>
          </w:p>
        </w:tc>
        <w:tc>
          <w:tcPr>
            <w:tcW w:w="1134" w:type="dxa"/>
            <w:tcBorders>
              <w:top w:val="nil"/>
              <w:left w:val="nil"/>
              <w:bottom w:val="single" w:sz="4" w:space="0" w:color="auto"/>
              <w:right w:val="single" w:sz="4" w:space="0" w:color="auto"/>
            </w:tcBorders>
            <w:shd w:val="clear" w:color="auto" w:fill="auto"/>
            <w:vAlign w:val="center"/>
            <w:hideMark/>
          </w:tcPr>
          <w:p w:rsidR="00252867" w:rsidRPr="00711DD7" w:rsidRDefault="00252867" w:rsidP="005B4E5F">
            <w:pPr>
              <w:jc w:val="right"/>
              <w:rPr>
                <w:rFonts w:eastAsia="Times New Roman"/>
                <w:color w:val="000000"/>
                <w:sz w:val="16"/>
                <w:szCs w:val="16"/>
                <w:lang w:val="es-ES" w:eastAsia="es-ES"/>
              </w:rPr>
            </w:pPr>
            <w:r w:rsidRPr="00711DD7">
              <w:rPr>
                <w:rFonts w:eastAsia="Times New Roman"/>
                <w:color w:val="000000"/>
                <w:sz w:val="16"/>
                <w:szCs w:val="16"/>
                <w:lang w:val="es-ES" w:eastAsia="es-ES"/>
              </w:rPr>
              <w:t xml:space="preserve">$2723,038.07 </w:t>
            </w:r>
          </w:p>
        </w:tc>
        <w:tc>
          <w:tcPr>
            <w:tcW w:w="992" w:type="dxa"/>
            <w:tcBorders>
              <w:top w:val="nil"/>
              <w:left w:val="nil"/>
              <w:bottom w:val="single" w:sz="4" w:space="0" w:color="auto"/>
              <w:right w:val="single" w:sz="4" w:space="0" w:color="auto"/>
            </w:tcBorders>
            <w:shd w:val="clear" w:color="auto" w:fill="auto"/>
            <w:vAlign w:val="center"/>
            <w:hideMark/>
          </w:tcPr>
          <w:p w:rsidR="00252867" w:rsidRPr="00711DD7" w:rsidRDefault="00252867" w:rsidP="005B4E5F">
            <w:pPr>
              <w:jc w:val="right"/>
              <w:rPr>
                <w:rFonts w:eastAsia="Times New Roman"/>
                <w:color w:val="000000"/>
                <w:sz w:val="16"/>
                <w:szCs w:val="16"/>
                <w:lang w:val="es-ES" w:eastAsia="es-ES"/>
              </w:rPr>
            </w:pPr>
            <w:r w:rsidRPr="00711DD7">
              <w:rPr>
                <w:rFonts w:eastAsia="Times New Roman"/>
                <w:color w:val="000000"/>
                <w:sz w:val="16"/>
                <w:szCs w:val="16"/>
                <w:lang w:val="es-ES" w:eastAsia="es-ES"/>
              </w:rPr>
              <w:t xml:space="preserve">$9.17 </w:t>
            </w:r>
          </w:p>
        </w:tc>
        <w:tc>
          <w:tcPr>
            <w:tcW w:w="1134" w:type="dxa"/>
            <w:tcBorders>
              <w:top w:val="nil"/>
              <w:left w:val="nil"/>
              <w:bottom w:val="single" w:sz="4" w:space="0" w:color="auto"/>
              <w:right w:val="single" w:sz="4" w:space="0" w:color="auto"/>
            </w:tcBorders>
            <w:shd w:val="clear" w:color="auto" w:fill="auto"/>
            <w:noWrap/>
            <w:vAlign w:val="center"/>
            <w:hideMark/>
          </w:tcPr>
          <w:p w:rsidR="00252867" w:rsidRPr="00711DD7" w:rsidRDefault="00252867" w:rsidP="005B4E5F">
            <w:pPr>
              <w:jc w:val="right"/>
              <w:rPr>
                <w:rFonts w:eastAsia="Times New Roman"/>
                <w:color w:val="000000"/>
                <w:sz w:val="16"/>
                <w:szCs w:val="16"/>
                <w:lang w:val="es-ES" w:eastAsia="es-ES"/>
              </w:rPr>
            </w:pPr>
            <w:r w:rsidRPr="00711DD7">
              <w:rPr>
                <w:rFonts w:eastAsia="Times New Roman"/>
                <w:color w:val="000000"/>
                <w:sz w:val="16"/>
                <w:szCs w:val="16"/>
                <w:lang w:val="es-ES" w:eastAsia="es-ES"/>
              </w:rPr>
              <w:t>567,621</w:t>
            </w:r>
          </w:p>
        </w:tc>
        <w:tc>
          <w:tcPr>
            <w:tcW w:w="1276" w:type="dxa"/>
            <w:tcBorders>
              <w:top w:val="nil"/>
              <w:left w:val="nil"/>
              <w:bottom w:val="single" w:sz="4" w:space="0" w:color="auto"/>
              <w:right w:val="single" w:sz="4" w:space="0" w:color="auto"/>
            </w:tcBorders>
            <w:shd w:val="clear" w:color="auto" w:fill="auto"/>
            <w:noWrap/>
            <w:vAlign w:val="center"/>
            <w:hideMark/>
          </w:tcPr>
          <w:p w:rsidR="00252867" w:rsidRPr="00711DD7" w:rsidRDefault="00252867" w:rsidP="005B4E5F">
            <w:pPr>
              <w:jc w:val="right"/>
              <w:rPr>
                <w:rFonts w:eastAsia="Times New Roman"/>
                <w:color w:val="000000"/>
                <w:sz w:val="16"/>
                <w:szCs w:val="16"/>
                <w:lang w:val="es-ES" w:eastAsia="es-ES"/>
              </w:rPr>
            </w:pPr>
            <w:r w:rsidRPr="00711DD7">
              <w:rPr>
                <w:rFonts w:eastAsia="Times New Roman"/>
                <w:color w:val="000000"/>
                <w:sz w:val="16"/>
                <w:szCs w:val="16"/>
                <w:lang w:val="es-ES" w:eastAsia="es-ES"/>
              </w:rPr>
              <w:t>$5633,150.80</w:t>
            </w:r>
          </w:p>
        </w:tc>
        <w:tc>
          <w:tcPr>
            <w:tcW w:w="992" w:type="dxa"/>
            <w:tcBorders>
              <w:top w:val="nil"/>
              <w:left w:val="nil"/>
              <w:bottom w:val="single" w:sz="4" w:space="0" w:color="auto"/>
              <w:right w:val="single" w:sz="4" w:space="0" w:color="auto"/>
            </w:tcBorders>
            <w:shd w:val="clear" w:color="auto" w:fill="auto"/>
            <w:noWrap/>
            <w:vAlign w:val="center"/>
            <w:hideMark/>
          </w:tcPr>
          <w:p w:rsidR="00252867" w:rsidRPr="00711DD7" w:rsidRDefault="00252867" w:rsidP="005B4E5F">
            <w:pPr>
              <w:jc w:val="right"/>
              <w:rPr>
                <w:rFonts w:eastAsia="Times New Roman"/>
                <w:color w:val="000000"/>
                <w:sz w:val="16"/>
                <w:szCs w:val="16"/>
                <w:lang w:val="es-ES" w:eastAsia="es-ES"/>
              </w:rPr>
            </w:pPr>
            <w:r w:rsidRPr="00711DD7">
              <w:rPr>
                <w:rFonts w:eastAsia="Times New Roman"/>
                <w:color w:val="000000"/>
                <w:sz w:val="16"/>
                <w:szCs w:val="16"/>
                <w:lang w:val="es-ES" w:eastAsia="es-ES"/>
              </w:rPr>
              <w:t>$9.92</w:t>
            </w:r>
          </w:p>
        </w:tc>
      </w:tr>
      <w:tr w:rsidR="00252867" w:rsidRPr="00711DD7" w:rsidTr="005B4E5F">
        <w:trPr>
          <w:trHeight w:val="300"/>
          <w:jc w:val="center"/>
        </w:trPr>
        <w:tc>
          <w:tcPr>
            <w:tcW w:w="1843" w:type="dxa"/>
            <w:tcBorders>
              <w:top w:val="nil"/>
              <w:left w:val="single" w:sz="4" w:space="0" w:color="auto"/>
              <w:bottom w:val="single" w:sz="4" w:space="0" w:color="auto"/>
              <w:right w:val="nil"/>
            </w:tcBorders>
            <w:shd w:val="clear" w:color="auto" w:fill="auto"/>
            <w:vAlign w:val="center"/>
            <w:hideMark/>
          </w:tcPr>
          <w:p w:rsidR="00252867" w:rsidRPr="00711DD7" w:rsidRDefault="00252867" w:rsidP="005B4E5F">
            <w:pPr>
              <w:rPr>
                <w:rFonts w:eastAsia="Times New Roman"/>
                <w:color w:val="000000"/>
                <w:sz w:val="16"/>
                <w:szCs w:val="16"/>
                <w:lang w:val="es-ES" w:eastAsia="es-ES"/>
              </w:rPr>
            </w:pPr>
            <w:r w:rsidRPr="00711DD7">
              <w:rPr>
                <w:rFonts w:eastAsia="Times New Roman"/>
                <w:color w:val="000000"/>
                <w:sz w:val="16"/>
                <w:szCs w:val="16"/>
                <w:lang w:val="es-ES" w:eastAsia="es-ES"/>
              </w:rPr>
              <w:t>BOTIQUÍN MAGISTERIAL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252867" w:rsidRPr="00711DD7" w:rsidRDefault="00252867" w:rsidP="005B4E5F">
            <w:pPr>
              <w:jc w:val="right"/>
              <w:rPr>
                <w:rFonts w:eastAsia="Times New Roman"/>
                <w:color w:val="000000"/>
                <w:sz w:val="16"/>
                <w:szCs w:val="16"/>
                <w:lang w:val="es-ES" w:eastAsia="es-ES"/>
              </w:rPr>
            </w:pPr>
            <w:r w:rsidRPr="00711DD7">
              <w:rPr>
                <w:rFonts w:eastAsia="Times New Roman"/>
                <w:color w:val="000000"/>
                <w:sz w:val="16"/>
                <w:szCs w:val="16"/>
                <w:lang w:val="es-ES" w:eastAsia="es-ES"/>
              </w:rPr>
              <w:t>799,852</w:t>
            </w:r>
          </w:p>
        </w:tc>
        <w:tc>
          <w:tcPr>
            <w:tcW w:w="1134" w:type="dxa"/>
            <w:tcBorders>
              <w:top w:val="nil"/>
              <w:left w:val="nil"/>
              <w:bottom w:val="single" w:sz="4" w:space="0" w:color="auto"/>
              <w:right w:val="single" w:sz="4" w:space="0" w:color="auto"/>
            </w:tcBorders>
            <w:shd w:val="clear" w:color="auto" w:fill="auto"/>
            <w:vAlign w:val="center"/>
            <w:hideMark/>
          </w:tcPr>
          <w:p w:rsidR="00252867" w:rsidRPr="00711DD7" w:rsidRDefault="00252867" w:rsidP="005B4E5F">
            <w:pPr>
              <w:jc w:val="right"/>
              <w:rPr>
                <w:rFonts w:eastAsia="Times New Roman"/>
                <w:color w:val="000000"/>
                <w:sz w:val="16"/>
                <w:szCs w:val="16"/>
                <w:lang w:val="es-ES" w:eastAsia="es-ES"/>
              </w:rPr>
            </w:pPr>
            <w:r w:rsidRPr="00711DD7">
              <w:rPr>
                <w:rFonts w:eastAsia="Times New Roman"/>
                <w:color w:val="000000"/>
                <w:sz w:val="16"/>
                <w:szCs w:val="16"/>
                <w:lang w:val="es-ES" w:eastAsia="es-ES"/>
              </w:rPr>
              <w:t xml:space="preserve">$3645,929.15 </w:t>
            </w:r>
          </w:p>
        </w:tc>
        <w:tc>
          <w:tcPr>
            <w:tcW w:w="992" w:type="dxa"/>
            <w:tcBorders>
              <w:top w:val="nil"/>
              <w:left w:val="nil"/>
              <w:bottom w:val="single" w:sz="4" w:space="0" w:color="auto"/>
              <w:right w:val="single" w:sz="4" w:space="0" w:color="auto"/>
            </w:tcBorders>
            <w:shd w:val="clear" w:color="auto" w:fill="auto"/>
            <w:vAlign w:val="center"/>
            <w:hideMark/>
          </w:tcPr>
          <w:p w:rsidR="00252867" w:rsidRPr="00711DD7" w:rsidRDefault="00252867" w:rsidP="005B4E5F">
            <w:pPr>
              <w:jc w:val="right"/>
              <w:rPr>
                <w:rFonts w:eastAsia="Times New Roman"/>
                <w:color w:val="000000"/>
                <w:sz w:val="16"/>
                <w:szCs w:val="16"/>
                <w:lang w:val="es-ES" w:eastAsia="es-ES"/>
              </w:rPr>
            </w:pPr>
            <w:r w:rsidRPr="00711DD7">
              <w:rPr>
                <w:rFonts w:eastAsia="Times New Roman"/>
                <w:color w:val="000000"/>
                <w:sz w:val="16"/>
                <w:szCs w:val="16"/>
                <w:lang w:val="es-ES" w:eastAsia="es-ES"/>
              </w:rPr>
              <w:t xml:space="preserve">$4.56 </w:t>
            </w:r>
          </w:p>
        </w:tc>
        <w:tc>
          <w:tcPr>
            <w:tcW w:w="1134" w:type="dxa"/>
            <w:tcBorders>
              <w:top w:val="nil"/>
              <w:left w:val="nil"/>
              <w:bottom w:val="single" w:sz="4" w:space="0" w:color="auto"/>
              <w:right w:val="single" w:sz="4" w:space="0" w:color="auto"/>
            </w:tcBorders>
            <w:shd w:val="clear" w:color="auto" w:fill="auto"/>
            <w:noWrap/>
            <w:vAlign w:val="center"/>
            <w:hideMark/>
          </w:tcPr>
          <w:p w:rsidR="00252867" w:rsidRPr="00711DD7" w:rsidRDefault="00252867" w:rsidP="005B4E5F">
            <w:pPr>
              <w:jc w:val="right"/>
              <w:rPr>
                <w:rFonts w:eastAsia="Times New Roman"/>
                <w:color w:val="000000"/>
                <w:sz w:val="16"/>
                <w:szCs w:val="16"/>
                <w:lang w:val="es-ES" w:eastAsia="es-ES"/>
              </w:rPr>
            </w:pPr>
            <w:r w:rsidRPr="00711DD7">
              <w:rPr>
                <w:rFonts w:eastAsia="Times New Roman"/>
                <w:color w:val="000000"/>
                <w:sz w:val="16"/>
                <w:szCs w:val="16"/>
                <w:lang w:val="es-ES" w:eastAsia="es-ES"/>
              </w:rPr>
              <w:t>299,873</w:t>
            </w:r>
          </w:p>
        </w:tc>
        <w:tc>
          <w:tcPr>
            <w:tcW w:w="1276" w:type="dxa"/>
            <w:tcBorders>
              <w:top w:val="nil"/>
              <w:left w:val="nil"/>
              <w:bottom w:val="single" w:sz="4" w:space="0" w:color="auto"/>
              <w:right w:val="single" w:sz="4" w:space="0" w:color="auto"/>
            </w:tcBorders>
            <w:shd w:val="clear" w:color="auto" w:fill="auto"/>
            <w:noWrap/>
            <w:vAlign w:val="center"/>
            <w:hideMark/>
          </w:tcPr>
          <w:p w:rsidR="00252867" w:rsidRPr="00711DD7" w:rsidRDefault="00252867" w:rsidP="005B4E5F">
            <w:pPr>
              <w:jc w:val="right"/>
              <w:rPr>
                <w:rFonts w:eastAsia="Times New Roman"/>
                <w:color w:val="000000"/>
                <w:sz w:val="16"/>
                <w:szCs w:val="16"/>
                <w:lang w:val="es-ES" w:eastAsia="es-ES"/>
              </w:rPr>
            </w:pPr>
            <w:r w:rsidRPr="00711DD7">
              <w:rPr>
                <w:rFonts w:eastAsia="Times New Roman"/>
                <w:color w:val="000000"/>
                <w:sz w:val="16"/>
                <w:szCs w:val="16"/>
                <w:lang w:val="es-ES" w:eastAsia="es-ES"/>
              </w:rPr>
              <w:t>$1513,695.60</w:t>
            </w:r>
          </w:p>
        </w:tc>
        <w:tc>
          <w:tcPr>
            <w:tcW w:w="992" w:type="dxa"/>
            <w:tcBorders>
              <w:top w:val="nil"/>
              <w:left w:val="nil"/>
              <w:bottom w:val="single" w:sz="4" w:space="0" w:color="auto"/>
              <w:right w:val="single" w:sz="4" w:space="0" w:color="auto"/>
            </w:tcBorders>
            <w:shd w:val="clear" w:color="auto" w:fill="auto"/>
            <w:noWrap/>
            <w:vAlign w:val="center"/>
            <w:hideMark/>
          </w:tcPr>
          <w:p w:rsidR="00252867" w:rsidRPr="00711DD7" w:rsidRDefault="00252867" w:rsidP="005B4E5F">
            <w:pPr>
              <w:jc w:val="right"/>
              <w:rPr>
                <w:rFonts w:eastAsia="Times New Roman"/>
                <w:color w:val="000000"/>
                <w:sz w:val="16"/>
                <w:szCs w:val="16"/>
                <w:lang w:val="es-ES" w:eastAsia="es-ES"/>
              </w:rPr>
            </w:pPr>
            <w:r w:rsidRPr="00711DD7">
              <w:rPr>
                <w:rFonts w:eastAsia="Times New Roman"/>
                <w:color w:val="000000"/>
                <w:sz w:val="16"/>
                <w:szCs w:val="16"/>
                <w:lang w:val="es-ES" w:eastAsia="es-ES"/>
              </w:rPr>
              <w:t>$5.05</w:t>
            </w:r>
          </w:p>
        </w:tc>
      </w:tr>
      <w:tr w:rsidR="00252867" w:rsidRPr="00711DD7" w:rsidTr="005B4E5F">
        <w:trPr>
          <w:trHeight w:val="480"/>
          <w:jc w:val="center"/>
        </w:trPr>
        <w:tc>
          <w:tcPr>
            <w:tcW w:w="1843" w:type="dxa"/>
            <w:tcBorders>
              <w:top w:val="nil"/>
              <w:left w:val="single" w:sz="4" w:space="0" w:color="auto"/>
              <w:bottom w:val="single" w:sz="4" w:space="0" w:color="auto"/>
              <w:right w:val="nil"/>
            </w:tcBorders>
            <w:shd w:val="clear" w:color="auto" w:fill="auto"/>
            <w:vAlign w:val="center"/>
            <w:hideMark/>
          </w:tcPr>
          <w:p w:rsidR="00252867" w:rsidRPr="00711DD7" w:rsidRDefault="00252867" w:rsidP="005B4E5F">
            <w:pPr>
              <w:rPr>
                <w:rFonts w:eastAsia="Times New Roman"/>
                <w:color w:val="000000"/>
                <w:sz w:val="16"/>
                <w:szCs w:val="16"/>
                <w:lang w:val="es-ES" w:eastAsia="es-ES"/>
              </w:rPr>
            </w:pPr>
            <w:r w:rsidRPr="00711DD7">
              <w:rPr>
                <w:rFonts w:eastAsia="Times New Roman"/>
                <w:color w:val="000000"/>
                <w:sz w:val="16"/>
                <w:szCs w:val="16"/>
                <w:lang w:val="es-ES" w:eastAsia="es-ES"/>
              </w:rPr>
              <w:t>SECCIÓN DE MEDICAMENTOS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252867" w:rsidRPr="00711DD7" w:rsidRDefault="00252867" w:rsidP="005B4E5F">
            <w:pPr>
              <w:jc w:val="right"/>
              <w:rPr>
                <w:rFonts w:eastAsia="Times New Roman"/>
                <w:color w:val="000000"/>
                <w:sz w:val="16"/>
                <w:szCs w:val="16"/>
                <w:lang w:val="es-ES" w:eastAsia="es-ES"/>
              </w:rPr>
            </w:pPr>
            <w:r w:rsidRPr="00711DD7">
              <w:rPr>
                <w:rFonts w:eastAsia="Times New Roman"/>
                <w:color w:val="000000"/>
                <w:sz w:val="16"/>
                <w:szCs w:val="16"/>
                <w:lang w:val="es-ES" w:eastAsia="es-ES"/>
              </w:rPr>
              <w:t>1,007</w:t>
            </w:r>
          </w:p>
        </w:tc>
        <w:tc>
          <w:tcPr>
            <w:tcW w:w="1134" w:type="dxa"/>
            <w:tcBorders>
              <w:top w:val="nil"/>
              <w:left w:val="nil"/>
              <w:bottom w:val="single" w:sz="4" w:space="0" w:color="auto"/>
              <w:right w:val="single" w:sz="4" w:space="0" w:color="auto"/>
            </w:tcBorders>
            <w:shd w:val="clear" w:color="auto" w:fill="auto"/>
            <w:vAlign w:val="center"/>
            <w:hideMark/>
          </w:tcPr>
          <w:p w:rsidR="00252867" w:rsidRPr="00711DD7" w:rsidRDefault="00252867" w:rsidP="005B4E5F">
            <w:pPr>
              <w:jc w:val="right"/>
              <w:rPr>
                <w:rFonts w:eastAsia="Times New Roman"/>
                <w:color w:val="000000"/>
                <w:sz w:val="16"/>
                <w:szCs w:val="16"/>
                <w:lang w:val="es-ES" w:eastAsia="es-ES"/>
              </w:rPr>
            </w:pPr>
            <w:r w:rsidRPr="00711DD7">
              <w:rPr>
                <w:rFonts w:eastAsia="Times New Roman"/>
                <w:color w:val="000000"/>
                <w:sz w:val="16"/>
                <w:szCs w:val="16"/>
                <w:lang w:val="es-ES" w:eastAsia="es-ES"/>
              </w:rPr>
              <w:t xml:space="preserve">$818,160.57 </w:t>
            </w:r>
          </w:p>
        </w:tc>
        <w:tc>
          <w:tcPr>
            <w:tcW w:w="992" w:type="dxa"/>
            <w:tcBorders>
              <w:top w:val="nil"/>
              <w:left w:val="nil"/>
              <w:bottom w:val="single" w:sz="4" w:space="0" w:color="auto"/>
              <w:right w:val="single" w:sz="4" w:space="0" w:color="auto"/>
            </w:tcBorders>
            <w:shd w:val="clear" w:color="auto" w:fill="auto"/>
            <w:vAlign w:val="center"/>
            <w:hideMark/>
          </w:tcPr>
          <w:p w:rsidR="00252867" w:rsidRPr="00711DD7" w:rsidRDefault="00252867" w:rsidP="005B4E5F">
            <w:pPr>
              <w:jc w:val="right"/>
              <w:rPr>
                <w:rFonts w:eastAsia="Times New Roman"/>
                <w:color w:val="000000"/>
                <w:sz w:val="16"/>
                <w:szCs w:val="16"/>
                <w:lang w:val="es-ES" w:eastAsia="es-ES"/>
              </w:rPr>
            </w:pPr>
            <w:r w:rsidRPr="00711DD7">
              <w:rPr>
                <w:rFonts w:eastAsia="Times New Roman"/>
                <w:color w:val="000000"/>
                <w:sz w:val="16"/>
                <w:szCs w:val="16"/>
                <w:lang w:val="es-ES" w:eastAsia="es-ES"/>
              </w:rPr>
              <w:t xml:space="preserve">$812.47 </w:t>
            </w:r>
          </w:p>
        </w:tc>
        <w:tc>
          <w:tcPr>
            <w:tcW w:w="1134" w:type="dxa"/>
            <w:tcBorders>
              <w:top w:val="nil"/>
              <w:left w:val="nil"/>
              <w:bottom w:val="single" w:sz="4" w:space="0" w:color="auto"/>
              <w:right w:val="single" w:sz="4" w:space="0" w:color="auto"/>
            </w:tcBorders>
            <w:shd w:val="clear" w:color="auto" w:fill="auto"/>
            <w:noWrap/>
            <w:vAlign w:val="center"/>
            <w:hideMark/>
          </w:tcPr>
          <w:p w:rsidR="00252867" w:rsidRPr="00711DD7" w:rsidRDefault="00252867" w:rsidP="005B4E5F">
            <w:pPr>
              <w:jc w:val="right"/>
              <w:rPr>
                <w:rFonts w:eastAsia="Times New Roman"/>
                <w:color w:val="000000"/>
                <w:sz w:val="16"/>
                <w:szCs w:val="16"/>
                <w:lang w:val="es-ES" w:eastAsia="es-ES"/>
              </w:rPr>
            </w:pPr>
            <w:r w:rsidRPr="00711DD7">
              <w:rPr>
                <w:rFonts w:eastAsia="Times New Roman"/>
                <w:color w:val="000000"/>
                <w:sz w:val="16"/>
                <w:szCs w:val="16"/>
                <w:lang w:val="es-ES" w:eastAsia="es-ES"/>
              </w:rPr>
              <w:t>940</w:t>
            </w:r>
          </w:p>
        </w:tc>
        <w:tc>
          <w:tcPr>
            <w:tcW w:w="1276" w:type="dxa"/>
            <w:tcBorders>
              <w:top w:val="nil"/>
              <w:left w:val="nil"/>
              <w:bottom w:val="single" w:sz="4" w:space="0" w:color="auto"/>
              <w:right w:val="single" w:sz="4" w:space="0" w:color="auto"/>
            </w:tcBorders>
            <w:shd w:val="clear" w:color="auto" w:fill="auto"/>
            <w:noWrap/>
            <w:vAlign w:val="center"/>
            <w:hideMark/>
          </w:tcPr>
          <w:p w:rsidR="00252867" w:rsidRPr="00711DD7" w:rsidRDefault="00252867" w:rsidP="005B4E5F">
            <w:pPr>
              <w:jc w:val="right"/>
              <w:rPr>
                <w:rFonts w:eastAsia="Times New Roman"/>
                <w:color w:val="000000"/>
                <w:sz w:val="16"/>
                <w:szCs w:val="16"/>
                <w:lang w:val="es-ES" w:eastAsia="es-ES"/>
              </w:rPr>
            </w:pPr>
            <w:r w:rsidRPr="00711DD7">
              <w:rPr>
                <w:rFonts w:eastAsia="Times New Roman"/>
                <w:color w:val="000000"/>
                <w:sz w:val="16"/>
                <w:szCs w:val="16"/>
                <w:lang w:val="es-ES" w:eastAsia="es-ES"/>
              </w:rPr>
              <w:t>$715,892.80</w:t>
            </w:r>
          </w:p>
        </w:tc>
        <w:tc>
          <w:tcPr>
            <w:tcW w:w="992" w:type="dxa"/>
            <w:tcBorders>
              <w:top w:val="nil"/>
              <w:left w:val="nil"/>
              <w:bottom w:val="single" w:sz="4" w:space="0" w:color="auto"/>
              <w:right w:val="single" w:sz="4" w:space="0" w:color="auto"/>
            </w:tcBorders>
            <w:shd w:val="clear" w:color="auto" w:fill="auto"/>
            <w:noWrap/>
            <w:vAlign w:val="center"/>
            <w:hideMark/>
          </w:tcPr>
          <w:p w:rsidR="00252867" w:rsidRPr="00711DD7" w:rsidRDefault="00252867" w:rsidP="005B4E5F">
            <w:pPr>
              <w:jc w:val="right"/>
              <w:rPr>
                <w:rFonts w:eastAsia="Times New Roman"/>
                <w:color w:val="000000"/>
                <w:sz w:val="16"/>
                <w:szCs w:val="16"/>
                <w:lang w:val="es-ES" w:eastAsia="es-ES"/>
              </w:rPr>
            </w:pPr>
            <w:r w:rsidRPr="00711DD7">
              <w:rPr>
                <w:rFonts w:eastAsia="Times New Roman"/>
                <w:color w:val="000000"/>
                <w:sz w:val="16"/>
                <w:szCs w:val="16"/>
                <w:lang w:val="es-ES" w:eastAsia="es-ES"/>
              </w:rPr>
              <w:t>$761.59</w:t>
            </w:r>
          </w:p>
        </w:tc>
      </w:tr>
      <w:tr w:rsidR="00252867" w:rsidRPr="00711DD7" w:rsidTr="005B4E5F">
        <w:trPr>
          <w:trHeight w:val="300"/>
          <w:jc w:val="center"/>
        </w:trPr>
        <w:tc>
          <w:tcPr>
            <w:tcW w:w="1843" w:type="dxa"/>
            <w:tcBorders>
              <w:top w:val="nil"/>
              <w:left w:val="single" w:sz="4" w:space="0" w:color="auto"/>
              <w:bottom w:val="single" w:sz="4" w:space="0" w:color="auto"/>
              <w:right w:val="single" w:sz="4" w:space="0" w:color="auto"/>
            </w:tcBorders>
            <w:shd w:val="clear" w:color="000000" w:fill="8BC161"/>
            <w:vAlign w:val="center"/>
            <w:hideMark/>
          </w:tcPr>
          <w:p w:rsidR="00252867" w:rsidRPr="00711DD7" w:rsidRDefault="00252867" w:rsidP="005B4E5F">
            <w:pPr>
              <w:jc w:val="center"/>
              <w:rPr>
                <w:rFonts w:eastAsia="Times New Roman"/>
                <w:b/>
                <w:bCs/>
                <w:color w:val="FFFFFF"/>
                <w:sz w:val="16"/>
                <w:szCs w:val="16"/>
                <w:lang w:val="es-ES" w:eastAsia="es-ES"/>
              </w:rPr>
            </w:pPr>
            <w:r w:rsidRPr="00711DD7">
              <w:rPr>
                <w:rFonts w:eastAsia="Times New Roman"/>
                <w:b/>
                <w:bCs/>
                <w:color w:val="FFFFFF"/>
                <w:sz w:val="16"/>
                <w:szCs w:val="16"/>
                <w:lang w:val="es-ES" w:eastAsia="es-ES"/>
              </w:rPr>
              <w:t>TOTAL</w:t>
            </w:r>
          </w:p>
        </w:tc>
        <w:tc>
          <w:tcPr>
            <w:tcW w:w="1134" w:type="dxa"/>
            <w:tcBorders>
              <w:top w:val="nil"/>
              <w:left w:val="nil"/>
              <w:bottom w:val="single" w:sz="4" w:space="0" w:color="auto"/>
              <w:right w:val="single" w:sz="4" w:space="0" w:color="auto"/>
            </w:tcBorders>
            <w:shd w:val="clear" w:color="000000" w:fill="8BC161"/>
            <w:vAlign w:val="center"/>
            <w:hideMark/>
          </w:tcPr>
          <w:p w:rsidR="00252867" w:rsidRPr="00711DD7" w:rsidRDefault="00252867" w:rsidP="005B4E5F">
            <w:pPr>
              <w:jc w:val="center"/>
              <w:rPr>
                <w:rFonts w:eastAsia="Times New Roman"/>
                <w:b/>
                <w:bCs/>
                <w:color w:val="FFFFFF"/>
                <w:sz w:val="16"/>
                <w:szCs w:val="16"/>
                <w:lang w:val="es-ES" w:eastAsia="es-ES"/>
              </w:rPr>
            </w:pPr>
            <w:r w:rsidRPr="00711DD7">
              <w:rPr>
                <w:rFonts w:eastAsia="Times New Roman"/>
                <w:b/>
                <w:bCs/>
                <w:color w:val="FFFFFF"/>
                <w:sz w:val="16"/>
                <w:szCs w:val="16"/>
                <w:lang w:val="es-ES" w:eastAsia="es-ES"/>
              </w:rPr>
              <w:t>1097,955</w:t>
            </w:r>
          </w:p>
        </w:tc>
        <w:tc>
          <w:tcPr>
            <w:tcW w:w="1134" w:type="dxa"/>
            <w:tcBorders>
              <w:top w:val="nil"/>
              <w:left w:val="nil"/>
              <w:bottom w:val="single" w:sz="4" w:space="0" w:color="auto"/>
              <w:right w:val="single" w:sz="4" w:space="0" w:color="auto"/>
            </w:tcBorders>
            <w:shd w:val="clear" w:color="000000" w:fill="8BC161"/>
            <w:vAlign w:val="center"/>
            <w:hideMark/>
          </w:tcPr>
          <w:p w:rsidR="00252867" w:rsidRPr="00711DD7" w:rsidRDefault="00252867" w:rsidP="005B4E5F">
            <w:pPr>
              <w:jc w:val="center"/>
              <w:rPr>
                <w:rFonts w:eastAsia="Times New Roman"/>
                <w:b/>
                <w:bCs/>
                <w:color w:val="FFFFFF"/>
                <w:sz w:val="16"/>
                <w:szCs w:val="16"/>
                <w:lang w:val="es-ES" w:eastAsia="es-ES"/>
              </w:rPr>
            </w:pPr>
            <w:r w:rsidRPr="00711DD7">
              <w:rPr>
                <w:rFonts w:eastAsia="Times New Roman"/>
                <w:b/>
                <w:bCs/>
                <w:color w:val="FFFFFF"/>
                <w:sz w:val="16"/>
                <w:szCs w:val="16"/>
                <w:lang w:val="es-ES" w:eastAsia="es-ES"/>
              </w:rPr>
              <w:t>$7187,127.79</w:t>
            </w:r>
          </w:p>
        </w:tc>
        <w:tc>
          <w:tcPr>
            <w:tcW w:w="992" w:type="dxa"/>
            <w:tcBorders>
              <w:top w:val="nil"/>
              <w:left w:val="nil"/>
              <w:bottom w:val="single" w:sz="4" w:space="0" w:color="auto"/>
              <w:right w:val="single" w:sz="4" w:space="0" w:color="auto"/>
            </w:tcBorders>
            <w:shd w:val="clear" w:color="000000" w:fill="8BC161"/>
            <w:vAlign w:val="center"/>
            <w:hideMark/>
          </w:tcPr>
          <w:p w:rsidR="00252867" w:rsidRPr="00711DD7" w:rsidRDefault="00252867" w:rsidP="005B4E5F">
            <w:pPr>
              <w:jc w:val="center"/>
              <w:rPr>
                <w:rFonts w:eastAsia="Times New Roman"/>
                <w:b/>
                <w:bCs/>
                <w:color w:val="FFFFFF"/>
                <w:sz w:val="16"/>
                <w:szCs w:val="16"/>
                <w:lang w:val="es-ES" w:eastAsia="es-ES"/>
              </w:rPr>
            </w:pPr>
            <w:r w:rsidRPr="00711DD7">
              <w:rPr>
                <w:rFonts w:eastAsia="Times New Roman"/>
                <w:b/>
                <w:bCs/>
                <w:color w:val="FFFFFF"/>
                <w:sz w:val="16"/>
                <w:szCs w:val="16"/>
                <w:lang w:val="es-ES" w:eastAsia="es-ES"/>
              </w:rPr>
              <w:t>$6.55</w:t>
            </w:r>
          </w:p>
        </w:tc>
        <w:tc>
          <w:tcPr>
            <w:tcW w:w="1134" w:type="dxa"/>
            <w:tcBorders>
              <w:top w:val="nil"/>
              <w:left w:val="nil"/>
              <w:bottom w:val="single" w:sz="4" w:space="0" w:color="auto"/>
              <w:right w:val="single" w:sz="4" w:space="0" w:color="auto"/>
            </w:tcBorders>
            <w:shd w:val="clear" w:color="000000" w:fill="8BC161"/>
            <w:vAlign w:val="center"/>
            <w:hideMark/>
          </w:tcPr>
          <w:p w:rsidR="00252867" w:rsidRPr="00711DD7" w:rsidRDefault="00252867" w:rsidP="005B4E5F">
            <w:pPr>
              <w:jc w:val="center"/>
              <w:rPr>
                <w:rFonts w:eastAsia="Times New Roman"/>
                <w:b/>
                <w:bCs/>
                <w:color w:val="FFFFFF"/>
                <w:sz w:val="16"/>
                <w:szCs w:val="16"/>
                <w:lang w:val="es-ES" w:eastAsia="es-ES"/>
              </w:rPr>
            </w:pPr>
            <w:r w:rsidRPr="00711DD7">
              <w:rPr>
                <w:rFonts w:eastAsia="Times New Roman"/>
                <w:b/>
                <w:bCs/>
                <w:color w:val="FFFFFF"/>
                <w:sz w:val="16"/>
                <w:szCs w:val="16"/>
                <w:lang w:val="es-ES" w:eastAsia="es-ES"/>
              </w:rPr>
              <w:t>868,434</w:t>
            </w:r>
          </w:p>
        </w:tc>
        <w:tc>
          <w:tcPr>
            <w:tcW w:w="1276" w:type="dxa"/>
            <w:tcBorders>
              <w:top w:val="nil"/>
              <w:left w:val="nil"/>
              <w:bottom w:val="single" w:sz="4" w:space="0" w:color="auto"/>
              <w:right w:val="single" w:sz="4" w:space="0" w:color="auto"/>
            </w:tcBorders>
            <w:shd w:val="clear" w:color="000000" w:fill="8BC161"/>
            <w:vAlign w:val="center"/>
            <w:hideMark/>
          </w:tcPr>
          <w:p w:rsidR="00252867" w:rsidRPr="00711DD7" w:rsidRDefault="00252867" w:rsidP="005B4E5F">
            <w:pPr>
              <w:jc w:val="center"/>
              <w:rPr>
                <w:rFonts w:eastAsia="Times New Roman"/>
                <w:b/>
                <w:bCs/>
                <w:color w:val="FFFFFF"/>
                <w:sz w:val="16"/>
                <w:szCs w:val="16"/>
                <w:lang w:val="es-ES" w:eastAsia="es-ES"/>
              </w:rPr>
            </w:pPr>
            <w:r w:rsidRPr="00711DD7">
              <w:rPr>
                <w:rFonts w:eastAsia="Times New Roman"/>
                <w:b/>
                <w:bCs/>
                <w:color w:val="FFFFFF"/>
                <w:sz w:val="16"/>
                <w:szCs w:val="16"/>
                <w:lang w:val="es-ES" w:eastAsia="es-ES"/>
              </w:rPr>
              <w:t>$7862,739.20</w:t>
            </w:r>
          </w:p>
        </w:tc>
        <w:tc>
          <w:tcPr>
            <w:tcW w:w="992" w:type="dxa"/>
            <w:tcBorders>
              <w:top w:val="nil"/>
              <w:left w:val="nil"/>
              <w:bottom w:val="single" w:sz="4" w:space="0" w:color="auto"/>
              <w:right w:val="single" w:sz="4" w:space="0" w:color="auto"/>
            </w:tcBorders>
            <w:shd w:val="clear" w:color="000000" w:fill="8BC161"/>
            <w:vAlign w:val="center"/>
            <w:hideMark/>
          </w:tcPr>
          <w:p w:rsidR="00252867" w:rsidRPr="00711DD7" w:rsidRDefault="00252867" w:rsidP="005B4E5F">
            <w:pPr>
              <w:jc w:val="center"/>
              <w:rPr>
                <w:rFonts w:eastAsia="Times New Roman"/>
                <w:b/>
                <w:bCs/>
                <w:color w:val="FFFFFF"/>
                <w:sz w:val="16"/>
                <w:szCs w:val="16"/>
                <w:lang w:val="es-ES" w:eastAsia="es-ES"/>
              </w:rPr>
            </w:pPr>
            <w:r w:rsidRPr="00711DD7">
              <w:rPr>
                <w:rFonts w:eastAsia="Times New Roman"/>
                <w:b/>
                <w:bCs/>
                <w:color w:val="FFFFFF"/>
                <w:sz w:val="16"/>
                <w:szCs w:val="16"/>
                <w:lang w:val="es-ES" w:eastAsia="es-ES"/>
              </w:rPr>
              <w:t>$9.05</w:t>
            </w:r>
          </w:p>
        </w:tc>
      </w:tr>
    </w:tbl>
    <w:p w:rsidR="00252867" w:rsidRDefault="00252867" w:rsidP="00252867">
      <w:pPr>
        <w:jc w:val="center"/>
        <w:rPr>
          <w:rFonts w:ascii="Century Gothic" w:hAnsi="Century Gothic"/>
        </w:rPr>
      </w:pPr>
      <w:r>
        <w:rPr>
          <w:rFonts w:ascii="Century Gothic" w:hAnsi="Century Gothic"/>
          <w:sz w:val="16"/>
          <w:szCs w:val="16"/>
        </w:rPr>
        <w:t>Fuente: Sistema de despacho de medicamentos (farmacias privadas y Botiquines Magisteriales</w:t>
      </w:r>
    </w:p>
    <w:p w:rsidR="002425EA" w:rsidRDefault="002425EA" w:rsidP="00252867">
      <w:pPr>
        <w:spacing w:before="200" w:line="276" w:lineRule="auto"/>
        <w:jc w:val="both"/>
        <w:rPr>
          <w:rFonts w:ascii="Century Gothic" w:hAnsi="Century Gothic"/>
        </w:rPr>
      </w:pPr>
    </w:p>
    <w:p w:rsidR="002425EA" w:rsidRDefault="002425EA" w:rsidP="00252867">
      <w:pPr>
        <w:spacing w:before="200" w:line="276" w:lineRule="auto"/>
        <w:jc w:val="both"/>
        <w:rPr>
          <w:rFonts w:ascii="Century Gothic" w:hAnsi="Century Gothic"/>
        </w:rPr>
      </w:pPr>
    </w:p>
    <w:p w:rsidR="00252867" w:rsidRPr="00CB29EF" w:rsidRDefault="00252867" w:rsidP="00252867">
      <w:pPr>
        <w:spacing w:before="200" w:line="276" w:lineRule="auto"/>
        <w:jc w:val="both"/>
        <w:rPr>
          <w:rFonts w:ascii="Century Gothic" w:hAnsi="Century Gothic"/>
        </w:rPr>
      </w:pPr>
      <w:r w:rsidRPr="00CB29EF">
        <w:rPr>
          <w:rFonts w:ascii="Century Gothic" w:hAnsi="Century Gothic"/>
        </w:rPr>
        <w:t>Los Botiquines Magisteriales, ubicados en cada uno de los Policlínicos, permiten dispensar el medicamento oportunamente y reduce los costos de tiempo y traslado a los docentes.</w:t>
      </w:r>
    </w:p>
    <w:p w:rsidR="00252867" w:rsidRPr="00CB29EF" w:rsidRDefault="00252867" w:rsidP="00252867">
      <w:pPr>
        <w:jc w:val="both"/>
        <w:rPr>
          <w:rFonts w:ascii="Century Gothic" w:hAnsi="Century Gothic"/>
        </w:rPr>
      </w:pPr>
      <w:r w:rsidRPr="00CB29EF">
        <w:rPr>
          <w:rFonts w:ascii="Century Gothic" w:hAnsi="Century Gothic"/>
        </w:rPr>
        <w:t xml:space="preserve">  </w:t>
      </w:r>
    </w:p>
    <w:bookmarkEnd w:id="23"/>
    <w:p w:rsidR="00381593" w:rsidRDefault="00381593" w:rsidP="008407E4">
      <w:pPr>
        <w:jc w:val="both"/>
        <w:rPr>
          <w:rFonts w:ascii="Century Gothic" w:hAnsi="Century Gothic"/>
        </w:rPr>
      </w:pPr>
    </w:p>
    <w:p w:rsidR="00E012B6" w:rsidRPr="00EC3C1E" w:rsidRDefault="00E012B6" w:rsidP="00E61FA9">
      <w:pPr>
        <w:pStyle w:val="Ttulo4"/>
        <w:numPr>
          <w:ilvl w:val="3"/>
          <w:numId w:val="18"/>
        </w:numPr>
        <w:spacing w:after="120"/>
        <w:rPr>
          <w:sz w:val="24"/>
        </w:rPr>
      </w:pPr>
      <w:bookmarkStart w:id="40" w:name="_Toc491684907"/>
      <w:r w:rsidRPr="00EC3C1E">
        <w:rPr>
          <w:sz w:val="24"/>
        </w:rPr>
        <w:t>PRESTACIONES Y BENEFICIOS</w:t>
      </w:r>
      <w:bookmarkEnd w:id="40"/>
    </w:p>
    <w:p w:rsidR="00464EDC" w:rsidRDefault="00464EDC" w:rsidP="001D643D">
      <w:pPr>
        <w:spacing w:before="200" w:line="276" w:lineRule="auto"/>
        <w:jc w:val="both"/>
        <w:rPr>
          <w:rFonts w:ascii="Century Gothic" w:hAnsi="Century Gothic"/>
          <w:highlight w:val="red"/>
        </w:rPr>
      </w:pPr>
    </w:p>
    <w:p w:rsidR="00720FE9" w:rsidRDefault="00EC3C1E" w:rsidP="00EC3C1E">
      <w:pPr>
        <w:spacing w:before="200" w:line="276" w:lineRule="auto"/>
        <w:jc w:val="both"/>
        <w:rPr>
          <w:rFonts w:ascii="Century Gothic" w:hAnsi="Century Gothic"/>
        </w:rPr>
      </w:pPr>
      <w:r w:rsidRPr="00EC3C1E">
        <w:rPr>
          <w:rFonts w:ascii="Century Gothic" w:hAnsi="Century Gothic"/>
        </w:rPr>
        <w:t xml:space="preserve">Como parte de las prestaciones y beneficios brindados se tienen: </w:t>
      </w:r>
    </w:p>
    <w:p w:rsidR="00EC3C1E" w:rsidRPr="00EC3C1E" w:rsidRDefault="00EC3C1E" w:rsidP="00EC3C1E">
      <w:pPr>
        <w:spacing w:before="200" w:line="276" w:lineRule="auto"/>
        <w:jc w:val="both"/>
        <w:rPr>
          <w:rFonts w:ascii="Century Gothic" w:hAnsi="Century Gothic"/>
        </w:rPr>
      </w:pPr>
      <w:r w:rsidRPr="00EC3C1E">
        <w:rPr>
          <w:rFonts w:ascii="Century Gothic" w:hAnsi="Century Gothic"/>
        </w:rPr>
        <w:t>Subsidios por Incapacidad Temporal, Subsidio por Incapacidad Permanente y Ayuda por Gastos Funerarios.</w:t>
      </w:r>
      <w:r>
        <w:rPr>
          <w:rFonts w:ascii="Century Gothic" w:hAnsi="Century Gothic"/>
        </w:rPr>
        <w:t xml:space="preserve"> Detalle a continuación:</w:t>
      </w:r>
    </w:p>
    <w:p w:rsidR="00EC3C1E" w:rsidRPr="00EC3C1E" w:rsidRDefault="00EC3C1E" w:rsidP="00EC3C1E">
      <w:pPr>
        <w:spacing w:before="200" w:line="276" w:lineRule="auto"/>
        <w:jc w:val="both"/>
        <w:rPr>
          <w:rFonts w:ascii="Century Gothic" w:hAnsi="Century Gothic"/>
        </w:rPr>
      </w:pPr>
      <w:r w:rsidRPr="00EC3C1E">
        <w:rPr>
          <w:noProof/>
          <w:lang w:eastAsia="es-SV"/>
        </w:rPr>
        <w:drawing>
          <wp:inline distT="0" distB="0" distL="0" distR="0" wp14:anchorId="7110AA88" wp14:editId="276B1573">
            <wp:extent cx="5612130" cy="2109524"/>
            <wp:effectExtent l="0" t="0" r="7620" b="508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2109524"/>
                    </a:xfrm>
                    <a:prstGeom prst="rect">
                      <a:avLst/>
                    </a:prstGeom>
                    <a:noFill/>
                    <a:ln>
                      <a:noFill/>
                    </a:ln>
                  </pic:spPr>
                </pic:pic>
              </a:graphicData>
            </a:graphic>
          </wp:inline>
        </w:drawing>
      </w:r>
    </w:p>
    <w:p w:rsidR="00EC3C1E" w:rsidRPr="00EC3C1E" w:rsidRDefault="00EC3C1E" w:rsidP="00EC3C1E">
      <w:pPr>
        <w:autoSpaceDE w:val="0"/>
        <w:autoSpaceDN w:val="0"/>
        <w:adjustRightInd w:val="0"/>
        <w:rPr>
          <w:rFonts w:ascii="Century Gothic" w:hAnsi="Century Gothic" w:cs="Myriad Pro"/>
          <w:color w:val="000000"/>
          <w:sz w:val="16"/>
          <w:szCs w:val="16"/>
        </w:rPr>
      </w:pPr>
      <w:r w:rsidRPr="00EC3C1E">
        <w:rPr>
          <w:rFonts w:ascii="Century Gothic" w:hAnsi="Century Gothic" w:cs="Myriad Pro"/>
          <w:color w:val="000000"/>
          <w:sz w:val="16"/>
          <w:szCs w:val="16"/>
        </w:rPr>
        <w:t xml:space="preserve">           Fuente: Registros de la División de Riesgos Profesionales, Beneficios y Prestaciones.</w:t>
      </w:r>
    </w:p>
    <w:p w:rsidR="00EC3C1E" w:rsidRPr="00EC3C1E" w:rsidRDefault="00EC3C1E" w:rsidP="00EC3C1E">
      <w:pPr>
        <w:jc w:val="both"/>
        <w:rPr>
          <w:rFonts w:ascii="Century Gothic" w:hAnsi="Century Gothic"/>
        </w:rPr>
      </w:pPr>
    </w:p>
    <w:p w:rsidR="00EC3C1E" w:rsidRPr="00EC3C1E" w:rsidRDefault="00EC3C1E" w:rsidP="00EC3C1E">
      <w:pPr>
        <w:spacing w:before="200" w:line="276" w:lineRule="auto"/>
        <w:jc w:val="both"/>
        <w:rPr>
          <w:rFonts w:ascii="Century Gothic" w:eastAsia="Calibri" w:hAnsi="Century Gothic"/>
        </w:rPr>
      </w:pPr>
    </w:p>
    <w:p w:rsidR="00EC3C1E" w:rsidRPr="00CB29EF" w:rsidRDefault="00720FE9" w:rsidP="00EC3C1E">
      <w:pPr>
        <w:spacing w:before="200" w:line="276" w:lineRule="auto"/>
        <w:jc w:val="both"/>
        <w:rPr>
          <w:rFonts w:ascii="Century Gothic" w:eastAsia="Calibri" w:hAnsi="Century Gothic"/>
        </w:rPr>
      </w:pPr>
      <w:r w:rsidRPr="00CB29EF">
        <w:rPr>
          <w:rFonts w:ascii="Century Gothic" w:eastAsia="Calibri" w:hAnsi="Century Gothic"/>
        </w:rPr>
        <w:t>También</w:t>
      </w:r>
      <w:r w:rsidR="00EC3C1E" w:rsidRPr="00CB29EF">
        <w:rPr>
          <w:rFonts w:ascii="Century Gothic" w:eastAsia="Calibri" w:hAnsi="Century Gothic"/>
        </w:rPr>
        <w:t xml:space="preserve"> se aprobó:</w:t>
      </w:r>
    </w:p>
    <w:p w:rsidR="00EC3C1E" w:rsidRPr="00CB29EF" w:rsidRDefault="009A1EFB" w:rsidP="00EC3C1E">
      <w:pPr>
        <w:spacing w:before="200" w:line="276" w:lineRule="auto"/>
        <w:jc w:val="both"/>
        <w:rPr>
          <w:rFonts w:ascii="Century Gothic" w:eastAsia="Calibri" w:hAnsi="Century Gothic"/>
        </w:rPr>
      </w:pPr>
      <w:r w:rsidRPr="00CB29EF">
        <w:rPr>
          <w:rFonts w:ascii="Century Gothic" w:eastAsia="Calibri" w:hAnsi="Century Gothic"/>
        </w:rPr>
        <w:t>L</w:t>
      </w:r>
      <w:r w:rsidR="00EC3C1E" w:rsidRPr="00CB29EF">
        <w:rPr>
          <w:rFonts w:ascii="Century Gothic" w:eastAsia="Calibri" w:hAnsi="Century Gothic"/>
        </w:rPr>
        <w:t>a reincorporación o continuidad en el Programa Especial de Salud de 20 jóvenes con invalidez o discapacidad, mayores de 21 años.</w:t>
      </w:r>
    </w:p>
    <w:p w:rsidR="00720FE9" w:rsidRPr="00CB29EF" w:rsidRDefault="00720FE9" w:rsidP="00EC3C1E">
      <w:pPr>
        <w:spacing w:before="200" w:line="276" w:lineRule="auto"/>
        <w:jc w:val="both"/>
        <w:rPr>
          <w:rFonts w:ascii="Century Gothic" w:eastAsia="Calibri" w:hAnsi="Century Gothic"/>
        </w:rPr>
      </w:pPr>
    </w:p>
    <w:p w:rsidR="00EC3C1E" w:rsidRPr="00CB29EF" w:rsidRDefault="00EC3C1E" w:rsidP="00EC3C1E">
      <w:pPr>
        <w:spacing w:before="200" w:line="276" w:lineRule="auto"/>
        <w:jc w:val="both"/>
        <w:rPr>
          <w:rFonts w:ascii="Century Gothic" w:eastAsia="Calibri" w:hAnsi="Century Gothic"/>
        </w:rPr>
      </w:pPr>
      <w:r w:rsidRPr="00CB29EF">
        <w:rPr>
          <w:rFonts w:ascii="Century Gothic" w:eastAsia="Calibri" w:hAnsi="Century Gothic"/>
        </w:rPr>
        <w:t>Además, se otorgó pensiones por Riesgos Profesionales, según el detalle siguiente:</w:t>
      </w:r>
    </w:p>
    <w:p w:rsidR="00EC3C1E" w:rsidRPr="00CB29EF" w:rsidRDefault="00EC3C1E" w:rsidP="00EC3C1E">
      <w:pPr>
        <w:numPr>
          <w:ilvl w:val="0"/>
          <w:numId w:val="44"/>
        </w:numPr>
        <w:spacing w:before="200" w:line="276" w:lineRule="auto"/>
        <w:jc w:val="both"/>
        <w:rPr>
          <w:rFonts w:ascii="Century Gothic" w:eastAsia="Calibri" w:hAnsi="Century Gothic"/>
        </w:rPr>
      </w:pPr>
      <w:r w:rsidRPr="00CB29EF">
        <w:rPr>
          <w:rFonts w:ascii="Century Gothic" w:eastAsia="Calibri" w:hAnsi="Century Gothic"/>
        </w:rPr>
        <w:t>03 Pensiones de Sobrevivencia a beneficiarios de docentes fallecidos.</w:t>
      </w:r>
    </w:p>
    <w:p w:rsidR="00EC3C1E" w:rsidRPr="00CB29EF" w:rsidRDefault="00EC3C1E" w:rsidP="00EC3C1E">
      <w:pPr>
        <w:numPr>
          <w:ilvl w:val="0"/>
          <w:numId w:val="44"/>
        </w:numPr>
        <w:spacing w:before="200" w:line="276" w:lineRule="auto"/>
        <w:jc w:val="both"/>
        <w:rPr>
          <w:rFonts w:ascii="Century Gothic" w:eastAsia="Calibri" w:hAnsi="Century Gothic"/>
        </w:rPr>
      </w:pPr>
      <w:r w:rsidRPr="00CB29EF">
        <w:rPr>
          <w:rFonts w:ascii="Century Gothic" w:eastAsia="Calibri" w:hAnsi="Century Gothic"/>
        </w:rPr>
        <w:t>01 Pensión por Invalidez a servidor público docente.</w:t>
      </w:r>
    </w:p>
    <w:p w:rsidR="00464EDC" w:rsidRPr="00CB29EF" w:rsidRDefault="00464EDC" w:rsidP="001D643D">
      <w:pPr>
        <w:spacing w:before="200" w:line="276" w:lineRule="auto"/>
        <w:jc w:val="both"/>
        <w:rPr>
          <w:rFonts w:ascii="Century Gothic" w:hAnsi="Century Gothic"/>
          <w:highlight w:val="red"/>
        </w:rPr>
      </w:pPr>
    </w:p>
    <w:p w:rsidR="00464EDC" w:rsidRDefault="00464EDC" w:rsidP="001D643D">
      <w:pPr>
        <w:spacing w:before="200" w:line="276" w:lineRule="auto"/>
        <w:jc w:val="both"/>
        <w:rPr>
          <w:rFonts w:ascii="Century Gothic" w:hAnsi="Century Gothic"/>
          <w:highlight w:val="red"/>
        </w:rPr>
      </w:pPr>
    </w:p>
    <w:p w:rsidR="002D21CA" w:rsidRDefault="002D21CA" w:rsidP="001D643D">
      <w:pPr>
        <w:spacing w:before="200" w:line="276" w:lineRule="auto"/>
        <w:jc w:val="both"/>
        <w:rPr>
          <w:rFonts w:ascii="Century Gothic" w:hAnsi="Century Gothic"/>
          <w:highlight w:val="red"/>
        </w:rPr>
      </w:pPr>
    </w:p>
    <w:p w:rsidR="002D21CA" w:rsidRDefault="002D21CA" w:rsidP="001D643D">
      <w:pPr>
        <w:spacing w:before="200" w:line="276" w:lineRule="auto"/>
        <w:jc w:val="both"/>
        <w:rPr>
          <w:rFonts w:ascii="Century Gothic" w:hAnsi="Century Gothic"/>
          <w:highlight w:val="red"/>
        </w:rPr>
      </w:pPr>
    </w:p>
    <w:p w:rsidR="002D21CA" w:rsidRDefault="002D21CA" w:rsidP="001D643D">
      <w:pPr>
        <w:spacing w:before="200" w:line="276" w:lineRule="auto"/>
        <w:jc w:val="both"/>
        <w:rPr>
          <w:rFonts w:ascii="Century Gothic" w:hAnsi="Century Gothic"/>
          <w:highlight w:val="red"/>
        </w:rPr>
      </w:pPr>
    </w:p>
    <w:p w:rsidR="002D21CA" w:rsidRDefault="002D21CA" w:rsidP="001D643D">
      <w:pPr>
        <w:spacing w:before="200" w:line="276" w:lineRule="auto"/>
        <w:jc w:val="both"/>
        <w:rPr>
          <w:rFonts w:ascii="Century Gothic" w:hAnsi="Century Gothic"/>
          <w:highlight w:val="red"/>
        </w:rPr>
      </w:pPr>
    </w:p>
    <w:p w:rsidR="002D21CA" w:rsidRDefault="002D21CA" w:rsidP="001D643D">
      <w:pPr>
        <w:spacing w:before="200" w:line="276" w:lineRule="auto"/>
        <w:jc w:val="both"/>
        <w:rPr>
          <w:rFonts w:ascii="Century Gothic" w:hAnsi="Century Gothic"/>
          <w:highlight w:val="red"/>
        </w:rPr>
      </w:pPr>
    </w:p>
    <w:p w:rsidR="00885901" w:rsidRDefault="00885901" w:rsidP="001D643D">
      <w:pPr>
        <w:spacing w:before="200" w:line="276" w:lineRule="auto"/>
        <w:jc w:val="both"/>
        <w:rPr>
          <w:rFonts w:ascii="Century Gothic" w:hAnsi="Century Gothic"/>
          <w:highlight w:val="red"/>
        </w:rPr>
      </w:pPr>
    </w:p>
    <w:p w:rsidR="00885901" w:rsidRDefault="00885901" w:rsidP="00885901">
      <w:pPr>
        <w:pStyle w:val="Ttulo3"/>
        <w:numPr>
          <w:ilvl w:val="0"/>
          <w:numId w:val="9"/>
        </w:numPr>
        <w:spacing w:after="240"/>
        <w:ind w:left="357" w:hanging="357"/>
        <w:jc w:val="both"/>
        <w:rPr>
          <w:sz w:val="24"/>
        </w:rPr>
      </w:pPr>
      <w:bookmarkStart w:id="41" w:name="_Toc491684908"/>
      <w:r w:rsidRPr="007651C1">
        <w:rPr>
          <w:sz w:val="24"/>
        </w:rPr>
        <w:t>FORTALECIMIENTO ADMINISTRATIVO INSTITUCIONAL</w:t>
      </w:r>
      <w:bookmarkEnd w:id="41"/>
    </w:p>
    <w:p w:rsidR="00885901" w:rsidRDefault="00885901" w:rsidP="00885901">
      <w:pPr>
        <w:pStyle w:val="Ttulo4"/>
        <w:numPr>
          <w:ilvl w:val="3"/>
          <w:numId w:val="25"/>
        </w:numPr>
        <w:spacing w:after="120"/>
        <w:rPr>
          <w:sz w:val="24"/>
        </w:rPr>
      </w:pPr>
      <w:bookmarkStart w:id="42" w:name="_Toc491684909"/>
      <w:r>
        <w:rPr>
          <w:sz w:val="24"/>
        </w:rPr>
        <w:t>DESARROLLO HUMANO</w:t>
      </w:r>
      <w:bookmarkEnd w:id="42"/>
      <w:r>
        <w:rPr>
          <w:sz w:val="24"/>
        </w:rPr>
        <w:t xml:space="preserve"> </w:t>
      </w:r>
    </w:p>
    <w:p w:rsidR="00720FE9" w:rsidRDefault="00720FE9" w:rsidP="00885901"/>
    <w:p w:rsidR="00720FE9" w:rsidRDefault="00720FE9" w:rsidP="00885901">
      <w:r>
        <w:rPr>
          <w:noProof/>
          <w:lang w:eastAsia="es-SV"/>
        </w:rPr>
        <w:drawing>
          <wp:inline distT="0" distB="0" distL="0" distR="0" wp14:anchorId="6408BCDF" wp14:editId="3E42920D">
            <wp:extent cx="5612130" cy="2149291"/>
            <wp:effectExtent l="0" t="0" r="762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2149291"/>
                    </a:xfrm>
                    <a:prstGeom prst="rect">
                      <a:avLst/>
                    </a:prstGeom>
                    <a:noFill/>
                  </pic:spPr>
                </pic:pic>
              </a:graphicData>
            </a:graphic>
          </wp:inline>
        </w:drawing>
      </w:r>
    </w:p>
    <w:p w:rsidR="00720FE9" w:rsidRDefault="00720FE9" w:rsidP="00885901"/>
    <w:p w:rsidR="00720FE9" w:rsidRDefault="00720FE9" w:rsidP="00885901"/>
    <w:p w:rsidR="00720FE9" w:rsidRDefault="00720FE9" w:rsidP="00885901"/>
    <w:p w:rsidR="00885901" w:rsidRPr="007E61DD" w:rsidRDefault="00885901" w:rsidP="00885901">
      <w:pPr>
        <w:jc w:val="center"/>
        <w:rPr>
          <w:b/>
          <w:bCs/>
        </w:rPr>
      </w:pPr>
      <w:r>
        <w:rPr>
          <w:noProof/>
          <w:lang w:eastAsia="es-SV"/>
        </w:rPr>
        <w:drawing>
          <wp:anchor distT="0" distB="0" distL="114300" distR="114300" simplePos="0" relativeHeight="251667456" behindDoc="0" locked="0" layoutInCell="1" allowOverlap="1" wp14:anchorId="64DCAE3C" wp14:editId="011520E6">
            <wp:simplePos x="0" y="0"/>
            <wp:positionH relativeFrom="column">
              <wp:posOffset>-146685</wp:posOffset>
            </wp:positionH>
            <wp:positionV relativeFrom="paragraph">
              <wp:posOffset>238760</wp:posOffset>
            </wp:positionV>
            <wp:extent cx="5953125" cy="2705100"/>
            <wp:effectExtent l="0" t="0" r="9525" b="0"/>
            <wp:wrapSquare wrapText="bothSides"/>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7E61DD">
        <w:rPr>
          <w:b/>
          <w:bCs/>
        </w:rPr>
        <w:t>DISTRIBUCIÓN POR ZONA</w:t>
      </w:r>
    </w:p>
    <w:p w:rsidR="00885901" w:rsidRPr="00740CEA" w:rsidRDefault="00885901" w:rsidP="00885901">
      <w:pPr>
        <w:pStyle w:val="Default"/>
        <w:rPr>
          <w:rFonts w:ascii="Century Gothic" w:hAnsi="Century Gothic"/>
          <w:sz w:val="16"/>
          <w:szCs w:val="16"/>
        </w:rPr>
      </w:pPr>
      <w:r w:rsidRPr="00740CEA">
        <w:rPr>
          <w:rFonts w:ascii="Century Gothic" w:hAnsi="Century Gothic"/>
          <w:sz w:val="16"/>
          <w:szCs w:val="16"/>
        </w:rPr>
        <w:t xml:space="preserve">          </w:t>
      </w:r>
      <w:r>
        <w:rPr>
          <w:rFonts w:ascii="Century Gothic" w:hAnsi="Century Gothic"/>
          <w:sz w:val="16"/>
          <w:szCs w:val="16"/>
        </w:rPr>
        <w:t>Fuente: Departamento de Desarrollo Humano.</w:t>
      </w:r>
    </w:p>
    <w:tbl>
      <w:tblPr>
        <w:tblpPr w:leftFromText="141" w:rightFromText="141" w:vertAnchor="page" w:horzAnchor="margin" w:tblpXSpec="center" w:tblpY="12376"/>
        <w:tblW w:w="5016" w:type="pct"/>
        <w:tblCellMar>
          <w:left w:w="70" w:type="dxa"/>
          <w:right w:w="70" w:type="dxa"/>
        </w:tblCellMar>
        <w:tblLook w:val="04A0" w:firstRow="1" w:lastRow="0" w:firstColumn="1" w:lastColumn="0" w:noHBand="0" w:noVBand="1"/>
      </w:tblPr>
      <w:tblGrid>
        <w:gridCol w:w="1802"/>
        <w:gridCol w:w="1967"/>
        <w:gridCol w:w="1785"/>
        <w:gridCol w:w="1131"/>
        <w:gridCol w:w="1495"/>
        <w:gridCol w:w="827"/>
      </w:tblGrid>
      <w:tr w:rsidR="00885901" w:rsidRPr="00304D15" w:rsidTr="005B4E5F">
        <w:trPr>
          <w:trHeight w:val="186"/>
        </w:trPr>
        <w:tc>
          <w:tcPr>
            <w:tcW w:w="1000" w:type="pct"/>
            <w:tcBorders>
              <w:top w:val="nil"/>
              <w:left w:val="nil"/>
              <w:bottom w:val="nil"/>
              <w:right w:val="nil"/>
            </w:tcBorders>
            <w:shd w:val="clear" w:color="auto" w:fill="auto"/>
            <w:noWrap/>
            <w:vAlign w:val="bottom"/>
          </w:tcPr>
          <w:p w:rsidR="00885901" w:rsidRPr="00304D15" w:rsidRDefault="00885901" w:rsidP="005B4E5F">
            <w:pPr>
              <w:rPr>
                <w:rFonts w:asciiTheme="minorHAnsi" w:eastAsia="Times New Roman" w:hAnsiTheme="minorHAnsi"/>
                <w:color w:val="000000"/>
                <w:lang w:eastAsia="es-SV"/>
              </w:rPr>
            </w:pPr>
          </w:p>
        </w:tc>
        <w:tc>
          <w:tcPr>
            <w:tcW w:w="1092" w:type="pct"/>
            <w:tcBorders>
              <w:top w:val="nil"/>
              <w:left w:val="nil"/>
              <w:bottom w:val="nil"/>
              <w:right w:val="nil"/>
            </w:tcBorders>
            <w:shd w:val="clear" w:color="auto" w:fill="auto"/>
            <w:noWrap/>
            <w:vAlign w:val="bottom"/>
          </w:tcPr>
          <w:p w:rsidR="00885901" w:rsidRPr="00304D15" w:rsidRDefault="00885901" w:rsidP="005B4E5F">
            <w:pPr>
              <w:rPr>
                <w:rFonts w:asciiTheme="minorHAnsi" w:eastAsia="Times New Roman" w:hAnsiTheme="minorHAnsi"/>
                <w:color w:val="000000"/>
                <w:lang w:eastAsia="es-SV"/>
              </w:rPr>
            </w:pPr>
          </w:p>
        </w:tc>
        <w:tc>
          <w:tcPr>
            <w:tcW w:w="991" w:type="pct"/>
            <w:tcBorders>
              <w:top w:val="nil"/>
              <w:left w:val="nil"/>
              <w:bottom w:val="nil"/>
              <w:right w:val="nil"/>
            </w:tcBorders>
            <w:shd w:val="clear" w:color="auto" w:fill="auto"/>
            <w:noWrap/>
            <w:vAlign w:val="bottom"/>
          </w:tcPr>
          <w:p w:rsidR="00885901" w:rsidRPr="00304D15" w:rsidRDefault="00885901" w:rsidP="005B4E5F">
            <w:pPr>
              <w:rPr>
                <w:rFonts w:asciiTheme="minorHAnsi" w:eastAsia="Times New Roman" w:hAnsiTheme="minorHAnsi"/>
                <w:color w:val="000000"/>
                <w:lang w:eastAsia="es-SV"/>
              </w:rPr>
            </w:pPr>
          </w:p>
        </w:tc>
        <w:tc>
          <w:tcPr>
            <w:tcW w:w="628" w:type="pct"/>
            <w:tcBorders>
              <w:top w:val="nil"/>
              <w:left w:val="nil"/>
              <w:bottom w:val="nil"/>
              <w:right w:val="nil"/>
            </w:tcBorders>
            <w:shd w:val="clear" w:color="auto" w:fill="auto"/>
            <w:noWrap/>
            <w:vAlign w:val="bottom"/>
          </w:tcPr>
          <w:p w:rsidR="00885901" w:rsidRPr="00304D15" w:rsidRDefault="00885901" w:rsidP="005B4E5F">
            <w:pPr>
              <w:rPr>
                <w:rFonts w:asciiTheme="minorHAnsi" w:eastAsia="Times New Roman" w:hAnsiTheme="minorHAnsi"/>
                <w:color w:val="000000"/>
                <w:lang w:eastAsia="es-SV"/>
              </w:rPr>
            </w:pPr>
          </w:p>
        </w:tc>
        <w:tc>
          <w:tcPr>
            <w:tcW w:w="830" w:type="pct"/>
            <w:tcBorders>
              <w:top w:val="nil"/>
              <w:left w:val="nil"/>
              <w:bottom w:val="nil"/>
              <w:right w:val="nil"/>
            </w:tcBorders>
            <w:shd w:val="clear" w:color="auto" w:fill="auto"/>
            <w:noWrap/>
            <w:vAlign w:val="bottom"/>
          </w:tcPr>
          <w:p w:rsidR="00885901" w:rsidRPr="00304D15" w:rsidRDefault="00885901" w:rsidP="005B4E5F">
            <w:pPr>
              <w:rPr>
                <w:rFonts w:asciiTheme="minorHAnsi" w:eastAsia="Times New Roman" w:hAnsiTheme="minorHAnsi"/>
                <w:color w:val="000000"/>
                <w:lang w:eastAsia="es-SV"/>
              </w:rPr>
            </w:pPr>
          </w:p>
        </w:tc>
        <w:tc>
          <w:tcPr>
            <w:tcW w:w="459" w:type="pct"/>
            <w:tcBorders>
              <w:top w:val="nil"/>
              <w:left w:val="nil"/>
              <w:bottom w:val="nil"/>
              <w:right w:val="nil"/>
            </w:tcBorders>
            <w:shd w:val="clear" w:color="auto" w:fill="auto"/>
            <w:noWrap/>
            <w:vAlign w:val="bottom"/>
          </w:tcPr>
          <w:p w:rsidR="00885901" w:rsidRPr="00304D15" w:rsidRDefault="00885901" w:rsidP="005B4E5F">
            <w:pPr>
              <w:rPr>
                <w:rFonts w:asciiTheme="minorHAnsi" w:eastAsia="Times New Roman" w:hAnsiTheme="minorHAnsi"/>
                <w:color w:val="000000"/>
                <w:lang w:eastAsia="es-SV"/>
              </w:rPr>
            </w:pPr>
          </w:p>
        </w:tc>
      </w:tr>
      <w:tr w:rsidR="00885901" w:rsidRPr="00304D15" w:rsidTr="005B4E5F">
        <w:trPr>
          <w:trHeight w:val="345"/>
        </w:trPr>
        <w:tc>
          <w:tcPr>
            <w:tcW w:w="1000" w:type="pct"/>
            <w:tcBorders>
              <w:top w:val="nil"/>
              <w:left w:val="nil"/>
              <w:bottom w:val="single" w:sz="4" w:space="0" w:color="auto"/>
              <w:right w:val="nil"/>
            </w:tcBorders>
            <w:shd w:val="clear" w:color="auto" w:fill="auto"/>
            <w:noWrap/>
            <w:vAlign w:val="center"/>
            <w:hideMark/>
          </w:tcPr>
          <w:p w:rsidR="00885901" w:rsidRPr="00304D15" w:rsidRDefault="00885901" w:rsidP="005B4E5F">
            <w:pPr>
              <w:jc w:val="center"/>
              <w:rPr>
                <w:rFonts w:asciiTheme="minorHAnsi" w:eastAsia="Times New Roman" w:hAnsiTheme="minorHAnsi" w:cs="Arial"/>
                <w:b/>
                <w:bCs/>
                <w:u w:val="single"/>
                <w:lang w:eastAsia="es-SV"/>
              </w:rPr>
            </w:pPr>
            <w:r w:rsidRPr="00304D15">
              <w:rPr>
                <w:rFonts w:asciiTheme="minorHAnsi" w:eastAsia="Times New Roman" w:hAnsiTheme="minorHAnsi" w:cs="Arial"/>
                <w:b/>
                <w:bCs/>
                <w:color w:val="365F91" w:themeColor="accent1" w:themeShade="BF"/>
                <w:u w:val="single"/>
                <w:lang w:eastAsia="es-SV"/>
              </w:rPr>
              <w:t>Sexo</w:t>
            </w:r>
          </w:p>
        </w:tc>
        <w:tc>
          <w:tcPr>
            <w:tcW w:w="1092" w:type="pct"/>
            <w:tcBorders>
              <w:top w:val="nil"/>
              <w:left w:val="nil"/>
              <w:bottom w:val="single" w:sz="4" w:space="0" w:color="auto"/>
              <w:right w:val="nil"/>
            </w:tcBorders>
            <w:shd w:val="clear" w:color="auto" w:fill="auto"/>
            <w:vAlign w:val="center"/>
            <w:hideMark/>
          </w:tcPr>
          <w:p w:rsidR="00885901" w:rsidRPr="00304D15" w:rsidRDefault="00885901" w:rsidP="005B4E5F">
            <w:pPr>
              <w:jc w:val="center"/>
              <w:rPr>
                <w:rFonts w:asciiTheme="minorHAnsi" w:eastAsia="Times New Roman" w:hAnsiTheme="minorHAnsi" w:cs="Arial"/>
                <w:b/>
                <w:bCs/>
                <w:color w:val="000000"/>
                <w:u w:val="single"/>
                <w:lang w:eastAsia="es-SV"/>
              </w:rPr>
            </w:pPr>
            <w:r w:rsidRPr="00304D15">
              <w:rPr>
                <w:rFonts w:asciiTheme="minorHAnsi" w:eastAsia="Times New Roman" w:hAnsiTheme="minorHAnsi" w:cs="Arial"/>
                <w:b/>
                <w:bCs/>
                <w:color w:val="000000"/>
                <w:u w:val="single"/>
                <w:lang w:eastAsia="es-SV"/>
              </w:rPr>
              <w:t>Metropolitana y Central</w:t>
            </w:r>
          </w:p>
        </w:tc>
        <w:tc>
          <w:tcPr>
            <w:tcW w:w="991" w:type="pct"/>
            <w:tcBorders>
              <w:top w:val="nil"/>
              <w:left w:val="nil"/>
              <w:bottom w:val="single" w:sz="4" w:space="0" w:color="auto"/>
              <w:right w:val="nil"/>
            </w:tcBorders>
            <w:shd w:val="clear" w:color="auto" w:fill="auto"/>
            <w:noWrap/>
            <w:vAlign w:val="center"/>
            <w:hideMark/>
          </w:tcPr>
          <w:p w:rsidR="00885901" w:rsidRPr="00304D15" w:rsidRDefault="00885901" w:rsidP="004137EB">
            <w:pPr>
              <w:jc w:val="center"/>
              <w:rPr>
                <w:rFonts w:asciiTheme="minorHAnsi" w:eastAsia="Times New Roman" w:hAnsiTheme="minorHAnsi" w:cs="Arial"/>
                <w:b/>
                <w:bCs/>
                <w:color w:val="000000"/>
                <w:u w:val="single"/>
                <w:lang w:eastAsia="es-SV"/>
              </w:rPr>
            </w:pPr>
            <w:r w:rsidRPr="00304D15">
              <w:rPr>
                <w:rFonts w:asciiTheme="minorHAnsi" w:eastAsia="Times New Roman" w:hAnsiTheme="minorHAnsi" w:cs="Arial"/>
                <w:b/>
                <w:bCs/>
                <w:color w:val="000000"/>
                <w:u w:val="single"/>
                <w:lang w:eastAsia="es-SV"/>
              </w:rPr>
              <w:t>Para</w:t>
            </w:r>
            <w:r w:rsidR="004137EB" w:rsidRPr="004137EB">
              <w:rPr>
                <w:rFonts w:asciiTheme="minorHAnsi" w:eastAsia="Times New Roman" w:hAnsiTheme="minorHAnsi" w:cs="Arial"/>
                <w:b/>
                <w:bCs/>
                <w:color w:val="002060"/>
                <w:u w:val="single"/>
                <w:lang w:eastAsia="es-SV"/>
              </w:rPr>
              <w:t>c</w:t>
            </w:r>
            <w:r w:rsidRPr="00304D15">
              <w:rPr>
                <w:rFonts w:asciiTheme="minorHAnsi" w:eastAsia="Times New Roman" w:hAnsiTheme="minorHAnsi" w:cs="Arial"/>
                <w:b/>
                <w:bCs/>
                <w:color w:val="000000"/>
                <w:u w:val="single"/>
                <w:lang w:eastAsia="es-SV"/>
              </w:rPr>
              <w:t xml:space="preserve">entral </w:t>
            </w:r>
          </w:p>
        </w:tc>
        <w:tc>
          <w:tcPr>
            <w:tcW w:w="628" w:type="pct"/>
            <w:tcBorders>
              <w:top w:val="nil"/>
              <w:left w:val="nil"/>
              <w:bottom w:val="single" w:sz="4" w:space="0" w:color="auto"/>
              <w:right w:val="nil"/>
            </w:tcBorders>
            <w:shd w:val="clear" w:color="auto" w:fill="auto"/>
            <w:noWrap/>
            <w:vAlign w:val="center"/>
            <w:hideMark/>
          </w:tcPr>
          <w:p w:rsidR="00885901" w:rsidRPr="00304D15" w:rsidRDefault="00885901" w:rsidP="005B4E5F">
            <w:pPr>
              <w:jc w:val="center"/>
              <w:rPr>
                <w:rFonts w:asciiTheme="minorHAnsi" w:eastAsia="Times New Roman" w:hAnsiTheme="minorHAnsi" w:cs="Arial"/>
                <w:b/>
                <w:bCs/>
                <w:color w:val="000000"/>
                <w:u w:val="single"/>
                <w:lang w:eastAsia="es-SV"/>
              </w:rPr>
            </w:pPr>
            <w:r w:rsidRPr="00304D15">
              <w:rPr>
                <w:rFonts w:asciiTheme="minorHAnsi" w:eastAsia="Times New Roman" w:hAnsiTheme="minorHAnsi" w:cs="Arial"/>
                <w:b/>
                <w:bCs/>
                <w:color w:val="000000"/>
                <w:u w:val="single"/>
                <w:lang w:eastAsia="es-SV"/>
              </w:rPr>
              <w:t>Oriente</w:t>
            </w:r>
          </w:p>
        </w:tc>
        <w:tc>
          <w:tcPr>
            <w:tcW w:w="830" w:type="pct"/>
            <w:tcBorders>
              <w:top w:val="nil"/>
              <w:left w:val="nil"/>
              <w:bottom w:val="single" w:sz="4" w:space="0" w:color="auto"/>
              <w:right w:val="nil"/>
            </w:tcBorders>
            <w:shd w:val="clear" w:color="auto" w:fill="auto"/>
            <w:noWrap/>
            <w:vAlign w:val="center"/>
            <w:hideMark/>
          </w:tcPr>
          <w:p w:rsidR="00885901" w:rsidRPr="00304D15" w:rsidRDefault="00885901" w:rsidP="005B4E5F">
            <w:pPr>
              <w:jc w:val="center"/>
              <w:rPr>
                <w:rFonts w:asciiTheme="minorHAnsi" w:eastAsia="Times New Roman" w:hAnsiTheme="minorHAnsi" w:cs="Arial"/>
                <w:b/>
                <w:bCs/>
                <w:color w:val="000000"/>
                <w:u w:val="single"/>
                <w:lang w:eastAsia="es-SV"/>
              </w:rPr>
            </w:pPr>
            <w:r w:rsidRPr="00304D15">
              <w:rPr>
                <w:rFonts w:asciiTheme="minorHAnsi" w:eastAsia="Times New Roman" w:hAnsiTheme="minorHAnsi" w:cs="Arial"/>
                <w:b/>
                <w:bCs/>
                <w:color w:val="000000"/>
                <w:u w:val="single"/>
                <w:lang w:eastAsia="es-SV"/>
              </w:rPr>
              <w:t>Occidente</w:t>
            </w:r>
          </w:p>
        </w:tc>
        <w:tc>
          <w:tcPr>
            <w:tcW w:w="459" w:type="pct"/>
            <w:tcBorders>
              <w:top w:val="nil"/>
              <w:left w:val="nil"/>
              <w:bottom w:val="single" w:sz="4" w:space="0" w:color="auto"/>
              <w:right w:val="nil"/>
            </w:tcBorders>
            <w:shd w:val="clear" w:color="auto" w:fill="auto"/>
            <w:noWrap/>
            <w:vAlign w:val="center"/>
            <w:hideMark/>
          </w:tcPr>
          <w:p w:rsidR="00885901" w:rsidRPr="00304D15" w:rsidRDefault="00885901" w:rsidP="005B4E5F">
            <w:pPr>
              <w:jc w:val="center"/>
              <w:rPr>
                <w:rFonts w:asciiTheme="minorHAnsi" w:eastAsia="Times New Roman" w:hAnsiTheme="minorHAnsi" w:cs="Arial"/>
                <w:b/>
                <w:bCs/>
                <w:color w:val="000000"/>
                <w:u w:val="single"/>
                <w:lang w:eastAsia="es-SV"/>
              </w:rPr>
            </w:pPr>
            <w:r w:rsidRPr="00304D15">
              <w:rPr>
                <w:rFonts w:asciiTheme="minorHAnsi" w:eastAsia="Times New Roman" w:hAnsiTheme="minorHAnsi" w:cs="Arial"/>
                <w:b/>
                <w:bCs/>
                <w:color w:val="000000"/>
                <w:u w:val="single"/>
                <w:lang w:eastAsia="es-SV"/>
              </w:rPr>
              <w:t>Total</w:t>
            </w:r>
          </w:p>
        </w:tc>
      </w:tr>
      <w:tr w:rsidR="00885901" w:rsidRPr="00304D15" w:rsidTr="005B4E5F">
        <w:trPr>
          <w:trHeight w:val="168"/>
        </w:trPr>
        <w:tc>
          <w:tcPr>
            <w:tcW w:w="1000" w:type="pct"/>
            <w:tcBorders>
              <w:top w:val="nil"/>
              <w:left w:val="nil"/>
              <w:bottom w:val="nil"/>
              <w:right w:val="nil"/>
            </w:tcBorders>
            <w:shd w:val="clear" w:color="auto" w:fill="DBE5F1" w:themeFill="accent1" w:themeFillTint="33"/>
            <w:noWrap/>
            <w:vAlign w:val="bottom"/>
            <w:hideMark/>
          </w:tcPr>
          <w:p w:rsidR="00885901" w:rsidRPr="00304D15" w:rsidRDefault="00885901" w:rsidP="005B4E5F">
            <w:pPr>
              <w:rPr>
                <w:rFonts w:asciiTheme="minorHAnsi" w:eastAsia="Times New Roman" w:hAnsiTheme="minorHAnsi" w:cs="Arial"/>
                <w:color w:val="365F91" w:themeColor="accent1" w:themeShade="BF"/>
                <w:lang w:eastAsia="es-SV"/>
              </w:rPr>
            </w:pPr>
            <w:r w:rsidRPr="00304D15">
              <w:rPr>
                <w:rFonts w:asciiTheme="minorHAnsi" w:eastAsia="Times New Roman" w:hAnsiTheme="minorHAnsi" w:cs="Arial"/>
                <w:color w:val="365F91" w:themeColor="accent1" w:themeShade="BF"/>
                <w:lang w:eastAsia="es-SV"/>
              </w:rPr>
              <w:t>FEMENINO</w:t>
            </w:r>
          </w:p>
        </w:tc>
        <w:tc>
          <w:tcPr>
            <w:tcW w:w="1092" w:type="pct"/>
            <w:tcBorders>
              <w:top w:val="nil"/>
              <w:left w:val="nil"/>
              <w:bottom w:val="nil"/>
              <w:right w:val="nil"/>
            </w:tcBorders>
            <w:shd w:val="clear" w:color="auto" w:fill="DBE5F1" w:themeFill="accent1" w:themeFillTint="33"/>
            <w:noWrap/>
            <w:vAlign w:val="center"/>
            <w:hideMark/>
          </w:tcPr>
          <w:p w:rsidR="00885901" w:rsidRPr="00304D15" w:rsidRDefault="00885901" w:rsidP="005B4E5F">
            <w:pPr>
              <w:jc w:val="center"/>
              <w:rPr>
                <w:rFonts w:asciiTheme="minorHAnsi" w:eastAsia="Times New Roman" w:hAnsiTheme="minorHAnsi" w:cs="Arial"/>
                <w:lang w:eastAsia="es-SV"/>
              </w:rPr>
            </w:pPr>
            <w:r w:rsidRPr="00304D15">
              <w:rPr>
                <w:rFonts w:asciiTheme="minorHAnsi" w:eastAsia="Times New Roman" w:hAnsiTheme="minorHAnsi" w:cs="Arial"/>
                <w:lang w:eastAsia="es-SV"/>
              </w:rPr>
              <w:t>19</w:t>
            </w:r>
            <w:r>
              <w:rPr>
                <w:rFonts w:asciiTheme="minorHAnsi" w:eastAsia="Times New Roman" w:hAnsiTheme="minorHAnsi" w:cs="Arial"/>
                <w:lang w:eastAsia="es-SV"/>
              </w:rPr>
              <w:t>1</w:t>
            </w:r>
          </w:p>
        </w:tc>
        <w:tc>
          <w:tcPr>
            <w:tcW w:w="991" w:type="pct"/>
            <w:tcBorders>
              <w:top w:val="nil"/>
              <w:left w:val="nil"/>
              <w:bottom w:val="nil"/>
              <w:right w:val="nil"/>
            </w:tcBorders>
            <w:shd w:val="clear" w:color="auto" w:fill="DBE5F1" w:themeFill="accent1" w:themeFillTint="33"/>
            <w:noWrap/>
            <w:vAlign w:val="center"/>
            <w:hideMark/>
          </w:tcPr>
          <w:p w:rsidR="00885901" w:rsidRPr="00304D15" w:rsidRDefault="00885901" w:rsidP="005B4E5F">
            <w:pPr>
              <w:jc w:val="center"/>
              <w:rPr>
                <w:rFonts w:asciiTheme="minorHAnsi" w:eastAsia="Times New Roman" w:hAnsiTheme="minorHAnsi" w:cs="Arial"/>
                <w:lang w:eastAsia="es-SV"/>
              </w:rPr>
            </w:pPr>
            <w:r>
              <w:rPr>
                <w:rFonts w:asciiTheme="minorHAnsi" w:eastAsia="Times New Roman" w:hAnsiTheme="minorHAnsi" w:cs="Arial"/>
                <w:lang w:eastAsia="es-SV"/>
              </w:rPr>
              <w:t>45</w:t>
            </w:r>
          </w:p>
        </w:tc>
        <w:tc>
          <w:tcPr>
            <w:tcW w:w="628" w:type="pct"/>
            <w:tcBorders>
              <w:top w:val="nil"/>
              <w:left w:val="nil"/>
              <w:bottom w:val="nil"/>
              <w:right w:val="nil"/>
            </w:tcBorders>
            <w:shd w:val="clear" w:color="auto" w:fill="DBE5F1" w:themeFill="accent1" w:themeFillTint="33"/>
            <w:noWrap/>
            <w:vAlign w:val="center"/>
            <w:hideMark/>
          </w:tcPr>
          <w:p w:rsidR="00885901" w:rsidRPr="00304D15" w:rsidRDefault="00885901" w:rsidP="005B4E5F">
            <w:pPr>
              <w:jc w:val="center"/>
              <w:rPr>
                <w:rFonts w:asciiTheme="minorHAnsi" w:eastAsia="Times New Roman" w:hAnsiTheme="minorHAnsi" w:cs="Arial"/>
                <w:lang w:eastAsia="es-SV"/>
              </w:rPr>
            </w:pPr>
            <w:r w:rsidRPr="00304D15">
              <w:rPr>
                <w:rFonts w:asciiTheme="minorHAnsi" w:eastAsia="Times New Roman" w:hAnsiTheme="minorHAnsi" w:cs="Arial"/>
                <w:lang w:eastAsia="es-SV"/>
              </w:rPr>
              <w:t>7</w:t>
            </w:r>
            <w:r>
              <w:rPr>
                <w:rFonts w:asciiTheme="minorHAnsi" w:eastAsia="Times New Roman" w:hAnsiTheme="minorHAnsi" w:cs="Arial"/>
                <w:lang w:eastAsia="es-SV"/>
              </w:rPr>
              <w:t>6</w:t>
            </w:r>
          </w:p>
        </w:tc>
        <w:tc>
          <w:tcPr>
            <w:tcW w:w="830" w:type="pct"/>
            <w:tcBorders>
              <w:top w:val="nil"/>
              <w:left w:val="nil"/>
              <w:bottom w:val="nil"/>
              <w:right w:val="nil"/>
            </w:tcBorders>
            <w:shd w:val="clear" w:color="auto" w:fill="DBE5F1" w:themeFill="accent1" w:themeFillTint="33"/>
            <w:noWrap/>
            <w:vAlign w:val="center"/>
            <w:hideMark/>
          </w:tcPr>
          <w:p w:rsidR="00885901" w:rsidRPr="00304D15" w:rsidRDefault="00885901" w:rsidP="005B4E5F">
            <w:pPr>
              <w:jc w:val="center"/>
              <w:rPr>
                <w:rFonts w:asciiTheme="minorHAnsi" w:eastAsia="Times New Roman" w:hAnsiTheme="minorHAnsi" w:cs="Arial"/>
                <w:lang w:eastAsia="es-SV"/>
              </w:rPr>
            </w:pPr>
            <w:r w:rsidRPr="00304D15">
              <w:rPr>
                <w:rFonts w:asciiTheme="minorHAnsi" w:eastAsia="Times New Roman" w:hAnsiTheme="minorHAnsi" w:cs="Arial"/>
                <w:lang w:eastAsia="es-SV"/>
              </w:rPr>
              <w:t>59</w:t>
            </w:r>
          </w:p>
        </w:tc>
        <w:tc>
          <w:tcPr>
            <w:tcW w:w="459" w:type="pct"/>
            <w:tcBorders>
              <w:top w:val="nil"/>
              <w:left w:val="nil"/>
              <w:bottom w:val="nil"/>
              <w:right w:val="nil"/>
            </w:tcBorders>
            <w:shd w:val="clear" w:color="auto" w:fill="DBE5F1" w:themeFill="accent1" w:themeFillTint="33"/>
            <w:noWrap/>
            <w:vAlign w:val="center"/>
            <w:hideMark/>
          </w:tcPr>
          <w:p w:rsidR="00885901" w:rsidRPr="00304D15" w:rsidRDefault="00885901" w:rsidP="005B4E5F">
            <w:pPr>
              <w:jc w:val="center"/>
              <w:rPr>
                <w:rFonts w:asciiTheme="minorHAnsi" w:eastAsia="Times New Roman" w:hAnsiTheme="minorHAnsi" w:cs="Arial"/>
                <w:b/>
                <w:bCs/>
                <w:color w:val="000000"/>
                <w:lang w:eastAsia="es-SV"/>
              </w:rPr>
            </w:pPr>
            <w:r w:rsidRPr="00304D15">
              <w:rPr>
                <w:rFonts w:asciiTheme="minorHAnsi" w:eastAsia="Times New Roman" w:hAnsiTheme="minorHAnsi" w:cs="Arial"/>
                <w:b/>
                <w:bCs/>
                <w:color w:val="000000"/>
                <w:lang w:eastAsia="es-SV"/>
              </w:rPr>
              <w:t>3</w:t>
            </w:r>
            <w:r>
              <w:rPr>
                <w:rFonts w:asciiTheme="minorHAnsi" w:eastAsia="Times New Roman" w:hAnsiTheme="minorHAnsi" w:cs="Arial"/>
                <w:b/>
                <w:bCs/>
                <w:color w:val="000000"/>
                <w:lang w:eastAsia="es-SV"/>
              </w:rPr>
              <w:t>71</w:t>
            </w:r>
          </w:p>
        </w:tc>
      </w:tr>
      <w:tr w:rsidR="00885901" w:rsidRPr="00304D15" w:rsidTr="005B4E5F">
        <w:trPr>
          <w:trHeight w:val="177"/>
        </w:trPr>
        <w:tc>
          <w:tcPr>
            <w:tcW w:w="1000" w:type="pct"/>
            <w:tcBorders>
              <w:top w:val="nil"/>
              <w:left w:val="nil"/>
              <w:bottom w:val="double" w:sz="6" w:space="0" w:color="auto"/>
              <w:right w:val="nil"/>
            </w:tcBorders>
            <w:shd w:val="clear" w:color="auto" w:fill="auto"/>
            <w:noWrap/>
            <w:vAlign w:val="bottom"/>
            <w:hideMark/>
          </w:tcPr>
          <w:p w:rsidR="00885901" w:rsidRPr="00304D15" w:rsidRDefault="00885901" w:rsidP="005B4E5F">
            <w:pPr>
              <w:rPr>
                <w:rFonts w:asciiTheme="minorHAnsi" w:eastAsia="Times New Roman" w:hAnsiTheme="minorHAnsi" w:cs="Arial"/>
                <w:color w:val="365F91" w:themeColor="accent1" w:themeShade="BF"/>
                <w:lang w:eastAsia="es-SV"/>
              </w:rPr>
            </w:pPr>
            <w:r w:rsidRPr="00304D15">
              <w:rPr>
                <w:rFonts w:asciiTheme="minorHAnsi" w:eastAsia="Times New Roman" w:hAnsiTheme="minorHAnsi" w:cs="Arial"/>
                <w:color w:val="365F91" w:themeColor="accent1" w:themeShade="BF"/>
                <w:lang w:eastAsia="es-SV"/>
              </w:rPr>
              <w:t>MASCULINO</w:t>
            </w:r>
          </w:p>
        </w:tc>
        <w:tc>
          <w:tcPr>
            <w:tcW w:w="1092" w:type="pct"/>
            <w:tcBorders>
              <w:top w:val="nil"/>
              <w:left w:val="nil"/>
              <w:bottom w:val="double" w:sz="6" w:space="0" w:color="auto"/>
              <w:right w:val="nil"/>
            </w:tcBorders>
            <w:shd w:val="clear" w:color="auto" w:fill="auto"/>
            <w:noWrap/>
            <w:vAlign w:val="center"/>
            <w:hideMark/>
          </w:tcPr>
          <w:p w:rsidR="00885901" w:rsidRPr="00304D15" w:rsidRDefault="00885901" w:rsidP="005B4E5F">
            <w:pPr>
              <w:jc w:val="center"/>
              <w:rPr>
                <w:rFonts w:asciiTheme="minorHAnsi" w:eastAsia="Times New Roman" w:hAnsiTheme="minorHAnsi" w:cs="Arial"/>
                <w:color w:val="000000"/>
                <w:lang w:eastAsia="es-SV"/>
              </w:rPr>
            </w:pPr>
            <w:r w:rsidRPr="00304D15">
              <w:rPr>
                <w:rFonts w:asciiTheme="minorHAnsi" w:eastAsia="Times New Roman" w:hAnsiTheme="minorHAnsi" w:cs="Arial"/>
                <w:color w:val="000000"/>
                <w:lang w:eastAsia="es-SV"/>
              </w:rPr>
              <w:t>12</w:t>
            </w:r>
            <w:r>
              <w:rPr>
                <w:rFonts w:asciiTheme="minorHAnsi" w:eastAsia="Times New Roman" w:hAnsiTheme="minorHAnsi" w:cs="Arial"/>
                <w:color w:val="000000"/>
                <w:lang w:eastAsia="es-SV"/>
              </w:rPr>
              <w:t>9</w:t>
            </w:r>
          </w:p>
        </w:tc>
        <w:tc>
          <w:tcPr>
            <w:tcW w:w="991" w:type="pct"/>
            <w:tcBorders>
              <w:top w:val="nil"/>
              <w:left w:val="nil"/>
              <w:bottom w:val="double" w:sz="6" w:space="0" w:color="auto"/>
              <w:right w:val="nil"/>
            </w:tcBorders>
            <w:shd w:val="clear" w:color="auto" w:fill="auto"/>
            <w:noWrap/>
            <w:vAlign w:val="center"/>
            <w:hideMark/>
          </w:tcPr>
          <w:p w:rsidR="00885901" w:rsidRPr="00304D15" w:rsidRDefault="00885901" w:rsidP="005B4E5F">
            <w:pPr>
              <w:jc w:val="center"/>
              <w:rPr>
                <w:rFonts w:asciiTheme="minorHAnsi" w:eastAsia="Times New Roman" w:hAnsiTheme="minorHAnsi" w:cs="Arial"/>
                <w:color w:val="000000"/>
                <w:lang w:eastAsia="es-SV"/>
              </w:rPr>
            </w:pPr>
            <w:r>
              <w:rPr>
                <w:rFonts w:asciiTheme="minorHAnsi" w:eastAsia="Times New Roman" w:hAnsiTheme="minorHAnsi" w:cs="Arial"/>
                <w:color w:val="000000"/>
                <w:lang w:eastAsia="es-SV"/>
              </w:rPr>
              <w:t>24</w:t>
            </w:r>
          </w:p>
        </w:tc>
        <w:tc>
          <w:tcPr>
            <w:tcW w:w="628" w:type="pct"/>
            <w:tcBorders>
              <w:top w:val="nil"/>
              <w:left w:val="nil"/>
              <w:bottom w:val="double" w:sz="6" w:space="0" w:color="auto"/>
              <w:right w:val="nil"/>
            </w:tcBorders>
            <w:shd w:val="clear" w:color="auto" w:fill="auto"/>
            <w:noWrap/>
            <w:vAlign w:val="center"/>
            <w:hideMark/>
          </w:tcPr>
          <w:p w:rsidR="00885901" w:rsidRPr="00304D15" w:rsidRDefault="00885901" w:rsidP="005B4E5F">
            <w:pPr>
              <w:jc w:val="center"/>
              <w:rPr>
                <w:rFonts w:asciiTheme="minorHAnsi" w:eastAsia="Times New Roman" w:hAnsiTheme="minorHAnsi" w:cs="Arial"/>
                <w:color w:val="000000"/>
                <w:lang w:eastAsia="es-SV"/>
              </w:rPr>
            </w:pPr>
            <w:r w:rsidRPr="00304D15">
              <w:rPr>
                <w:rFonts w:asciiTheme="minorHAnsi" w:eastAsia="Times New Roman" w:hAnsiTheme="minorHAnsi" w:cs="Arial"/>
                <w:color w:val="000000"/>
                <w:lang w:eastAsia="es-SV"/>
              </w:rPr>
              <w:t>4</w:t>
            </w:r>
            <w:r>
              <w:rPr>
                <w:rFonts w:asciiTheme="minorHAnsi" w:eastAsia="Times New Roman" w:hAnsiTheme="minorHAnsi" w:cs="Arial"/>
                <w:color w:val="000000"/>
                <w:lang w:eastAsia="es-SV"/>
              </w:rPr>
              <w:t>6</w:t>
            </w:r>
          </w:p>
        </w:tc>
        <w:tc>
          <w:tcPr>
            <w:tcW w:w="830" w:type="pct"/>
            <w:tcBorders>
              <w:top w:val="nil"/>
              <w:left w:val="nil"/>
              <w:bottom w:val="double" w:sz="6" w:space="0" w:color="auto"/>
              <w:right w:val="nil"/>
            </w:tcBorders>
            <w:shd w:val="clear" w:color="auto" w:fill="auto"/>
            <w:noWrap/>
            <w:vAlign w:val="center"/>
            <w:hideMark/>
          </w:tcPr>
          <w:p w:rsidR="00885901" w:rsidRPr="00304D15" w:rsidRDefault="00885901" w:rsidP="005B4E5F">
            <w:pPr>
              <w:jc w:val="center"/>
              <w:rPr>
                <w:rFonts w:asciiTheme="minorHAnsi" w:eastAsia="Times New Roman" w:hAnsiTheme="minorHAnsi" w:cs="Arial"/>
                <w:color w:val="000000"/>
                <w:lang w:eastAsia="es-SV"/>
              </w:rPr>
            </w:pPr>
            <w:r w:rsidRPr="00304D15">
              <w:rPr>
                <w:rFonts w:asciiTheme="minorHAnsi" w:eastAsia="Times New Roman" w:hAnsiTheme="minorHAnsi" w:cs="Arial"/>
                <w:color w:val="000000"/>
                <w:lang w:eastAsia="es-SV"/>
              </w:rPr>
              <w:t>3</w:t>
            </w:r>
            <w:r>
              <w:rPr>
                <w:rFonts w:asciiTheme="minorHAnsi" w:eastAsia="Times New Roman" w:hAnsiTheme="minorHAnsi" w:cs="Arial"/>
                <w:color w:val="000000"/>
                <w:lang w:eastAsia="es-SV"/>
              </w:rPr>
              <w:t>1</w:t>
            </w:r>
          </w:p>
        </w:tc>
        <w:tc>
          <w:tcPr>
            <w:tcW w:w="459" w:type="pct"/>
            <w:tcBorders>
              <w:top w:val="nil"/>
              <w:left w:val="nil"/>
              <w:bottom w:val="double" w:sz="6" w:space="0" w:color="auto"/>
              <w:right w:val="nil"/>
            </w:tcBorders>
            <w:shd w:val="clear" w:color="auto" w:fill="auto"/>
            <w:noWrap/>
            <w:vAlign w:val="center"/>
            <w:hideMark/>
          </w:tcPr>
          <w:p w:rsidR="00885901" w:rsidRPr="00304D15" w:rsidRDefault="00885901" w:rsidP="005B4E5F">
            <w:pPr>
              <w:jc w:val="center"/>
              <w:rPr>
                <w:rFonts w:asciiTheme="minorHAnsi" w:eastAsia="Times New Roman" w:hAnsiTheme="minorHAnsi" w:cs="Arial"/>
                <w:b/>
                <w:bCs/>
                <w:color w:val="000000"/>
                <w:lang w:eastAsia="es-SV"/>
              </w:rPr>
            </w:pPr>
            <w:r w:rsidRPr="00304D15">
              <w:rPr>
                <w:rFonts w:asciiTheme="minorHAnsi" w:eastAsia="Times New Roman" w:hAnsiTheme="minorHAnsi" w:cs="Arial"/>
                <w:b/>
                <w:bCs/>
                <w:color w:val="000000"/>
                <w:lang w:eastAsia="es-SV"/>
              </w:rPr>
              <w:t>230</w:t>
            </w:r>
          </w:p>
        </w:tc>
      </w:tr>
      <w:tr w:rsidR="00885901" w:rsidRPr="00304D15" w:rsidTr="005B4E5F">
        <w:trPr>
          <w:trHeight w:val="63"/>
        </w:trPr>
        <w:tc>
          <w:tcPr>
            <w:tcW w:w="1000" w:type="pct"/>
            <w:tcBorders>
              <w:top w:val="nil"/>
              <w:left w:val="nil"/>
              <w:bottom w:val="nil"/>
              <w:right w:val="nil"/>
            </w:tcBorders>
            <w:shd w:val="clear" w:color="auto" w:fill="DBE5F1" w:themeFill="accent1" w:themeFillTint="33"/>
            <w:noWrap/>
            <w:vAlign w:val="bottom"/>
            <w:hideMark/>
          </w:tcPr>
          <w:p w:rsidR="00885901" w:rsidRPr="00304D15" w:rsidRDefault="00885901" w:rsidP="005B4E5F">
            <w:pPr>
              <w:rPr>
                <w:rFonts w:asciiTheme="minorHAnsi" w:eastAsia="Times New Roman" w:hAnsiTheme="minorHAnsi" w:cs="Arial"/>
                <w:b/>
                <w:bCs/>
                <w:color w:val="365F91" w:themeColor="accent1" w:themeShade="BF"/>
                <w:lang w:eastAsia="es-SV"/>
              </w:rPr>
            </w:pPr>
            <w:r w:rsidRPr="00304D15">
              <w:rPr>
                <w:rFonts w:asciiTheme="minorHAnsi" w:eastAsia="Times New Roman" w:hAnsiTheme="minorHAnsi" w:cs="Arial"/>
                <w:b/>
                <w:bCs/>
                <w:color w:val="365F91" w:themeColor="accent1" w:themeShade="BF"/>
                <w:lang w:eastAsia="es-SV"/>
              </w:rPr>
              <w:t xml:space="preserve">Total </w:t>
            </w:r>
          </w:p>
        </w:tc>
        <w:tc>
          <w:tcPr>
            <w:tcW w:w="1092" w:type="pct"/>
            <w:tcBorders>
              <w:top w:val="nil"/>
              <w:left w:val="nil"/>
              <w:bottom w:val="nil"/>
              <w:right w:val="nil"/>
            </w:tcBorders>
            <w:shd w:val="clear" w:color="auto" w:fill="DBE5F1" w:themeFill="accent1" w:themeFillTint="33"/>
            <w:noWrap/>
            <w:vAlign w:val="center"/>
            <w:hideMark/>
          </w:tcPr>
          <w:p w:rsidR="00885901" w:rsidRPr="00304D15" w:rsidRDefault="00885901" w:rsidP="005B4E5F">
            <w:pPr>
              <w:jc w:val="center"/>
              <w:rPr>
                <w:rFonts w:asciiTheme="minorHAnsi" w:eastAsia="Times New Roman" w:hAnsiTheme="minorHAnsi" w:cs="Arial"/>
                <w:b/>
                <w:bCs/>
                <w:color w:val="000000"/>
                <w:lang w:eastAsia="es-SV"/>
              </w:rPr>
            </w:pPr>
            <w:r w:rsidRPr="00304D15">
              <w:rPr>
                <w:rFonts w:asciiTheme="minorHAnsi" w:eastAsia="Times New Roman" w:hAnsiTheme="minorHAnsi" w:cs="Arial"/>
                <w:b/>
                <w:bCs/>
                <w:color w:val="000000"/>
                <w:lang w:eastAsia="es-SV"/>
              </w:rPr>
              <w:t>3</w:t>
            </w:r>
            <w:r>
              <w:rPr>
                <w:rFonts w:asciiTheme="minorHAnsi" w:eastAsia="Times New Roman" w:hAnsiTheme="minorHAnsi" w:cs="Arial"/>
                <w:b/>
                <w:bCs/>
                <w:color w:val="000000"/>
                <w:lang w:eastAsia="es-SV"/>
              </w:rPr>
              <w:t>20</w:t>
            </w:r>
          </w:p>
        </w:tc>
        <w:tc>
          <w:tcPr>
            <w:tcW w:w="991" w:type="pct"/>
            <w:tcBorders>
              <w:top w:val="nil"/>
              <w:left w:val="nil"/>
              <w:bottom w:val="nil"/>
              <w:right w:val="nil"/>
            </w:tcBorders>
            <w:shd w:val="clear" w:color="auto" w:fill="DBE5F1" w:themeFill="accent1" w:themeFillTint="33"/>
            <w:noWrap/>
            <w:vAlign w:val="center"/>
            <w:hideMark/>
          </w:tcPr>
          <w:p w:rsidR="00885901" w:rsidRPr="00304D15" w:rsidRDefault="00885901" w:rsidP="005B4E5F">
            <w:pPr>
              <w:jc w:val="center"/>
              <w:rPr>
                <w:rFonts w:asciiTheme="minorHAnsi" w:eastAsia="Times New Roman" w:hAnsiTheme="minorHAnsi" w:cs="Arial"/>
                <w:b/>
                <w:bCs/>
                <w:color w:val="000000"/>
                <w:lang w:eastAsia="es-SV"/>
              </w:rPr>
            </w:pPr>
            <w:r>
              <w:rPr>
                <w:rFonts w:asciiTheme="minorHAnsi" w:eastAsia="Times New Roman" w:hAnsiTheme="minorHAnsi" w:cs="Arial"/>
                <w:b/>
                <w:bCs/>
                <w:color w:val="000000"/>
                <w:lang w:eastAsia="es-SV"/>
              </w:rPr>
              <w:t>69</w:t>
            </w:r>
          </w:p>
        </w:tc>
        <w:tc>
          <w:tcPr>
            <w:tcW w:w="628" w:type="pct"/>
            <w:tcBorders>
              <w:top w:val="nil"/>
              <w:left w:val="nil"/>
              <w:bottom w:val="nil"/>
              <w:right w:val="nil"/>
            </w:tcBorders>
            <w:shd w:val="clear" w:color="auto" w:fill="DBE5F1" w:themeFill="accent1" w:themeFillTint="33"/>
            <w:noWrap/>
            <w:vAlign w:val="center"/>
            <w:hideMark/>
          </w:tcPr>
          <w:p w:rsidR="00885901" w:rsidRPr="00304D15" w:rsidRDefault="00885901" w:rsidP="005B4E5F">
            <w:pPr>
              <w:jc w:val="center"/>
              <w:rPr>
                <w:rFonts w:asciiTheme="minorHAnsi" w:eastAsia="Times New Roman" w:hAnsiTheme="minorHAnsi" w:cs="Arial"/>
                <w:b/>
                <w:bCs/>
                <w:color w:val="000000"/>
                <w:lang w:eastAsia="es-SV"/>
              </w:rPr>
            </w:pPr>
            <w:r w:rsidRPr="00304D15">
              <w:rPr>
                <w:rFonts w:asciiTheme="minorHAnsi" w:eastAsia="Times New Roman" w:hAnsiTheme="minorHAnsi" w:cs="Arial"/>
                <w:b/>
                <w:bCs/>
                <w:color w:val="000000"/>
                <w:lang w:eastAsia="es-SV"/>
              </w:rPr>
              <w:t>12</w:t>
            </w:r>
            <w:r>
              <w:rPr>
                <w:rFonts w:asciiTheme="minorHAnsi" w:eastAsia="Times New Roman" w:hAnsiTheme="minorHAnsi" w:cs="Arial"/>
                <w:b/>
                <w:bCs/>
                <w:color w:val="000000"/>
                <w:lang w:eastAsia="es-SV"/>
              </w:rPr>
              <w:t>2</w:t>
            </w:r>
          </w:p>
        </w:tc>
        <w:tc>
          <w:tcPr>
            <w:tcW w:w="830" w:type="pct"/>
            <w:tcBorders>
              <w:top w:val="nil"/>
              <w:left w:val="nil"/>
              <w:bottom w:val="nil"/>
              <w:right w:val="nil"/>
            </w:tcBorders>
            <w:shd w:val="clear" w:color="auto" w:fill="DBE5F1" w:themeFill="accent1" w:themeFillTint="33"/>
            <w:noWrap/>
            <w:vAlign w:val="center"/>
            <w:hideMark/>
          </w:tcPr>
          <w:p w:rsidR="00885901" w:rsidRPr="00304D15" w:rsidRDefault="00885901" w:rsidP="005B4E5F">
            <w:pPr>
              <w:jc w:val="center"/>
              <w:rPr>
                <w:rFonts w:asciiTheme="minorHAnsi" w:eastAsia="Times New Roman" w:hAnsiTheme="minorHAnsi" w:cs="Arial"/>
                <w:b/>
                <w:bCs/>
                <w:color w:val="000000"/>
                <w:lang w:eastAsia="es-SV"/>
              </w:rPr>
            </w:pPr>
            <w:r>
              <w:rPr>
                <w:rFonts w:asciiTheme="minorHAnsi" w:eastAsia="Times New Roman" w:hAnsiTheme="minorHAnsi" w:cs="Arial"/>
                <w:b/>
                <w:bCs/>
                <w:color w:val="000000"/>
                <w:lang w:eastAsia="es-SV"/>
              </w:rPr>
              <w:t>90</w:t>
            </w:r>
          </w:p>
        </w:tc>
        <w:tc>
          <w:tcPr>
            <w:tcW w:w="459" w:type="pct"/>
            <w:tcBorders>
              <w:top w:val="nil"/>
              <w:left w:val="nil"/>
              <w:bottom w:val="nil"/>
              <w:right w:val="nil"/>
            </w:tcBorders>
            <w:shd w:val="clear" w:color="auto" w:fill="DBE5F1" w:themeFill="accent1" w:themeFillTint="33"/>
            <w:noWrap/>
            <w:vAlign w:val="center"/>
            <w:hideMark/>
          </w:tcPr>
          <w:p w:rsidR="00885901" w:rsidRPr="00304D15" w:rsidRDefault="00885901" w:rsidP="005B4E5F">
            <w:pPr>
              <w:jc w:val="center"/>
              <w:rPr>
                <w:rFonts w:asciiTheme="minorHAnsi" w:eastAsia="Times New Roman" w:hAnsiTheme="minorHAnsi" w:cs="Arial"/>
                <w:b/>
                <w:bCs/>
                <w:color w:val="000000"/>
                <w:lang w:eastAsia="es-SV"/>
              </w:rPr>
            </w:pPr>
            <w:r w:rsidRPr="00304D15">
              <w:rPr>
                <w:rFonts w:asciiTheme="minorHAnsi" w:eastAsia="Times New Roman" w:hAnsiTheme="minorHAnsi" w:cs="Arial"/>
                <w:b/>
                <w:bCs/>
                <w:color w:val="000000"/>
                <w:lang w:eastAsia="es-SV"/>
              </w:rPr>
              <w:t>6</w:t>
            </w:r>
            <w:r>
              <w:rPr>
                <w:rFonts w:asciiTheme="minorHAnsi" w:eastAsia="Times New Roman" w:hAnsiTheme="minorHAnsi" w:cs="Arial"/>
                <w:b/>
                <w:bCs/>
                <w:color w:val="000000"/>
                <w:lang w:eastAsia="es-SV"/>
              </w:rPr>
              <w:t>01</w:t>
            </w:r>
          </w:p>
        </w:tc>
      </w:tr>
    </w:tbl>
    <w:p w:rsidR="00885901" w:rsidRDefault="00885901" w:rsidP="00885901"/>
    <w:p w:rsidR="00885901" w:rsidRDefault="00885901" w:rsidP="001D643D">
      <w:pPr>
        <w:spacing w:before="200" w:line="276" w:lineRule="auto"/>
        <w:jc w:val="both"/>
        <w:rPr>
          <w:rFonts w:ascii="Century Gothic" w:hAnsi="Century Gothic"/>
          <w:highlight w:val="red"/>
        </w:rPr>
      </w:pPr>
    </w:p>
    <w:p w:rsidR="003C50DE" w:rsidRDefault="003C50DE" w:rsidP="00D972B8"/>
    <w:p w:rsidR="00F549BD" w:rsidRDefault="0092473E" w:rsidP="00E61FA9">
      <w:pPr>
        <w:pStyle w:val="Ttulo4"/>
        <w:numPr>
          <w:ilvl w:val="3"/>
          <w:numId w:val="25"/>
        </w:numPr>
        <w:spacing w:after="120"/>
        <w:rPr>
          <w:sz w:val="24"/>
        </w:rPr>
      </w:pPr>
      <w:bookmarkStart w:id="43" w:name="_Toc491684910"/>
      <w:r w:rsidRPr="003C50DE">
        <w:rPr>
          <w:sz w:val="24"/>
        </w:rPr>
        <w:t>PROCESOS DE ADQUISICIÓN DE BIENES Y SERVICIOS</w:t>
      </w:r>
      <w:bookmarkEnd w:id="43"/>
      <w:r w:rsidR="00F549BD" w:rsidRPr="003C50DE">
        <w:rPr>
          <w:sz w:val="24"/>
        </w:rPr>
        <w:t xml:space="preserve"> </w:t>
      </w:r>
    </w:p>
    <w:p w:rsidR="003C50DE" w:rsidRPr="003C50DE" w:rsidRDefault="003C50DE" w:rsidP="003C50DE"/>
    <w:p w:rsidR="003C50DE" w:rsidRPr="003C50DE" w:rsidRDefault="003C50DE" w:rsidP="003C50DE"/>
    <w:tbl>
      <w:tblPr>
        <w:tblW w:w="5000" w:type="pct"/>
        <w:tblLayout w:type="fixed"/>
        <w:tblCellMar>
          <w:left w:w="70" w:type="dxa"/>
          <w:right w:w="70" w:type="dxa"/>
        </w:tblCellMar>
        <w:tblLook w:val="04A0" w:firstRow="1" w:lastRow="0" w:firstColumn="1" w:lastColumn="0" w:noHBand="0" w:noVBand="1"/>
      </w:tblPr>
      <w:tblGrid>
        <w:gridCol w:w="1104"/>
        <w:gridCol w:w="1286"/>
        <w:gridCol w:w="901"/>
        <w:gridCol w:w="1498"/>
        <w:gridCol w:w="901"/>
        <w:gridCol w:w="1537"/>
        <w:gridCol w:w="1751"/>
      </w:tblGrid>
      <w:tr w:rsidR="003C50DE" w:rsidRPr="003C50DE" w:rsidTr="00896BCB">
        <w:trPr>
          <w:trHeight w:val="435"/>
        </w:trPr>
        <w:tc>
          <w:tcPr>
            <w:tcW w:w="5000" w:type="pct"/>
            <w:gridSpan w:val="7"/>
            <w:tcBorders>
              <w:top w:val="single" w:sz="8" w:space="0" w:color="auto"/>
              <w:left w:val="single" w:sz="8" w:space="0" w:color="auto"/>
              <w:bottom w:val="single" w:sz="8" w:space="0" w:color="auto"/>
              <w:right w:val="single" w:sz="8" w:space="0" w:color="000000"/>
            </w:tcBorders>
            <w:shd w:val="clear" w:color="000000" w:fill="B2C993"/>
            <w:noWrap/>
            <w:vAlign w:val="center"/>
            <w:hideMark/>
          </w:tcPr>
          <w:p w:rsidR="003C50DE" w:rsidRPr="003C50DE" w:rsidRDefault="003C50DE" w:rsidP="003C50DE">
            <w:pPr>
              <w:jc w:val="center"/>
              <w:rPr>
                <w:rFonts w:eastAsia="Times New Roman" w:cs="Calibri"/>
                <w:b/>
                <w:bCs/>
                <w:color w:val="000000"/>
                <w:sz w:val="32"/>
                <w:szCs w:val="32"/>
                <w:lang w:val="es-ES" w:eastAsia="es-ES"/>
              </w:rPr>
            </w:pPr>
            <w:r w:rsidRPr="003C50DE">
              <w:rPr>
                <w:rFonts w:eastAsia="Times New Roman" w:cs="Calibri"/>
                <w:b/>
                <w:bCs/>
                <w:color w:val="000000"/>
                <w:sz w:val="32"/>
                <w:szCs w:val="32"/>
                <w:lang w:val="es-ES" w:eastAsia="es-ES"/>
              </w:rPr>
              <w:t>PROCESOS DE ADQUISICION DE BIENES Y SERV</w:t>
            </w:r>
            <w:r w:rsidR="0009289A">
              <w:rPr>
                <w:rFonts w:eastAsia="Times New Roman" w:cs="Calibri"/>
                <w:b/>
                <w:bCs/>
                <w:color w:val="000000"/>
                <w:sz w:val="32"/>
                <w:szCs w:val="32"/>
                <w:lang w:val="es-ES" w:eastAsia="es-ES"/>
              </w:rPr>
              <w:t>I</w:t>
            </w:r>
            <w:r w:rsidRPr="003C50DE">
              <w:rPr>
                <w:rFonts w:eastAsia="Times New Roman" w:cs="Calibri"/>
                <w:b/>
                <w:bCs/>
                <w:color w:val="000000"/>
                <w:sz w:val="32"/>
                <w:szCs w:val="32"/>
                <w:lang w:val="es-ES" w:eastAsia="es-ES"/>
              </w:rPr>
              <w:t>CIOS</w:t>
            </w:r>
          </w:p>
        </w:tc>
      </w:tr>
      <w:tr w:rsidR="003C50DE" w:rsidRPr="003C50DE" w:rsidTr="00896BCB">
        <w:trPr>
          <w:trHeight w:val="399"/>
        </w:trPr>
        <w:tc>
          <w:tcPr>
            <w:tcW w:w="5000" w:type="pct"/>
            <w:gridSpan w:val="7"/>
            <w:tcBorders>
              <w:top w:val="single" w:sz="8" w:space="0" w:color="auto"/>
              <w:left w:val="single" w:sz="8" w:space="0" w:color="auto"/>
              <w:bottom w:val="single" w:sz="8" w:space="0" w:color="auto"/>
              <w:right w:val="single" w:sz="8" w:space="0" w:color="000000"/>
            </w:tcBorders>
            <w:shd w:val="clear" w:color="000000" w:fill="B2C993"/>
            <w:noWrap/>
            <w:vAlign w:val="center"/>
            <w:hideMark/>
          </w:tcPr>
          <w:p w:rsidR="003C50DE" w:rsidRPr="003C50DE" w:rsidRDefault="003C50DE" w:rsidP="003C50DE">
            <w:pPr>
              <w:jc w:val="center"/>
              <w:rPr>
                <w:rFonts w:eastAsia="Times New Roman" w:cs="Calibri"/>
                <w:b/>
                <w:bCs/>
                <w:color w:val="000000"/>
                <w:sz w:val="32"/>
                <w:szCs w:val="32"/>
                <w:lang w:val="es-ES" w:eastAsia="es-ES"/>
              </w:rPr>
            </w:pPr>
            <w:r w:rsidRPr="003C50DE">
              <w:rPr>
                <w:rFonts w:eastAsia="Times New Roman" w:cs="Calibri"/>
                <w:b/>
                <w:bCs/>
                <w:color w:val="000000"/>
                <w:sz w:val="32"/>
                <w:szCs w:val="32"/>
                <w:lang w:val="es-ES" w:eastAsia="es-ES"/>
              </w:rPr>
              <w:t xml:space="preserve">   JUNIO 2016 – JULIO 2017</w:t>
            </w:r>
          </w:p>
        </w:tc>
      </w:tr>
      <w:tr w:rsidR="003C50DE" w:rsidRPr="003C50DE" w:rsidTr="00896BCB">
        <w:trPr>
          <w:trHeight w:val="415"/>
        </w:trPr>
        <w:tc>
          <w:tcPr>
            <w:tcW w:w="1331" w:type="pct"/>
            <w:gridSpan w:val="2"/>
            <w:vMerge w:val="restart"/>
            <w:tcBorders>
              <w:top w:val="single" w:sz="8" w:space="0" w:color="auto"/>
              <w:left w:val="single" w:sz="8" w:space="0" w:color="auto"/>
              <w:bottom w:val="nil"/>
              <w:right w:val="single" w:sz="8" w:space="0" w:color="000000"/>
            </w:tcBorders>
            <w:shd w:val="clear" w:color="000000" w:fill="FFFFFF"/>
            <w:vAlign w:val="center"/>
            <w:hideMark/>
          </w:tcPr>
          <w:p w:rsidR="003C50DE" w:rsidRPr="003C50DE" w:rsidRDefault="003C50DE" w:rsidP="003C50DE">
            <w:pPr>
              <w:jc w:val="center"/>
              <w:rPr>
                <w:rFonts w:eastAsia="Times New Roman" w:cs="Calibri"/>
                <w:b/>
                <w:color w:val="000000"/>
                <w:sz w:val="16"/>
                <w:szCs w:val="16"/>
                <w:lang w:val="es-ES" w:eastAsia="es-ES"/>
              </w:rPr>
            </w:pPr>
            <w:r w:rsidRPr="003C50DE">
              <w:rPr>
                <w:rFonts w:eastAsia="Times New Roman" w:cs="Calibri"/>
                <w:b/>
                <w:color w:val="000000"/>
                <w:sz w:val="16"/>
                <w:szCs w:val="16"/>
                <w:lang w:val="es-ES" w:eastAsia="es-ES"/>
              </w:rPr>
              <w:t xml:space="preserve">TIPO DE PROCESO   </w:t>
            </w:r>
          </w:p>
        </w:tc>
        <w:tc>
          <w:tcPr>
            <w:tcW w:w="1336" w:type="pct"/>
            <w:gridSpan w:val="2"/>
            <w:tcBorders>
              <w:top w:val="single" w:sz="8" w:space="0" w:color="auto"/>
              <w:left w:val="nil"/>
              <w:bottom w:val="single" w:sz="8" w:space="0" w:color="auto"/>
              <w:right w:val="single" w:sz="8" w:space="0" w:color="000000"/>
            </w:tcBorders>
            <w:shd w:val="clear" w:color="000000" w:fill="FFFFFF"/>
            <w:vAlign w:val="center"/>
            <w:hideMark/>
          </w:tcPr>
          <w:p w:rsidR="003C50DE" w:rsidRPr="003C50DE" w:rsidRDefault="003C50DE" w:rsidP="003C50DE">
            <w:pPr>
              <w:jc w:val="center"/>
              <w:rPr>
                <w:rFonts w:eastAsia="Times New Roman" w:cs="Calibri"/>
                <w:b/>
                <w:color w:val="000000"/>
                <w:sz w:val="16"/>
                <w:szCs w:val="16"/>
                <w:lang w:val="es-ES" w:eastAsia="es-ES"/>
              </w:rPr>
            </w:pPr>
            <w:r w:rsidRPr="003C50DE">
              <w:rPr>
                <w:rFonts w:eastAsia="Times New Roman" w:cs="Calibri"/>
                <w:b/>
                <w:color w:val="000000"/>
                <w:sz w:val="16"/>
                <w:szCs w:val="16"/>
                <w:lang w:val="es-ES" w:eastAsia="es-ES"/>
              </w:rPr>
              <w:t>JUNIO A DICIEMBRE  2016</w:t>
            </w:r>
          </w:p>
        </w:tc>
        <w:tc>
          <w:tcPr>
            <w:tcW w:w="1358" w:type="pct"/>
            <w:gridSpan w:val="2"/>
            <w:tcBorders>
              <w:top w:val="single" w:sz="8" w:space="0" w:color="auto"/>
              <w:left w:val="nil"/>
              <w:bottom w:val="single" w:sz="8" w:space="0" w:color="auto"/>
              <w:right w:val="single" w:sz="8" w:space="0" w:color="000000"/>
            </w:tcBorders>
            <w:shd w:val="clear" w:color="000000" w:fill="FFFFFF"/>
            <w:vAlign w:val="center"/>
            <w:hideMark/>
          </w:tcPr>
          <w:p w:rsidR="003C50DE" w:rsidRPr="003C50DE" w:rsidRDefault="003C50DE" w:rsidP="003C50DE">
            <w:pPr>
              <w:jc w:val="center"/>
              <w:rPr>
                <w:rFonts w:eastAsia="Times New Roman" w:cs="Calibri"/>
                <w:b/>
                <w:color w:val="000000"/>
                <w:sz w:val="16"/>
                <w:szCs w:val="16"/>
                <w:lang w:val="es-ES" w:eastAsia="es-ES"/>
              </w:rPr>
            </w:pPr>
            <w:r w:rsidRPr="003C50DE">
              <w:rPr>
                <w:rFonts w:eastAsia="Times New Roman" w:cs="Calibri"/>
                <w:b/>
                <w:color w:val="000000"/>
                <w:sz w:val="16"/>
                <w:szCs w:val="16"/>
                <w:lang w:val="es-ES" w:eastAsia="es-ES"/>
              </w:rPr>
              <w:t>ENERO A JULIO  2017</w:t>
            </w:r>
          </w:p>
        </w:tc>
        <w:tc>
          <w:tcPr>
            <w:tcW w:w="975" w:type="pct"/>
            <w:vMerge w:val="restart"/>
            <w:tcBorders>
              <w:top w:val="nil"/>
              <w:left w:val="single" w:sz="8" w:space="0" w:color="auto"/>
              <w:bottom w:val="nil"/>
              <w:right w:val="single" w:sz="8" w:space="0" w:color="auto"/>
            </w:tcBorders>
            <w:shd w:val="clear" w:color="000000" w:fill="FFFFFF"/>
            <w:vAlign w:val="center"/>
            <w:hideMark/>
          </w:tcPr>
          <w:p w:rsidR="003C50DE" w:rsidRPr="003C50DE" w:rsidRDefault="003C50DE" w:rsidP="003C50DE">
            <w:pPr>
              <w:jc w:val="center"/>
              <w:rPr>
                <w:rFonts w:eastAsia="Times New Roman" w:cs="Calibri"/>
                <w:b/>
                <w:color w:val="000000"/>
                <w:sz w:val="16"/>
                <w:szCs w:val="16"/>
                <w:lang w:val="es-ES" w:eastAsia="es-ES"/>
              </w:rPr>
            </w:pPr>
            <w:r w:rsidRPr="003C50DE">
              <w:rPr>
                <w:rFonts w:eastAsia="Times New Roman" w:cs="Calibri"/>
                <w:b/>
                <w:color w:val="000000"/>
                <w:sz w:val="16"/>
                <w:szCs w:val="16"/>
                <w:lang w:val="es-ES" w:eastAsia="es-ES"/>
              </w:rPr>
              <w:t xml:space="preserve">MONTO CONTRATADO 2016-2017   </w:t>
            </w:r>
          </w:p>
        </w:tc>
      </w:tr>
      <w:tr w:rsidR="003C50DE" w:rsidRPr="003C50DE" w:rsidTr="00896BCB">
        <w:trPr>
          <w:trHeight w:val="465"/>
        </w:trPr>
        <w:tc>
          <w:tcPr>
            <w:tcW w:w="1331" w:type="pct"/>
            <w:gridSpan w:val="2"/>
            <w:vMerge/>
            <w:tcBorders>
              <w:top w:val="single" w:sz="8" w:space="0" w:color="auto"/>
              <w:left w:val="single" w:sz="8" w:space="0" w:color="auto"/>
              <w:bottom w:val="nil"/>
              <w:right w:val="single" w:sz="8" w:space="0" w:color="000000"/>
            </w:tcBorders>
            <w:vAlign w:val="center"/>
            <w:hideMark/>
          </w:tcPr>
          <w:p w:rsidR="003C50DE" w:rsidRPr="003C50DE" w:rsidRDefault="003C50DE" w:rsidP="003C50DE">
            <w:pPr>
              <w:rPr>
                <w:rFonts w:eastAsia="Times New Roman" w:cs="Calibri"/>
                <w:b/>
                <w:color w:val="000000"/>
                <w:sz w:val="16"/>
                <w:szCs w:val="16"/>
                <w:lang w:val="es-ES" w:eastAsia="es-ES"/>
              </w:rPr>
            </w:pPr>
          </w:p>
        </w:tc>
        <w:tc>
          <w:tcPr>
            <w:tcW w:w="502" w:type="pct"/>
            <w:tcBorders>
              <w:top w:val="nil"/>
              <w:left w:val="nil"/>
              <w:bottom w:val="nil"/>
              <w:right w:val="single" w:sz="8" w:space="0" w:color="auto"/>
            </w:tcBorders>
            <w:shd w:val="clear" w:color="000000" w:fill="FFFFFF"/>
            <w:vAlign w:val="center"/>
            <w:hideMark/>
          </w:tcPr>
          <w:p w:rsidR="003C50DE" w:rsidRPr="003C50DE" w:rsidRDefault="003C50DE" w:rsidP="003C50DE">
            <w:pPr>
              <w:jc w:val="center"/>
              <w:rPr>
                <w:rFonts w:eastAsia="Times New Roman" w:cs="Calibri"/>
                <w:b/>
                <w:color w:val="000000"/>
                <w:sz w:val="16"/>
                <w:szCs w:val="16"/>
                <w:lang w:val="es-ES" w:eastAsia="es-ES"/>
              </w:rPr>
            </w:pPr>
            <w:r w:rsidRPr="003C50DE">
              <w:rPr>
                <w:rFonts w:eastAsia="Times New Roman" w:cs="Calibri"/>
                <w:b/>
                <w:color w:val="000000"/>
                <w:sz w:val="16"/>
                <w:szCs w:val="16"/>
                <w:lang w:val="es-ES" w:eastAsia="es-ES"/>
              </w:rPr>
              <w:t>NO. PROCESOS</w:t>
            </w:r>
          </w:p>
        </w:tc>
        <w:tc>
          <w:tcPr>
            <w:tcW w:w="834" w:type="pct"/>
            <w:tcBorders>
              <w:top w:val="nil"/>
              <w:left w:val="nil"/>
              <w:bottom w:val="nil"/>
              <w:right w:val="single" w:sz="8" w:space="0" w:color="auto"/>
            </w:tcBorders>
            <w:shd w:val="clear" w:color="000000" w:fill="FFFFFF"/>
            <w:vAlign w:val="center"/>
            <w:hideMark/>
          </w:tcPr>
          <w:p w:rsidR="003C50DE" w:rsidRPr="003C50DE" w:rsidRDefault="003C50DE" w:rsidP="003C50DE">
            <w:pPr>
              <w:jc w:val="center"/>
              <w:rPr>
                <w:rFonts w:eastAsia="Times New Roman" w:cs="Calibri"/>
                <w:b/>
                <w:color w:val="000000"/>
                <w:sz w:val="16"/>
                <w:szCs w:val="16"/>
                <w:lang w:val="es-ES" w:eastAsia="es-ES"/>
              </w:rPr>
            </w:pPr>
            <w:r w:rsidRPr="003C50DE">
              <w:rPr>
                <w:rFonts w:eastAsia="Times New Roman" w:cs="Calibri"/>
                <w:b/>
                <w:color w:val="000000"/>
                <w:sz w:val="16"/>
                <w:szCs w:val="16"/>
                <w:lang w:val="es-ES" w:eastAsia="es-ES"/>
              </w:rPr>
              <w:t>MONTO CONTRATADO</w:t>
            </w:r>
          </w:p>
        </w:tc>
        <w:tc>
          <w:tcPr>
            <w:tcW w:w="502" w:type="pct"/>
            <w:tcBorders>
              <w:top w:val="nil"/>
              <w:left w:val="nil"/>
              <w:bottom w:val="nil"/>
              <w:right w:val="single" w:sz="8" w:space="0" w:color="auto"/>
            </w:tcBorders>
            <w:shd w:val="clear" w:color="000000" w:fill="FFFFFF"/>
            <w:vAlign w:val="center"/>
            <w:hideMark/>
          </w:tcPr>
          <w:p w:rsidR="003C50DE" w:rsidRPr="003C50DE" w:rsidRDefault="003C50DE" w:rsidP="003C50DE">
            <w:pPr>
              <w:jc w:val="center"/>
              <w:rPr>
                <w:rFonts w:eastAsia="Times New Roman" w:cs="Calibri"/>
                <w:b/>
                <w:color w:val="000000"/>
                <w:sz w:val="16"/>
                <w:szCs w:val="16"/>
                <w:lang w:val="es-ES" w:eastAsia="es-ES"/>
              </w:rPr>
            </w:pPr>
            <w:r w:rsidRPr="003C50DE">
              <w:rPr>
                <w:rFonts w:eastAsia="Times New Roman" w:cs="Calibri"/>
                <w:b/>
                <w:color w:val="000000"/>
                <w:sz w:val="16"/>
                <w:szCs w:val="16"/>
                <w:lang w:val="es-ES" w:eastAsia="es-ES"/>
              </w:rPr>
              <w:t>NO. PROCESOS</w:t>
            </w:r>
          </w:p>
        </w:tc>
        <w:tc>
          <w:tcPr>
            <w:tcW w:w="856" w:type="pct"/>
            <w:tcBorders>
              <w:top w:val="nil"/>
              <w:left w:val="nil"/>
              <w:bottom w:val="nil"/>
              <w:right w:val="single" w:sz="8" w:space="0" w:color="auto"/>
            </w:tcBorders>
            <w:shd w:val="clear" w:color="000000" w:fill="FFFFFF"/>
            <w:vAlign w:val="center"/>
            <w:hideMark/>
          </w:tcPr>
          <w:p w:rsidR="003C50DE" w:rsidRPr="003C50DE" w:rsidRDefault="003C50DE" w:rsidP="003C50DE">
            <w:pPr>
              <w:jc w:val="center"/>
              <w:rPr>
                <w:rFonts w:eastAsia="Times New Roman" w:cs="Calibri"/>
                <w:b/>
                <w:color w:val="000000"/>
                <w:sz w:val="16"/>
                <w:szCs w:val="16"/>
                <w:lang w:val="es-ES" w:eastAsia="es-ES"/>
              </w:rPr>
            </w:pPr>
            <w:r w:rsidRPr="003C50DE">
              <w:rPr>
                <w:rFonts w:eastAsia="Times New Roman" w:cs="Calibri"/>
                <w:b/>
                <w:color w:val="000000"/>
                <w:sz w:val="16"/>
                <w:szCs w:val="16"/>
                <w:lang w:val="es-ES" w:eastAsia="es-ES"/>
              </w:rPr>
              <w:t>MONTO CONTRATADO</w:t>
            </w:r>
          </w:p>
        </w:tc>
        <w:tc>
          <w:tcPr>
            <w:tcW w:w="975" w:type="pct"/>
            <w:vMerge/>
            <w:tcBorders>
              <w:top w:val="nil"/>
              <w:left w:val="single" w:sz="8" w:space="0" w:color="auto"/>
              <w:bottom w:val="nil"/>
              <w:right w:val="single" w:sz="8" w:space="0" w:color="auto"/>
            </w:tcBorders>
            <w:vAlign w:val="center"/>
            <w:hideMark/>
          </w:tcPr>
          <w:p w:rsidR="003C50DE" w:rsidRPr="003C50DE" w:rsidRDefault="003C50DE" w:rsidP="003C50DE">
            <w:pPr>
              <w:rPr>
                <w:rFonts w:eastAsia="Times New Roman" w:cs="Calibri"/>
                <w:color w:val="000000"/>
                <w:sz w:val="16"/>
                <w:szCs w:val="16"/>
                <w:lang w:val="es-ES" w:eastAsia="es-ES"/>
              </w:rPr>
            </w:pPr>
          </w:p>
        </w:tc>
      </w:tr>
      <w:tr w:rsidR="003C50DE" w:rsidRPr="003C50DE" w:rsidTr="00896BCB">
        <w:trPr>
          <w:trHeight w:val="315"/>
        </w:trPr>
        <w:tc>
          <w:tcPr>
            <w:tcW w:w="615" w:type="pct"/>
            <w:vMerge w:val="restart"/>
            <w:tcBorders>
              <w:top w:val="single" w:sz="8" w:space="0" w:color="auto"/>
              <w:left w:val="single" w:sz="8" w:space="0" w:color="auto"/>
              <w:bottom w:val="single" w:sz="4" w:space="0" w:color="auto"/>
              <w:right w:val="single" w:sz="4" w:space="0" w:color="auto"/>
            </w:tcBorders>
            <w:shd w:val="clear" w:color="000000" w:fill="B2C993"/>
            <w:vAlign w:val="center"/>
            <w:hideMark/>
          </w:tcPr>
          <w:p w:rsidR="003C50DE" w:rsidRPr="003C50DE" w:rsidRDefault="003C50DE" w:rsidP="003C50DE">
            <w:pPr>
              <w:rPr>
                <w:rFonts w:eastAsia="Times New Roman" w:cs="Calibri"/>
                <w:color w:val="000000"/>
                <w:sz w:val="16"/>
                <w:szCs w:val="16"/>
                <w:lang w:val="es-ES" w:eastAsia="es-ES"/>
              </w:rPr>
            </w:pPr>
            <w:r w:rsidRPr="003C50DE">
              <w:rPr>
                <w:rFonts w:eastAsia="Times New Roman" w:cs="Calibri"/>
                <w:color w:val="000000"/>
                <w:sz w:val="16"/>
                <w:szCs w:val="16"/>
                <w:lang w:val="es-ES" w:eastAsia="es-ES"/>
              </w:rPr>
              <w:t xml:space="preserve">Libre Gestión </w:t>
            </w:r>
          </w:p>
        </w:tc>
        <w:tc>
          <w:tcPr>
            <w:tcW w:w="716" w:type="pct"/>
            <w:tcBorders>
              <w:top w:val="single" w:sz="8" w:space="0" w:color="auto"/>
              <w:left w:val="nil"/>
              <w:bottom w:val="single" w:sz="4" w:space="0" w:color="auto"/>
              <w:right w:val="single" w:sz="4" w:space="0" w:color="auto"/>
            </w:tcBorders>
            <w:shd w:val="clear" w:color="000000" w:fill="B2C993"/>
            <w:vAlign w:val="center"/>
            <w:hideMark/>
          </w:tcPr>
          <w:p w:rsidR="003C50DE" w:rsidRPr="003C50DE" w:rsidRDefault="003C50DE" w:rsidP="003C50DE">
            <w:pPr>
              <w:rPr>
                <w:rFonts w:eastAsia="Times New Roman" w:cs="Calibri"/>
                <w:color w:val="000000"/>
                <w:sz w:val="16"/>
                <w:szCs w:val="16"/>
                <w:lang w:val="es-ES" w:eastAsia="es-ES"/>
              </w:rPr>
            </w:pPr>
            <w:r w:rsidRPr="003C50DE">
              <w:rPr>
                <w:rFonts w:eastAsia="Times New Roman" w:cs="Calibri"/>
                <w:color w:val="000000"/>
                <w:sz w:val="16"/>
                <w:szCs w:val="16"/>
                <w:lang w:val="es-ES" w:eastAsia="es-ES"/>
              </w:rPr>
              <w:t xml:space="preserve">Salud </w:t>
            </w:r>
          </w:p>
        </w:tc>
        <w:tc>
          <w:tcPr>
            <w:tcW w:w="502" w:type="pct"/>
            <w:tcBorders>
              <w:top w:val="single" w:sz="8" w:space="0" w:color="auto"/>
              <w:left w:val="nil"/>
              <w:bottom w:val="single" w:sz="4" w:space="0" w:color="auto"/>
              <w:right w:val="single" w:sz="4" w:space="0" w:color="auto"/>
            </w:tcBorders>
            <w:shd w:val="clear" w:color="000000" w:fill="B2C993"/>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9</w:t>
            </w:r>
          </w:p>
        </w:tc>
        <w:tc>
          <w:tcPr>
            <w:tcW w:w="834" w:type="pct"/>
            <w:tcBorders>
              <w:top w:val="single" w:sz="8" w:space="0" w:color="auto"/>
              <w:left w:val="nil"/>
              <w:bottom w:val="single" w:sz="4" w:space="0" w:color="auto"/>
              <w:right w:val="single" w:sz="4" w:space="0" w:color="auto"/>
            </w:tcBorders>
            <w:shd w:val="clear" w:color="000000" w:fill="B2C993"/>
            <w:noWrap/>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$72,896.00</w:t>
            </w:r>
          </w:p>
        </w:tc>
        <w:tc>
          <w:tcPr>
            <w:tcW w:w="502" w:type="pct"/>
            <w:tcBorders>
              <w:top w:val="single" w:sz="8" w:space="0" w:color="auto"/>
              <w:left w:val="nil"/>
              <w:bottom w:val="single" w:sz="4" w:space="0" w:color="auto"/>
              <w:right w:val="single" w:sz="4" w:space="0" w:color="auto"/>
            </w:tcBorders>
            <w:shd w:val="clear" w:color="000000" w:fill="B2C993"/>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20</w:t>
            </w:r>
          </w:p>
        </w:tc>
        <w:tc>
          <w:tcPr>
            <w:tcW w:w="856" w:type="pct"/>
            <w:tcBorders>
              <w:top w:val="single" w:sz="8" w:space="0" w:color="auto"/>
              <w:left w:val="nil"/>
              <w:bottom w:val="single" w:sz="4" w:space="0" w:color="auto"/>
              <w:right w:val="single" w:sz="4" w:space="0" w:color="auto"/>
            </w:tcBorders>
            <w:shd w:val="clear" w:color="000000" w:fill="B2C993"/>
            <w:noWrap/>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$88,739.50</w:t>
            </w:r>
          </w:p>
        </w:tc>
        <w:tc>
          <w:tcPr>
            <w:tcW w:w="975" w:type="pct"/>
            <w:vMerge w:val="restart"/>
            <w:tcBorders>
              <w:top w:val="single" w:sz="8" w:space="0" w:color="auto"/>
              <w:left w:val="single" w:sz="4" w:space="0" w:color="auto"/>
              <w:bottom w:val="single" w:sz="4" w:space="0" w:color="auto"/>
              <w:right w:val="single" w:sz="8" w:space="0" w:color="auto"/>
            </w:tcBorders>
            <w:shd w:val="clear" w:color="000000" w:fill="B2C993"/>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$1,303,997.42</w:t>
            </w:r>
          </w:p>
        </w:tc>
      </w:tr>
      <w:tr w:rsidR="003C50DE" w:rsidRPr="003C50DE" w:rsidTr="00896BCB">
        <w:trPr>
          <w:trHeight w:val="330"/>
        </w:trPr>
        <w:tc>
          <w:tcPr>
            <w:tcW w:w="615" w:type="pct"/>
            <w:vMerge/>
            <w:tcBorders>
              <w:top w:val="single" w:sz="8" w:space="0" w:color="auto"/>
              <w:left w:val="single" w:sz="8" w:space="0" w:color="auto"/>
              <w:bottom w:val="single" w:sz="4" w:space="0" w:color="auto"/>
              <w:right w:val="single" w:sz="4" w:space="0" w:color="auto"/>
            </w:tcBorders>
            <w:vAlign w:val="center"/>
            <w:hideMark/>
          </w:tcPr>
          <w:p w:rsidR="003C50DE" w:rsidRPr="003C50DE" w:rsidRDefault="003C50DE" w:rsidP="003C50DE">
            <w:pPr>
              <w:rPr>
                <w:rFonts w:eastAsia="Times New Roman" w:cs="Calibri"/>
                <w:color w:val="000000"/>
                <w:sz w:val="16"/>
                <w:szCs w:val="16"/>
                <w:lang w:val="es-ES" w:eastAsia="es-ES"/>
              </w:rPr>
            </w:pPr>
          </w:p>
        </w:tc>
        <w:tc>
          <w:tcPr>
            <w:tcW w:w="716" w:type="pct"/>
            <w:tcBorders>
              <w:top w:val="nil"/>
              <w:left w:val="nil"/>
              <w:bottom w:val="nil"/>
              <w:right w:val="single" w:sz="4" w:space="0" w:color="auto"/>
            </w:tcBorders>
            <w:shd w:val="clear" w:color="000000" w:fill="B2C993"/>
            <w:vAlign w:val="center"/>
            <w:hideMark/>
          </w:tcPr>
          <w:p w:rsidR="003C50DE" w:rsidRPr="003C50DE" w:rsidRDefault="003C50DE" w:rsidP="003C50DE">
            <w:pPr>
              <w:rPr>
                <w:rFonts w:eastAsia="Times New Roman" w:cs="Calibri"/>
                <w:color w:val="000000"/>
                <w:sz w:val="16"/>
                <w:szCs w:val="16"/>
                <w:lang w:val="es-ES" w:eastAsia="es-ES"/>
              </w:rPr>
            </w:pPr>
            <w:r w:rsidRPr="003C50DE">
              <w:rPr>
                <w:rFonts w:eastAsia="Times New Roman" w:cs="Calibri"/>
                <w:color w:val="000000"/>
                <w:sz w:val="16"/>
                <w:szCs w:val="16"/>
                <w:lang w:val="es-ES" w:eastAsia="es-ES"/>
              </w:rPr>
              <w:t>Administrativo</w:t>
            </w:r>
          </w:p>
        </w:tc>
        <w:tc>
          <w:tcPr>
            <w:tcW w:w="502" w:type="pct"/>
            <w:tcBorders>
              <w:top w:val="nil"/>
              <w:left w:val="nil"/>
              <w:bottom w:val="nil"/>
              <w:right w:val="single" w:sz="4" w:space="0" w:color="auto"/>
            </w:tcBorders>
            <w:shd w:val="clear" w:color="000000" w:fill="B2C993"/>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52</w:t>
            </w:r>
          </w:p>
        </w:tc>
        <w:tc>
          <w:tcPr>
            <w:tcW w:w="834" w:type="pct"/>
            <w:tcBorders>
              <w:top w:val="nil"/>
              <w:left w:val="nil"/>
              <w:bottom w:val="nil"/>
              <w:right w:val="single" w:sz="4" w:space="0" w:color="auto"/>
            </w:tcBorders>
            <w:shd w:val="clear" w:color="000000" w:fill="B2C993"/>
            <w:noWrap/>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$220,678.29</w:t>
            </w:r>
          </w:p>
        </w:tc>
        <w:tc>
          <w:tcPr>
            <w:tcW w:w="502" w:type="pct"/>
            <w:tcBorders>
              <w:top w:val="nil"/>
              <w:left w:val="nil"/>
              <w:bottom w:val="nil"/>
              <w:right w:val="single" w:sz="4" w:space="0" w:color="auto"/>
            </w:tcBorders>
            <w:shd w:val="clear" w:color="000000" w:fill="B2C993"/>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76</w:t>
            </w:r>
          </w:p>
        </w:tc>
        <w:tc>
          <w:tcPr>
            <w:tcW w:w="856" w:type="pct"/>
            <w:tcBorders>
              <w:top w:val="nil"/>
              <w:left w:val="nil"/>
              <w:bottom w:val="nil"/>
              <w:right w:val="single" w:sz="4" w:space="0" w:color="auto"/>
            </w:tcBorders>
            <w:shd w:val="clear" w:color="000000" w:fill="B2C993"/>
            <w:noWrap/>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$921,683.63</w:t>
            </w:r>
          </w:p>
        </w:tc>
        <w:tc>
          <w:tcPr>
            <w:tcW w:w="975" w:type="pct"/>
            <w:vMerge/>
            <w:tcBorders>
              <w:top w:val="single" w:sz="8" w:space="0" w:color="auto"/>
              <w:left w:val="single" w:sz="4" w:space="0" w:color="auto"/>
              <w:bottom w:val="single" w:sz="4" w:space="0" w:color="auto"/>
              <w:right w:val="single" w:sz="8" w:space="0" w:color="auto"/>
            </w:tcBorders>
            <w:vAlign w:val="center"/>
            <w:hideMark/>
          </w:tcPr>
          <w:p w:rsidR="003C50DE" w:rsidRPr="003C50DE" w:rsidRDefault="003C50DE" w:rsidP="003C50DE">
            <w:pPr>
              <w:rPr>
                <w:rFonts w:eastAsia="Times New Roman" w:cs="Calibri"/>
                <w:color w:val="000000"/>
                <w:sz w:val="16"/>
                <w:szCs w:val="16"/>
                <w:lang w:val="es-ES" w:eastAsia="es-ES"/>
              </w:rPr>
            </w:pPr>
          </w:p>
        </w:tc>
      </w:tr>
      <w:tr w:rsidR="003C50DE" w:rsidRPr="003C50DE" w:rsidTr="00896BCB">
        <w:trPr>
          <w:trHeight w:val="315"/>
        </w:trPr>
        <w:tc>
          <w:tcPr>
            <w:tcW w:w="615"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3C50DE" w:rsidRPr="003C50DE" w:rsidRDefault="003C50DE" w:rsidP="003C50DE">
            <w:pPr>
              <w:rPr>
                <w:rFonts w:eastAsia="Times New Roman" w:cs="Calibri"/>
                <w:color w:val="000000"/>
                <w:sz w:val="16"/>
                <w:szCs w:val="16"/>
                <w:lang w:val="es-ES" w:eastAsia="es-ES"/>
              </w:rPr>
            </w:pPr>
            <w:r w:rsidRPr="003C50DE">
              <w:rPr>
                <w:rFonts w:eastAsia="Times New Roman" w:cs="Calibri"/>
                <w:color w:val="000000"/>
                <w:sz w:val="16"/>
                <w:szCs w:val="16"/>
                <w:lang w:val="es-ES" w:eastAsia="es-ES"/>
              </w:rPr>
              <w:t xml:space="preserve">Licitación Pública  </w:t>
            </w:r>
          </w:p>
        </w:tc>
        <w:tc>
          <w:tcPr>
            <w:tcW w:w="716" w:type="pct"/>
            <w:tcBorders>
              <w:top w:val="single" w:sz="8" w:space="0" w:color="auto"/>
              <w:left w:val="nil"/>
              <w:bottom w:val="single" w:sz="4" w:space="0" w:color="auto"/>
              <w:right w:val="single" w:sz="4" w:space="0" w:color="auto"/>
            </w:tcBorders>
            <w:shd w:val="clear" w:color="auto" w:fill="auto"/>
            <w:vAlign w:val="center"/>
            <w:hideMark/>
          </w:tcPr>
          <w:p w:rsidR="003C50DE" w:rsidRPr="003C50DE" w:rsidRDefault="003C50DE" w:rsidP="003C50DE">
            <w:pPr>
              <w:rPr>
                <w:rFonts w:eastAsia="Times New Roman" w:cs="Calibri"/>
                <w:color w:val="000000"/>
                <w:sz w:val="16"/>
                <w:szCs w:val="16"/>
                <w:lang w:val="es-ES" w:eastAsia="es-ES"/>
              </w:rPr>
            </w:pPr>
            <w:r w:rsidRPr="003C50DE">
              <w:rPr>
                <w:rFonts w:eastAsia="Times New Roman" w:cs="Calibri"/>
                <w:color w:val="000000"/>
                <w:sz w:val="16"/>
                <w:szCs w:val="16"/>
                <w:lang w:val="es-ES" w:eastAsia="es-ES"/>
              </w:rPr>
              <w:t xml:space="preserve">Salud </w:t>
            </w:r>
          </w:p>
        </w:tc>
        <w:tc>
          <w:tcPr>
            <w:tcW w:w="502" w:type="pct"/>
            <w:tcBorders>
              <w:top w:val="single" w:sz="8" w:space="0" w:color="auto"/>
              <w:left w:val="nil"/>
              <w:bottom w:val="single" w:sz="4" w:space="0" w:color="auto"/>
              <w:right w:val="single" w:sz="4" w:space="0" w:color="auto"/>
            </w:tcBorders>
            <w:shd w:val="clear" w:color="auto" w:fill="auto"/>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9</w:t>
            </w:r>
          </w:p>
        </w:tc>
        <w:tc>
          <w:tcPr>
            <w:tcW w:w="834" w:type="pct"/>
            <w:tcBorders>
              <w:top w:val="single" w:sz="8" w:space="0" w:color="auto"/>
              <w:left w:val="nil"/>
              <w:bottom w:val="single" w:sz="4" w:space="0" w:color="auto"/>
              <w:right w:val="single" w:sz="4" w:space="0" w:color="auto"/>
            </w:tcBorders>
            <w:shd w:val="clear" w:color="auto" w:fill="auto"/>
            <w:noWrap/>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$6,426,851.48</w:t>
            </w:r>
          </w:p>
        </w:tc>
        <w:tc>
          <w:tcPr>
            <w:tcW w:w="502" w:type="pct"/>
            <w:tcBorders>
              <w:top w:val="single" w:sz="8" w:space="0" w:color="auto"/>
              <w:left w:val="nil"/>
              <w:bottom w:val="single" w:sz="4" w:space="0" w:color="auto"/>
              <w:right w:val="single" w:sz="4" w:space="0" w:color="auto"/>
            </w:tcBorders>
            <w:shd w:val="clear" w:color="auto" w:fill="auto"/>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9</w:t>
            </w:r>
          </w:p>
        </w:tc>
        <w:tc>
          <w:tcPr>
            <w:tcW w:w="856" w:type="pct"/>
            <w:tcBorders>
              <w:top w:val="single" w:sz="8" w:space="0" w:color="auto"/>
              <w:left w:val="nil"/>
              <w:bottom w:val="single" w:sz="4" w:space="0" w:color="auto"/>
              <w:right w:val="single" w:sz="4" w:space="0" w:color="auto"/>
            </w:tcBorders>
            <w:shd w:val="clear" w:color="auto" w:fill="auto"/>
            <w:noWrap/>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$15,404,166.92</w:t>
            </w:r>
          </w:p>
        </w:tc>
        <w:tc>
          <w:tcPr>
            <w:tcW w:w="975" w:type="pct"/>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$22,979,849.60</w:t>
            </w:r>
          </w:p>
        </w:tc>
      </w:tr>
      <w:tr w:rsidR="003C50DE" w:rsidRPr="003C50DE" w:rsidTr="00896BCB">
        <w:trPr>
          <w:trHeight w:val="330"/>
        </w:trPr>
        <w:tc>
          <w:tcPr>
            <w:tcW w:w="615" w:type="pct"/>
            <w:vMerge/>
            <w:tcBorders>
              <w:top w:val="single" w:sz="8" w:space="0" w:color="auto"/>
              <w:left w:val="single" w:sz="8" w:space="0" w:color="auto"/>
              <w:bottom w:val="single" w:sz="4" w:space="0" w:color="auto"/>
              <w:right w:val="single" w:sz="4" w:space="0" w:color="auto"/>
            </w:tcBorders>
            <w:vAlign w:val="center"/>
            <w:hideMark/>
          </w:tcPr>
          <w:p w:rsidR="003C50DE" w:rsidRPr="003C50DE" w:rsidRDefault="003C50DE" w:rsidP="003C50DE">
            <w:pPr>
              <w:rPr>
                <w:rFonts w:eastAsia="Times New Roman" w:cs="Calibri"/>
                <w:color w:val="000000"/>
                <w:sz w:val="16"/>
                <w:szCs w:val="16"/>
                <w:lang w:val="es-ES" w:eastAsia="es-ES"/>
              </w:rPr>
            </w:pPr>
          </w:p>
        </w:tc>
        <w:tc>
          <w:tcPr>
            <w:tcW w:w="716" w:type="pct"/>
            <w:tcBorders>
              <w:top w:val="nil"/>
              <w:left w:val="nil"/>
              <w:bottom w:val="nil"/>
              <w:right w:val="single" w:sz="4" w:space="0" w:color="auto"/>
            </w:tcBorders>
            <w:shd w:val="clear" w:color="auto" w:fill="auto"/>
            <w:vAlign w:val="center"/>
            <w:hideMark/>
          </w:tcPr>
          <w:p w:rsidR="003C50DE" w:rsidRPr="003C50DE" w:rsidRDefault="003C50DE" w:rsidP="003C50DE">
            <w:pPr>
              <w:rPr>
                <w:rFonts w:eastAsia="Times New Roman" w:cs="Calibri"/>
                <w:color w:val="000000"/>
                <w:sz w:val="16"/>
                <w:szCs w:val="16"/>
                <w:lang w:val="es-ES" w:eastAsia="es-ES"/>
              </w:rPr>
            </w:pPr>
            <w:r w:rsidRPr="003C50DE">
              <w:rPr>
                <w:rFonts w:eastAsia="Times New Roman" w:cs="Calibri"/>
                <w:color w:val="000000"/>
                <w:sz w:val="16"/>
                <w:szCs w:val="16"/>
                <w:lang w:val="es-ES" w:eastAsia="es-ES"/>
              </w:rPr>
              <w:t xml:space="preserve">Administrativo </w:t>
            </w:r>
          </w:p>
        </w:tc>
        <w:tc>
          <w:tcPr>
            <w:tcW w:w="502" w:type="pct"/>
            <w:tcBorders>
              <w:top w:val="nil"/>
              <w:left w:val="nil"/>
              <w:bottom w:val="nil"/>
              <w:right w:val="single" w:sz="4" w:space="0" w:color="auto"/>
            </w:tcBorders>
            <w:shd w:val="clear" w:color="auto" w:fill="auto"/>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4</w:t>
            </w:r>
          </w:p>
        </w:tc>
        <w:tc>
          <w:tcPr>
            <w:tcW w:w="834" w:type="pct"/>
            <w:tcBorders>
              <w:top w:val="nil"/>
              <w:left w:val="nil"/>
              <w:bottom w:val="nil"/>
              <w:right w:val="single" w:sz="4" w:space="0" w:color="auto"/>
            </w:tcBorders>
            <w:shd w:val="clear" w:color="auto" w:fill="auto"/>
            <w:noWrap/>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$178,771.76</w:t>
            </w:r>
          </w:p>
        </w:tc>
        <w:tc>
          <w:tcPr>
            <w:tcW w:w="502" w:type="pct"/>
            <w:tcBorders>
              <w:top w:val="nil"/>
              <w:left w:val="nil"/>
              <w:bottom w:val="nil"/>
              <w:right w:val="single" w:sz="4" w:space="0" w:color="auto"/>
            </w:tcBorders>
            <w:shd w:val="clear" w:color="auto" w:fill="auto"/>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9</w:t>
            </w:r>
          </w:p>
        </w:tc>
        <w:tc>
          <w:tcPr>
            <w:tcW w:w="856" w:type="pct"/>
            <w:tcBorders>
              <w:top w:val="nil"/>
              <w:left w:val="nil"/>
              <w:bottom w:val="nil"/>
              <w:right w:val="single" w:sz="4" w:space="0" w:color="auto"/>
            </w:tcBorders>
            <w:shd w:val="clear" w:color="auto" w:fill="auto"/>
            <w:noWrap/>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$970,059.44</w:t>
            </w:r>
          </w:p>
        </w:tc>
        <w:tc>
          <w:tcPr>
            <w:tcW w:w="975" w:type="pct"/>
            <w:vMerge/>
            <w:tcBorders>
              <w:top w:val="single" w:sz="8" w:space="0" w:color="auto"/>
              <w:left w:val="single" w:sz="4" w:space="0" w:color="auto"/>
              <w:bottom w:val="single" w:sz="4" w:space="0" w:color="auto"/>
              <w:right w:val="single" w:sz="8" w:space="0" w:color="auto"/>
            </w:tcBorders>
            <w:vAlign w:val="center"/>
            <w:hideMark/>
          </w:tcPr>
          <w:p w:rsidR="003C50DE" w:rsidRPr="003C50DE" w:rsidRDefault="003C50DE" w:rsidP="003C50DE">
            <w:pPr>
              <w:rPr>
                <w:rFonts w:eastAsia="Times New Roman" w:cs="Calibri"/>
                <w:color w:val="000000"/>
                <w:sz w:val="16"/>
                <w:szCs w:val="16"/>
                <w:lang w:val="es-ES" w:eastAsia="es-ES"/>
              </w:rPr>
            </w:pPr>
          </w:p>
        </w:tc>
      </w:tr>
      <w:tr w:rsidR="003C50DE" w:rsidRPr="003C50DE" w:rsidTr="00896BCB">
        <w:trPr>
          <w:trHeight w:val="315"/>
        </w:trPr>
        <w:tc>
          <w:tcPr>
            <w:tcW w:w="615" w:type="pct"/>
            <w:vMerge w:val="restart"/>
            <w:tcBorders>
              <w:top w:val="single" w:sz="8" w:space="0" w:color="auto"/>
              <w:left w:val="single" w:sz="8" w:space="0" w:color="auto"/>
              <w:bottom w:val="single" w:sz="4" w:space="0" w:color="auto"/>
              <w:right w:val="single" w:sz="4" w:space="0" w:color="auto"/>
            </w:tcBorders>
            <w:shd w:val="clear" w:color="000000" w:fill="B2C993"/>
            <w:vAlign w:val="center"/>
            <w:hideMark/>
          </w:tcPr>
          <w:p w:rsidR="003C50DE" w:rsidRPr="003C50DE" w:rsidRDefault="003C50DE" w:rsidP="003C50DE">
            <w:pPr>
              <w:rPr>
                <w:rFonts w:eastAsia="Times New Roman" w:cs="Calibri"/>
                <w:color w:val="000000"/>
                <w:sz w:val="16"/>
                <w:szCs w:val="16"/>
                <w:lang w:val="es-ES" w:eastAsia="es-ES"/>
              </w:rPr>
            </w:pPr>
            <w:r w:rsidRPr="003C50DE">
              <w:rPr>
                <w:rFonts w:eastAsia="Times New Roman" w:cs="Calibri"/>
                <w:color w:val="000000"/>
                <w:sz w:val="16"/>
                <w:szCs w:val="16"/>
                <w:lang w:val="es-ES" w:eastAsia="es-ES"/>
              </w:rPr>
              <w:t>Contratación Directa</w:t>
            </w:r>
          </w:p>
        </w:tc>
        <w:tc>
          <w:tcPr>
            <w:tcW w:w="716" w:type="pct"/>
            <w:tcBorders>
              <w:top w:val="single" w:sz="8" w:space="0" w:color="auto"/>
              <w:left w:val="nil"/>
              <w:bottom w:val="single" w:sz="4" w:space="0" w:color="auto"/>
              <w:right w:val="single" w:sz="4" w:space="0" w:color="auto"/>
            </w:tcBorders>
            <w:shd w:val="clear" w:color="000000" w:fill="B2C993"/>
            <w:vAlign w:val="center"/>
            <w:hideMark/>
          </w:tcPr>
          <w:p w:rsidR="003C50DE" w:rsidRPr="003C50DE" w:rsidRDefault="003C50DE" w:rsidP="003C50DE">
            <w:pPr>
              <w:rPr>
                <w:rFonts w:eastAsia="Times New Roman" w:cs="Calibri"/>
                <w:color w:val="000000"/>
                <w:sz w:val="16"/>
                <w:szCs w:val="16"/>
                <w:lang w:val="es-ES" w:eastAsia="es-ES"/>
              </w:rPr>
            </w:pPr>
            <w:r w:rsidRPr="003C50DE">
              <w:rPr>
                <w:rFonts w:eastAsia="Times New Roman" w:cs="Calibri"/>
                <w:color w:val="000000"/>
                <w:sz w:val="16"/>
                <w:szCs w:val="16"/>
                <w:lang w:val="es-ES" w:eastAsia="es-ES"/>
              </w:rPr>
              <w:t xml:space="preserve">Salud </w:t>
            </w:r>
          </w:p>
        </w:tc>
        <w:tc>
          <w:tcPr>
            <w:tcW w:w="502" w:type="pct"/>
            <w:tcBorders>
              <w:top w:val="single" w:sz="8" w:space="0" w:color="auto"/>
              <w:left w:val="nil"/>
              <w:bottom w:val="single" w:sz="4" w:space="0" w:color="auto"/>
              <w:right w:val="single" w:sz="4" w:space="0" w:color="auto"/>
            </w:tcBorders>
            <w:shd w:val="clear" w:color="000000" w:fill="B2C993"/>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0</w:t>
            </w:r>
          </w:p>
        </w:tc>
        <w:tc>
          <w:tcPr>
            <w:tcW w:w="834" w:type="pct"/>
            <w:tcBorders>
              <w:top w:val="single" w:sz="8" w:space="0" w:color="auto"/>
              <w:left w:val="nil"/>
              <w:bottom w:val="single" w:sz="4" w:space="0" w:color="auto"/>
              <w:right w:val="single" w:sz="4" w:space="0" w:color="auto"/>
            </w:tcBorders>
            <w:shd w:val="clear" w:color="000000" w:fill="B2C993"/>
            <w:noWrap/>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$0.00</w:t>
            </w:r>
          </w:p>
        </w:tc>
        <w:tc>
          <w:tcPr>
            <w:tcW w:w="502" w:type="pct"/>
            <w:tcBorders>
              <w:top w:val="single" w:sz="8" w:space="0" w:color="auto"/>
              <w:left w:val="nil"/>
              <w:bottom w:val="single" w:sz="4" w:space="0" w:color="auto"/>
              <w:right w:val="single" w:sz="4" w:space="0" w:color="auto"/>
            </w:tcBorders>
            <w:shd w:val="clear" w:color="000000" w:fill="B2C993"/>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3</w:t>
            </w:r>
          </w:p>
        </w:tc>
        <w:tc>
          <w:tcPr>
            <w:tcW w:w="856" w:type="pct"/>
            <w:tcBorders>
              <w:top w:val="single" w:sz="8" w:space="0" w:color="auto"/>
              <w:left w:val="nil"/>
              <w:bottom w:val="single" w:sz="4" w:space="0" w:color="auto"/>
              <w:right w:val="single" w:sz="4" w:space="0" w:color="auto"/>
            </w:tcBorders>
            <w:shd w:val="clear" w:color="000000" w:fill="B2C993"/>
            <w:noWrap/>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$1,856,249.07</w:t>
            </w:r>
          </w:p>
        </w:tc>
        <w:tc>
          <w:tcPr>
            <w:tcW w:w="975" w:type="pct"/>
            <w:vMerge w:val="restart"/>
            <w:tcBorders>
              <w:top w:val="single" w:sz="8" w:space="0" w:color="auto"/>
              <w:left w:val="single" w:sz="4" w:space="0" w:color="auto"/>
              <w:bottom w:val="single" w:sz="4" w:space="0" w:color="auto"/>
              <w:right w:val="single" w:sz="8" w:space="0" w:color="auto"/>
            </w:tcBorders>
            <w:shd w:val="clear" w:color="000000" w:fill="B2C993"/>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$1,856,249.07</w:t>
            </w:r>
          </w:p>
        </w:tc>
      </w:tr>
      <w:tr w:rsidR="003C50DE" w:rsidRPr="003C50DE" w:rsidTr="00896BCB">
        <w:trPr>
          <w:trHeight w:val="330"/>
        </w:trPr>
        <w:tc>
          <w:tcPr>
            <w:tcW w:w="615" w:type="pct"/>
            <w:vMerge/>
            <w:tcBorders>
              <w:top w:val="single" w:sz="8" w:space="0" w:color="auto"/>
              <w:left w:val="single" w:sz="8" w:space="0" w:color="auto"/>
              <w:bottom w:val="single" w:sz="4" w:space="0" w:color="auto"/>
              <w:right w:val="single" w:sz="4" w:space="0" w:color="auto"/>
            </w:tcBorders>
            <w:vAlign w:val="center"/>
            <w:hideMark/>
          </w:tcPr>
          <w:p w:rsidR="003C50DE" w:rsidRPr="003C50DE" w:rsidRDefault="003C50DE" w:rsidP="003C50DE">
            <w:pPr>
              <w:rPr>
                <w:rFonts w:eastAsia="Times New Roman" w:cs="Calibri"/>
                <w:color w:val="000000"/>
                <w:sz w:val="16"/>
                <w:szCs w:val="16"/>
                <w:lang w:val="es-ES" w:eastAsia="es-ES"/>
              </w:rPr>
            </w:pPr>
          </w:p>
        </w:tc>
        <w:tc>
          <w:tcPr>
            <w:tcW w:w="716" w:type="pct"/>
            <w:tcBorders>
              <w:top w:val="nil"/>
              <w:left w:val="nil"/>
              <w:bottom w:val="nil"/>
              <w:right w:val="single" w:sz="4" w:space="0" w:color="auto"/>
            </w:tcBorders>
            <w:shd w:val="clear" w:color="000000" w:fill="B2C993"/>
            <w:vAlign w:val="center"/>
            <w:hideMark/>
          </w:tcPr>
          <w:p w:rsidR="003C50DE" w:rsidRPr="003C50DE" w:rsidRDefault="003C50DE" w:rsidP="003C50DE">
            <w:pPr>
              <w:rPr>
                <w:rFonts w:eastAsia="Times New Roman" w:cs="Calibri"/>
                <w:color w:val="000000"/>
                <w:sz w:val="16"/>
                <w:szCs w:val="16"/>
                <w:lang w:val="es-ES" w:eastAsia="es-ES"/>
              </w:rPr>
            </w:pPr>
            <w:r w:rsidRPr="003C50DE">
              <w:rPr>
                <w:rFonts w:eastAsia="Times New Roman" w:cs="Calibri"/>
                <w:color w:val="000000"/>
                <w:sz w:val="16"/>
                <w:szCs w:val="16"/>
                <w:lang w:val="es-ES" w:eastAsia="es-ES"/>
              </w:rPr>
              <w:t xml:space="preserve">Administrativo </w:t>
            </w:r>
          </w:p>
        </w:tc>
        <w:tc>
          <w:tcPr>
            <w:tcW w:w="502" w:type="pct"/>
            <w:tcBorders>
              <w:top w:val="nil"/>
              <w:left w:val="nil"/>
              <w:bottom w:val="nil"/>
              <w:right w:val="single" w:sz="4" w:space="0" w:color="auto"/>
            </w:tcBorders>
            <w:shd w:val="clear" w:color="000000" w:fill="B2C993"/>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0</w:t>
            </w:r>
          </w:p>
        </w:tc>
        <w:tc>
          <w:tcPr>
            <w:tcW w:w="834" w:type="pct"/>
            <w:tcBorders>
              <w:top w:val="nil"/>
              <w:left w:val="nil"/>
              <w:bottom w:val="nil"/>
              <w:right w:val="single" w:sz="4" w:space="0" w:color="auto"/>
            </w:tcBorders>
            <w:shd w:val="clear" w:color="000000" w:fill="B2C993"/>
            <w:noWrap/>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$0.00</w:t>
            </w:r>
          </w:p>
        </w:tc>
        <w:tc>
          <w:tcPr>
            <w:tcW w:w="502" w:type="pct"/>
            <w:tcBorders>
              <w:top w:val="nil"/>
              <w:left w:val="nil"/>
              <w:bottom w:val="nil"/>
              <w:right w:val="single" w:sz="4" w:space="0" w:color="auto"/>
            </w:tcBorders>
            <w:shd w:val="clear" w:color="000000" w:fill="B2C993"/>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0</w:t>
            </w:r>
          </w:p>
        </w:tc>
        <w:tc>
          <w:tcPr>
            <w:tcW w:w="856" w:type="pct"/>
            <w:tcBorders>
              <w:top w:val="nil"/>
              <w:left w:val="nil"/>
              <w:bottom w:val="nil"/>
              <w:right w:val="single" w:sz="4" w:space="0" w:color="auto"/>
            </w:tcBorders>
            <w:shd w:val="clear" w:color="000000" w:fill="B2C993"/>
            <w:noWrap/>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$0.00</w:t>
            </w:r>
          </w:p>
        </w:tc>
        <w:tc>
          <w:tcPr>
            <w:tcW w:w="975" w:type="pct"/>
            <w:vMerge/>
            <w:tcBorders>
              <w:top w:val="single" w:sz="8" w:space="0" w:color="auto"/>
              <w:left w:val="single" w:sz="4" w:space="0" w:color="auto"/>
              <w:bottom w:val="single" w:sz="4" w:space="0" w:color="auto"/>
              <w:right w:val="single" w:sz="8" w:space="0" w:color="auto"/>
            </w:tcBorders>
            <w:vAlign w:val="center"/>
            <w:hideMark/>
          </w:tcPr>
          <w:p w:rsidR="003C50DE" w:rsidRPr="003C50DE" w:rsidRDefault="003C50DE" w:rsidP="003C50DE">
            <w:pPr>
              <w:rPr>
                <w:rFonts w:eastAsia="Times New Roman" w:cs="Calibri"/>
                <w:color w:val="000000"/>
                <w:sz w:val="16"/>
                <w:szCs w:val="16"/>
                <w:lang w:val="es-ES" w:eastAsia="es-ES"/>
              </w:rPr>
            </w:pPr>
          </w:p>
        </w:tc>
      </w:tr>
      <w:tr w:rsidR="003C50DE" w:rsidRPr="003C50DE" w:rsidTr="00896BCB">
        <w:trPr>
          <w:trHeight w:val="315"/>
        </w:trPr>
        <w:tc>
          <w:tcPr>
            <w:tcW w:w="615" w:type="pct"/>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rsidR="003C50DE" w:rsidRPr="003C50DE" w:rsidRDefault="003C50DE" w:rsidP="003C50DE">
            <w:pPr>
              <w:rPr>
                <w:rFonts w:eastAsia="Times New Roman" w:cs="Calibri"/>
                <w:color w:val="000000"/>
                <w:sz w:val="16"/>
                <w:szCs w:val="16"/>
                <w:lang w:val="es-ES" w:eastAsia="es-ES"/>
              </w:rPr>
            </w:pPr>
            <w:r w:rsidRPr="003C50DE">
              <w:rPr>
                <w:rFonts w:eastAsia="Times New Roman" w:cs="Calibri"/>
                <w:color w:val="000000"/>
                <w:sz w:val="16"/>
                <w:szCs w:val="16"/>
                <w:lang w:val="es-ES" w:eastAsia="es-ES"/>
              </w:rPr>
              <w:t>Prorroga de Libre Gestión</w:t>
            </w:r>
          </w:p>
        </w:tc>
        <w:tc>
          <w:tcPr>
            <w:tcW w:w="716" w:type="pct"/>
            <w:tcBorders>
              <w:top w:val="single" w:sz="8" w:space="0" w:color="auto"/>
              <w:left w:val="nil"/>
              <w:bottom w:val="single" w:sz="4" w:space="0" w:color="auto"/>
              <w:right w:val="single" w:sz="4" w:space="0" w:color="auto"/>
            </w:tcBorders>
            <w:shd w:val="clear" w:color="000000" w:fill="FFFFFF"/>
            <w:vAlign w:val="center"/>
            <w:hideMark/>
          </w:tcPr>
          <w:p w:rsidR="003C50DE" w:rsidRPr="003C50DE" w:rsidRDefault="003C50DE" w:rsidP="003C50DE">
            <w:pPr>
              <w:rPr>
                <w:rFonts w:eastAsia="Times New Roman" w:cs="Calibri"/>
                <w:color w:val="000000"/>
                <w:sz w:val="16"/>
                <w:szCs w:val="16"/>
                <w:lang w:val="es-ES" w:eastAsia="es-ES"/>
              </w:rPr>
            </w:pPr>
            <w:r w:rsidRPr="003C50DE">
              <w:rPr>
                <w:rFonts w:eastAsia="Times New Roman" w:cs="Calibri"/>
                <w:color w:val="000000"/>
                <w:sz w:val="16"/>
                <w:szCs w:val="16"/>
                <w:lang w:val="es-ES" w:eastAsia="es-ES"/>
              </w:rPr>
              <w:t xml:space="preserve">Salud </w:t>
            </w:r>
          </w:p>
        </w:tc>
        <w:tc>
          <w:tcPr>
            <w:tcW w:w="502" w:type="pct"/>
            <w:tcBorders>
              <w:top w:val="single" w:sz="8" w:space="0" w:color="auto"/>
              <w:left w:val="nil"/>
              <w:bottom w:val="single" w:sz="4" w:space="0" w:color="auto"/>
              <w:right w:val="single" w:sz="4" w:space="0" w:color="auto"/>
            </w:tcBorders>
            <w:shd w:val="clear" w:color="000000" w:fill="FFFFFF"/>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0</w:t>
            </w:r>
          </w:p>
        </w:tc>
        <w:tc>
          <w:tcPr>
            <w:tcW w:w="834" w:type="pct"/>
            <w:tcBorders>
              <w:top w:val="single" w:sz="8" w:space="0" w:color="auto"/>
              <w:left w:val="nil"/>
              <w:bottom w:val="single" w:sz="4" w:space="0" w:color="auto"/>
              <w:right w:val="single" w:sz="4" w:space="0" w:color="auto"/>
            </w:tcBorders>
            <w:shd w:val="clear" w:color="000000" w:fill="FFFFFF"/>
            <w:noWrap/>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$0.00</w:t>
            </w:r>
          </w:p>
        </w:tc>
        <w:tc>
          <w:tcPr>
            <w:tcW w:w="502" w:type="pct"/>
            <w:tcBorders>
              <w:top w:val="single" w:sz="8" w:space="0" w:color="auto"/>
              <w:left w:val="nil"/>
              <w:bottom w:val="single" w:sz="4" w:space="0" w:color="auto"/>
              <w:right w:val="single" w:sz="4" w:space="0" w:color="auto"/>
            </w:tcBorders>
            <w:shd w:val="clear" w:color="000000" w:fill="FFFFFF"/>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0</w:t>
            </w:r>
          </w:p>
        </w:tc>
        <w:tc>
          <w:tcPr>
            <w:tcW w:w="856" w:type="pct"/>
            <w:tcBorders>
              <w:top w:val="single" w:sz="8" w:space="0" w:color="auto"/>
              <w:left w:val="nil"/>
              <w:bottom w:val="single" w:sz="4" w:space="0" w:color="auto"/>
              <w:right w:val="single" w:sz="4" w:space="0" w:color="auto"/>
            </w:tcBorders>
            <w:shd w:val="clear" w:color="000000" w:fill="FFFFFF"/>
            <w:noWrap/>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$0.00</w:t>
            </w:r>
          </w:p>
        </w:tc>
        <w:tc>
          <w:tcPr>
            <w:tcW w:w="975" w:type="pct"/>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$48,545.00</w:t>
            </w:r>
          </w:p>
        </w:tc>
      </w:tr>
      <w:tr w:rsidR="003C50DE" w:rsidRPr="003C50DE" w:rsidTr="00896BCB">
        <w:trPr>
          <w:trHeight w:val="330"/>
        </w:trPr>
        <w:tc>
          <w:tcPr>
            <w:tcW w:w="615" w:type="pct"/>
            <w:vMerge/>
            <w:tcBorders>
              <w:top w:val="single" w:sz="8" w:space="0" w:color="auto"/>
              <w:left w:val="single" w:sz="8" w:space="0" w:color="auto"/>
              <w:bottom w:val="single" w:sz="4" w:space="0" w:color="auto"/>
              <w:right w:val="single" w:sz="4" w:space="0" w:color="auto"/>
            </w:tcBorders>
            <w:vAlign w:val="center"/>
            <w:hideMark/>
          </w:tcPr>
          <w:p w:rsidR="003C50DE" w:rsidRPr="003C50DE" w:rsidRDefault="003C50DE" w:rsidP="003C50DE">
            <w:pPr>
              <w:rPr>
                <w:rFonts w:eastAsia="Times New Roman" w:cs="Calibri"/>
                <w:color w:val="000000"/>
                <w:sz w:val="16"/>
                <w:szCs w:val="16"/>
                <w:lang w:val="es-ES" w:eastAsia="es-ES"/>
              </w:rPr>
            </w:pPr>
          </w:p>
        </w:tc>
        <w:tc>
          <w:tcPr>
            <w:tcW w:w="716" w:type="pct"/>
            <w:tcBorders>
              <w:top w:val="nil"/>
              <w:left w:val="nil"/>
              <w:bottom w:val="nil"/>
              <w:right w:val="single" w:sz="4" w:space="0" w:color="auto"/>
            </w:tcBorders>
            <w:shd w:val="clear" w:color="000000" w:fill="FFFFFF"/>
            <w:vAlign w:val="center"/>
            <w:hideMark/>
          </w:tcPr>
          <w:p w:rsidR="003C50DE" w:rsidRPr="003C50DE" w:rsidRDefault="003C50DE" w:rsidP="003C50DE">
            <w:pPr>
              <w:rPr>
                <w:rFonts w:eastAsia="Times New Roman" w:cs="Calibri"/>
                <w:color w:val="000000"/>
                <w:sz w:val="16"/>
                <w:szCs w:val="16"/>
                <w:lang w:val="es-ES" w:eastAsia="es-ES"/>
              </w:rPr>
            </w:pPr>
            <w:r w:rsidRPr="003C50DE">
              <w:rPr>
                <w:rFonts w:eastAsia="Times New Roman" w:cs="Calibri"/>
                <w:color w:val="000000"/>
                <w:sz w:val="16"/>
                <w:szCs w:val="16"/>
                <w:lang w:val="es-ES" w:eastAsia="es-ES"/>
              </w:rPr>
              <w:t>Administrativo</w:t>
            </w:r>
          </w:p>
        </w:tc>
        <w:tc>
          <w:tcPr>
            <w:tcW w:w="502" w:type="pct"/>
            <w:tcBorders>
              <w:top w:val="nil"/>
              <w:left w:val="nil"/>
              <w:bottom w:val="nil"/>
              <w:right w:val="single" w:sz="4" w:space="0" w:color="auto"/>
            </w:tcBorders>
            <w:shd w:val="clear" w:color="000000" w:fill="FFFFFF"/>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0</w:t>
            </w:r>
          </w:p>
        </w:tc>
        <w:tc>
          <w:tcPr>
            <w:tcW w:w="834" w:type="pct"/>
            <w:tcBorders>
              <w:top w:val="nil"/>
              <w:left w:val="nil"/>
              <w:bottom w:val="nil"/>
              <w:right w:val="single" w:sz="4" w:space="0" w:color="auto"/>
            </w:tcBorders>
            <w:shd w:val="clear" w:color="000000" w:fill="FFFFFF"/>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$0.00</w:t>
            </w:r>
          </w:p>
        </w:tc>
        <w:tc>
          <w:tcPr>
            <w:tcW w:w="502" w:type="pct"/>
            <w:tcBorders>
              <w:top w:val="nil"/>
              <w:left w:val="nil"/>
              <w:bottom w:val="nil"/>
              <w:right w:val="single" w:sz="4" w:space="0" w:color="auto"/>
            </w:tcBorders>
            <w:shd w:val="clear" w:color="000000" w:fill="FFFFFF"/>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2</w:t>
            </w:r>
          </w:p>
        </w:tc>
        <w:tc>
          <w:tcPr>
            <w:tcW w:w="856" w:type="pct"/>
            <w:tcBorders>
              <w:top w:val="nil"/>
              <w:left w:val="nil"/>
              <w:bottom w:val="nil"/>
              <w:right w:val="single" w:sz="4" w:space="0" w:color="auto"/>
            </w:tcBorders>
            <w:shd w:val="clear" w:color="000000" w:fill="FFFFFF"/>
            <w:noWrap/>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$48,545.00</w:t>
            </w:r>
          </w:p>
        </w:tc>
        <w:tc>
          <w:tcPr>
            <w:tcW w:w="975" w:type="pct"/>
            <w:vMerge/>
            <w:tcBorders>
              <w:top w:val="single" w:sz="8" w:space="0" w:color="auto"/>
              <w:left w:val="single" w:sz="4" w:space="0" w:color="auto"/>
              <w:bottom w:val="single" w:sz="4" w:space="0" w:color="auto"/>
              <w:right w:val="single" w:sz="8" w:space="0" w:color="auto"/>
            </w:tcBorders>
            <w:vAlign w:val="center"/>
            <w:hideMark/>
          </w:tcPr>
          <w:p w:rsidR="003C50DE" w:rsidRPr="003C50DE" w:rsidRDefault="003C50DE" w:rsidP="003C50DE">
            <w:pPr>
              <w:rPr>
                <w:rFonts w:eastAsia="Times New Roman" w:cs="Calibri"/>
                <w:color w:val="000000"/>
                <w:sz w:val="16"/>
                <w:szCs w:val="16"/>
                <w:lang w:val="es-ES" w:eastAsia="es-ES"/>
              </w:rPr>
            </w:pPr>
          </w:p>
        </w:tc>
      </w:tr>
      <w:tr w:rsidR="003C50DE" w:rsidRPr="003C50DE" w:rsidTr="00896BCB">
        <w:trPr>
          <w:trHeight w:val="315"/>
        </w:trPr>
        <w:tc>
          <w:tcPr>
            <w:tcW w:w="615" w:type="pct"/>
            <w:vMerge w:val="restart"/>
            <w:tcBorders>
              <w:top w:val="single" w:sz="8" w:space="0" w:color="auto"/>
              <w:left w:val="single" w:sz="8" w:space="0" w:color="auto"/>
              <w:bottom w:val="single" w:sz="4" w:space="0" w:color="auto"/>
              <w:right w:val="single" w:sz="4" w:space="0" w:color="auto"/>
            </w:tcBorders>
            <w:shd w:val="clear" w:color="000000" w:fill="B2C993"/>
            <w:vAlign w:val="center"/>
            <w:hideMark/>
          </w:tcPr>
          <w:p w:rsidR="003C50DE" w:rsidRPr="003C50DE" w:rsidRDefault="003C50DE" w:rsidP="003C50DE">
            <w:pPr>
              <w:rPr>
                <w:rFonts w:eastAsia="Times New Roman" w:cs="Calibri"/>
                <w:color w:val="000000"/>
                <w:sz w:val="16"/>
                <w:szCs w:val="16"/>
                <w:lang w:val="es-ES" w:eastAsia="es-ES"/>
              </w:rPr>
            </w:pPr>
            <w:r w:rsidRPr="003C50DE">
              <w:rPr>
                <w:rFonts w:eastAsia="Times New Roman" w:cs="Calibri"/>
                <w:color w:val="000000"/>
                <w:sz w:val="16"/>
                <w:szCs w:val="16"/>
                <w:lang w:val="es-ES" w:eastAsia="es-ES"/>
              </w:rPr>
              <w:t>Prorroga Licitaciones Publicas</w:t>
            </w:r>
          </w:p>
        </w:tc>
        <w:tc>
          <w:tcPr>
            <w:tcW w:w="716" w:type="pct"/>
            <w:tcBorders>
              <w:top w:val="single" w:sz="8" w:space="0" w:color="auto"/>
              <w:left w:val="nil"/>
              <w:bottom w:val="single" w:sz="4" w:space="0" w:color="auto"/>
              <w:right w:val="single" w:sz="4" w:space="0" w:color="auto"/>
            </w:tcBorders>
            <w:shd w:val="clear" w:color="000000" w:fill="B2C993"/>
            <w:vAlign w:val="center"/>
            <w:hideMark/>
          </w:tcPr>
          <w:p w:rsidR="003C50DE" w:rsidRPr="003C50DE" w:rsidRDefault="003C50DE" w:rsidP="003C50DE">
            <w:pPr>
              <w:rPr>
                <w:rFonts w:eastAsia="Times New Roman" w:cs="Calibri"/>
                <w:color w:val="000000"/>
                <w:sz w:val="16"/>
                <w:szCs w:val="16"/>
                <w:lang w:val="es-ES" w:eastAsia="es-ES"/>
              </w:rPr>
            </w:pPr>
            <w:r w:rsidRPr="003C50DE">
              <w:rPr>
                <w:rFonts w:eastAsia="Times New Roman" w:cs="Calibri"/>
                <w:color w:val="000000"/>
                <w:sz w:val="16"/>
                <w:szCs w:val="16"/>
                <w:lang w:val="es-ES" w:eastAsia="es-ES"/>
              </w:rPr>
              <w:t xml:space="preserve">Salud </w:t>
            </w:r>
          </w:p>
        </w:tc>
        <w:tc>
          <w:tcPr>
            <w:tcW w:w="502" w:type="pct"/>
            <w:tcBorders>
              <w:top w:val="single" w:sz="8" w:space="0" w:color="auto"/>
              <w:left w:val="nil"/>
              <w:bottom w:val="single" w:sz="4" w:space="0" w:color="auto"/>
              <w:right w:val="single" w:sz="4" w:space="0" w:color="auto"/>
            </w:tcBorders>
            <w:shd w:val="clear" w:color="000000" w:fill="B2C993"/>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0</w:t>
            </w:r>
          </w:p>
        </w:tc>
        <w:tc>
          <w:tcPr>
            <w:tcW w:w="834" w:type="pct"/>
            <w:tcBorders>
              <w:top w:val="single" w:sz="8" w:space="0" w:color="auto"/>
              <w:left w:val="nil"/>
              <w:bottom w:val="single" w:sz="4" w:space="0" w:color="auto"/>
              <w:right w:val="single" w:sz="4" w:space="0" w:color="auto"/>
            </w:tcBorders>
            <w:shd w:val="clear" w:color="000000" w:fill="B2C993"/>
            <w:noWrap/>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$0.00</w:t>
            </w:r>
          </w:p>
        </w:tc>
        <w:tc>
          <w:tcPr>
            <w:tcW w:w="502" w:type="pct"/>
            <w:tcBorders>
              <w:top w:val="single" w:sz="8" w:space="0" w:color="auto"/>
              <w:left w:val="nil"/>
              <w:bottom w:val="single" w:sz="4" w:space="0" w:color="auto"/>
              <w:right w:val="single" w:sz="4" w:space="0" w:color="auto"/>
            </w:tcBorders>
            <w:shd w:val="clear" w:color="000000" w:fill="B2C993"/>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7</w:t>
            </w:r>
          </w:p>
        </w:tc>
        <w:tc>
          <w:tcPr>
            <w:tcW w:w="856" w:type="pct"/>
            <w:tcBorders>
              <w:top w:val="single" w:sz="8" w:space="0" w:color="auto"/>
              <w:left w:val="nil"/>
              <w:bottom w:val="single" w:sz="4" w:space="0" w:color="auto"/>
              <w:right w:val="single" w:sz="4" w:space="0" w:color="auto"/>
            </w:tcBorders>
            <w:shd w:val="clear" w:color="000000" w:fill="B2C993"/>
            <w:noWrap/>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$6,496,600.00</w:t>
            </w:r>
          </w:p>
        </w:tc>
        <w:tc>
          <w:tcPr>
            <w:tcW w:w="975" w:type="pct"/>
            <w:vMerge w:val="restart"/>
            <w:tcBorders>
              <w:top w:val="single" w:sz="8" w:space="0" w:color="auto"/>
              <w:left w:val="single" w:sz="4" w:space="0" w:color="auto"/>
              <w:bottom w:val="single" w:sz="4" w:space="0" w:color="auto"/>
              <w:right w:val="single" w:sz="8" w:space="0" w:color="auto"/>
            </w:tcBorders>
            <w:shd w:val="clear" w:color="000000" w:fill="B2C993"/>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$6,707,933.68</w:t>
            </w:r>
          </w:p>
        </w:tc>
      </w:tr>
      <w:tr w:rsidR="003C50DE" w:rsidRPr="003C50DE" w:rsidTr="00896BCB">
        <w:trPr>
          <w:trHeight w:val="330"/>
        </w:trPr>
        <w:tc>
          <w:tcPr>
            <w:tcW w:w="615" w:type="pct"/>
            <w:vMerge/>
            <w:tcBorders>
              <w:top w:val="single" w:sz="8" w:space="0" w:color="auto"/>
              <w:left w:val="single" w:sz="8" w:space="0" w:color="auto"/>
              <w:bottom w:val="single" w:sz="4" w:space="0" w:color="auto"/>
              <w:right w:val="single" w:sz="4" w:space="0" w:color="auto"/>
            </w:tcBorders>
            <w:vAlign w:val="center"/>
            <w:hideMark/>
          </w:tcPr>
          <w:p w:rsidR="003C50DE" w:rsidRPr="003C50DE" w:rsidRDefault="003C50DE" w:rsidP="003C50DE">
            <w:pPr>
              <w:rPr>
                <w:rFonts w:eastAsia="Times New Roman" w:cs="Calibri"/>
                <w:color w:val="000000"/>
                <w:sz w:val="16"/>
                <w:szCs w:val="16"/>
                <w:lang w:val="es-ES" w:eastAsia="es-ES"/>
              </w:rPr>
            </w:pPr>
          </w:p>
        </w:tc>
        <w:tc>
          <w:tcPr>
            <w:tcW w:w="716" w:type="pct"/>
            <w:tcBorders>
              <w:top w:val="nil"/>
              <w:left w:val="nil"/>
              <w:bottom w:val="nil"/>
              <w:right w:val="single" w:sz="4" w:space="0" w:color="auto"/>
            </w:tcBorders>
            <w:shd w:val="clear" w:color="000000" w:fill="B2C993"/>
            <w:vAlign w:val="center"/>
            <w:hideMark/>
          </w:tcPr>
          <w:p w:rsidR="003C50DE" w:rsidRPr="003C50DE" w:rsidRDefault="003C50DE" w:rsidP="003C50DE">
            <w:pPr>
              <w:rPr>
                <w:rFonts w:eastAsia="Times New Roman" w:cs="Calibri"/>
                <w:color w:val="000000"/>
                <w:sz w:val="16"/>
                <w:szCs w:val="16"/>
                <w:lang w:val="es-ES" w:eastAsia="es-ES"/>
              </w:rPr>
            </w:pPr>
            <w:r w:rsidRPr="003C50DE">
              <w:rPr>
                <w:rFonts w:eastAsia="Times New Roman" w:cs="Calibri"/>
                <w:color w:val="000000"/>
                <w:sz w:val="16"/>
                <w:szCs w:val="16"/>
                <w:lang w:val="es-ES" w:eastAsia="es-ES"/>
              </w:rPr>
              <w:t>Administrativo</w:t>
            </w:r>
          </w:p>
        </w:tc>
        <w:tc>
          <w:tcPr>
            <w:tcW w:w="502" w:type="pct"/>
            <w:tcBorders>
              <w:top w:val="nil"/>
              <w:left w:val="nil"/>
              <w:bottom w:val="nil"/>
              <w:right w:val="single" w:sz="4" w:space="0" w:color="auto"/>
            </w:tcBorders>
            <w:shd w:val="clear" w:color="000000" w:fill="B2C993"/>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0</w:t>
            </w:r>
          </w:p>
        </w:tc>
        <w:tc>
          <w:tcPr>
            <w:tcW w:w="834" w:type="pct"/>
            <w:tcBorders>
              <w:top w:val="nil"/>
              <w:left w:val="nil"/>
              <w:bottom w:val="nil"/>
              <w:right w:val="single" w:sz="4" w:space="0" w:color="auto"/>
            </w:tcBorders>
            <w:shd w:val="clear" w:color="000000" w:fill="B2C993"/>
            <w:noWrap/>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$0.00</w:t>
            </w:r>
          </w:p>
        </w:tc>
        <w:tc>
          <w:tcPr>
            <w:tcW w:w="502" w:type="pct"/>
            <w:tcBorders>
              <w:top w:val="nil"/>
              <w:left w:val="nil"/>
              <w:bottom w:val="nil"/>
              <w:right w:val="single" w:sz="4" w:space="0" w:color="auto"/>
            </w:tcBorders>
            <w:shd w:val="clear" w:color="000000" w:fill="B2C993"/>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1</w:t>
            </w:r>
          </w:p>
        </w:tc>
        <w:tc>
          <w:tcPr>
            <w:tcW w:w="856" w:type="pct"/>
            <w:tcBorders>
              <w:top w:val="nil"/>
              <w:left w:val="nil"/>
              <w:bottom w:val="nil"/>
              <w:right w:val="single" w:sz="4" w:space="0" w:color="auto"/>
            </w:tcBorders>
            <w:shd w:val="clear" w:color="000000" w:fill="B2C993"/>
            <w:noWrap/>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$211,333.68</w:t>
            </w:r>
          </w:p>
        </w:tc>
        <w:tc>
          <w:tcPr>
            <w:tcW w:w="975" w:type="pct"/>
            <w:vMerge/>
            <w:tcBorders>
              <w:top w:val="single" w:sz="8" w:space="0" w:color="auto"/>
              <w:left w:val="single" w:sz="4" w:space="0" w:color="auto"/>
              <w:bottom w:val="single" w:sz="4" w:space="0" w:color="auto"/>
              <w:right w:val="single" w:sz="8" w:space="0" w:color="auto"/>
            </w:tcBorders>
            <w:vAlign w:val="center"/>
            <w:hideMark/>
          </w:tcPr>
          <w:p w:rsidR="003C50DE" w:rsidRPr="003C50DE" w:rsidRDefault="003C50DE" w:rsidP="003C50DE">
            <w:pPr>
              <w:rPr>
                <w:rFonts w:eastAsia="Times New Roman" w:cs="Calibri"/>
                <w:color w:val="000000"/>
                <w:sz w:val="16"/>
                <w:szCs w:val="16"/>
                <w:lang w:val="es-ES" w:eastAsia="es-ES"/>
              </w:rPr>
            </w:pPr>
          </w:p>
        </w:tc>
      </w:tr>
      <w:tr w:rsidR="003C50DE" w:rsidRPr="003C50DE" w:rsidTr="00896BCB">
        <w:trPr>
          <w:trHeight w:val="345"/>
        </w:trPr>
        <w:tc>
          <w:tcPr>
            <w:tcW w:w="615"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3C50DE" w:rsidRPr="003C50DE" w:rsidRDefault="003C50DE" w:rsidP="003C50DE">
            <w:pPr>
              <w:rPr>
                <w:rFonts w:eastAsia="Times New Roman" w:cs="Calibri"/>
                <w:color w:val="000000"/>
                <w:sz w:val="16"/>
                <w:szCs w:val="16"/>
                <w:lang w:val="es-ES" w:eastAsia="es-ES"/>
              </w:rPr>
            </w:pPr>
            <w:r w:rsidRPr="003C50DE">
              <w:rPr>
                <w:rFonts w:eastAsia="Times New Roman" w:cs="Calibri"/>
                <w:color w:val="000000"/>
                <w:sz w:val="16"/>
                <w:szCs w:val="16"/>
                <w:lang w:val="es-ES" w:eastAsia="es-ES"/>
              </w:rPr>
              <w:t>Prorroga Contratación Directa</w:t>
            </w:r>
          </w:p>
        </w:tc>
        <w:tc>
          <w:tcPr>
            <w:tcW w:w="716" w:type="pct"/>
            <w:tcBorders>
              <w:top w:val="single" w:sz="8" w:space="0" w:color="auto"/>
              <w:left w:val="nil"/>
              <w:bottom w:val="single" w:sz="4" w:space="0" w:color="auto"/>
              <w:right w:val="single" w:sz="4" w:space="0" w:color="auto"/>
            </w:tcBorders>
            <w:shd w:val="clear" w:color="auto" w:fill="auto"/>
            <w:vAlign w:val="center"/>
            <w:hideMark/>
          </w:tcPr>
          <w:p w:rsidR="003C50DE" w:rsidRPr="003C50DE" w:rsidRDefault="003C50DE" w:rsidP="003C50DE">
            <w:pPr>
              <w:rPr>
                <w:rFonts w:eastAsia="Times New Roman" w:cs="Calibri"/>
                <w:color w:val="000000"/>
                <w:sz w:val="16"/>
                <w:szCs w:val="16"/>
                <w:lang w:val="es-ES" w:eastAsia="es-ES"/>
              </w:rPr>
            </w:pPr>
            <w:r w:rsidRPr="003C50DE">
              <w:rPr>
                <w:rFonts w:eastAsia="Times New Roman" w:cs="Calibri"/>
                <w:color w:val="000000"/>
                <w:sz w:val="16"/>
                <w:szCs w:val="16"/>
                <w:lang w:val="es-ES" w:eastAsia="es-ES"/>
              </w:rPr>
              <w:t>Salud</w:t>
            </w:r>
          </w:p>
        </w:tc>
        <w:tc>
          <w:tcPr>
            <w:tcW w:w="502" w:type="pct"/>
            <w:tcBorders>
              <w:top w:val="single" w:sz="8" w:space="0" w:color="auto"/>
              <w:left w:val="nil"/>
              <w:bottom w:val="single" w:sz="4" w:space="0" w:color="auto"/>
              <w:right w:val="single" w:sz="4" w:space="0" w:color="auto"/>
            </w:tcBorders>
            <w:shd w:val="clear" w:color="auto" w:fill="auto"/>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0</w:t>
            </w:r>
          </w:p>
        </w:tc>
        <w:tc>
          <w:tcPr>
            <w:tcW w:w="834" w:type="pct"/>
            <w:tcBorders>
              <w:top w:val="single" w:sz="8" w:space="0" w:color="auto"/>
              <w:left w:val="nil"/>
              <w:bottom w:val="single" w:sz="4" w:space="0" w:color="auto"/>
              <w:right w:val="single" w:sz="4" w:space="0" w:color="auto"/>
            </w:tcBorders>
            <w:shd w:val="clear" w:color="auto" w:fill="auto"/>
            <w:noWrap/>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$0.00</w:t>
            </w:r>
          </w:p>
        </w:tc>
        <w:tc>
          <w:tcPr>
            <w:tcW w:w="502" w:type="pct"/>
            <w:tcBorders>
              <w:top w:val="single" w:sz="8" w:space="0" w:color="auto"/>
              <w:left w:val="nil"/>
              <w:bottom w:val="single" w:sz="4" w:space="0" w:color="auto"/>
              <w:right w:val="single" w:sz="4" w:space="0" w:color="auto"/>
            </w:tcBorders>
            <w:shd w:val="clear" w:color="auto" w:fill="auto"/>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0</w:t>
            </w:r>
          </w:p>
        </w:tc>
        <w:tc>
          <w:tcPr>
            <w:tcW w:w="856" w:type="pct"/>
            <w:tcBorders>
              <w:top w:val="single" w:sz="8" w:space="0" w:color="auto"/>
              <w:left w:val="nil"/>
              <w:bottom w:val="single" w:sz="4" w:space="0" w:color="auto"/>
              <w:right w:val="single" w:sz="4" w:space="0" w:color="auto"/>
            </w:tcBorders>
            <w:shd w:val="clear" w:color="auto" w:fill="auto"/>
            <w:noWrap/>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$0.00</w:t>
            </w:r>
          </w:p>
        </w:tc>
        <w:tc>
          <w:tcPr>
            <w:tcW w:w="975" w:type="pct"/>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$422,011.70</w:t>
            </w:r>
          </w:p>
        </w:tc>
      </w:tr>
      <w:tr w:rsidR="003C50DE" w:rsidRPr="003C50DE" w:rsidTr="00896BCB">
        <w:trPr>
          <w:trHeight w:val="330"/>
        </w:trPr>
        <w:tc>
          <w:tcPr>
            <w:tcW w:w="615" w:type="pct"/>
            <w:vMerge/>
            <w:tcBorders>
              <w:top w:val="single" w:sz="8" w:space="0" w:color="auto"/>
              <w:left w:val="single" w:sz="8" w:space="0" w:color="auto"/>
              <w:bottom w:val="single" w:sz="4" w:space="0" w:color="auto"/>
              <w:right w:val="single" w:sz="4" w:space="0" w:color="auto"/>
            </w:tcBorders>
            <w:vAlign w:val="center"/>
            <w:hideMark/>
          </w:tcPr>
          <w:p w:rsidR="003C50DE" w:rsidRPr="003C50DE" w:rsidRDefault="003C50DE" w:rsidP="003C50DE">
            <w:pPr>
              <w:rPr>
                <w:rFonts w:eastAsia="Times New Roman" w:cs="Calibri"/>
                <w:color w:val="000000"/>
                <w:sz w:val="16"/>
                <w:szCs w:val="16"/>
                <w:lang w:val="es-ES" w:eastAsia="es-ES"/>
              </w:rPr>
            </w:pPr>
          </w:p>
        </w:tc>
        <w:tc>
          <w:tcPr>
            <w:tcW w:w="716" w:type="pct"/>
            <w:tcBorders>
              <w:top w:val="nil"/>
              <w:left w:val="nil"/>
              <w:bottom w:val="nil"/>
              <w:right w:val="single" w:sz="4" w:space="0" w:color="auto"/>
            </w:tcBorders>
            <w:shd w:val="clear" w:color="auto" w:fill="auto"/>
            <w:vAlign w:val="center"/>
            <w:hideMark/>
          </w:tcPr>
          <w:p w:rsidR="003C50DE" w:rsidRPr="003C50DE" w:rsidRDefault="003C50DE" w:rsidP="003C50DE">
            <w:pPr>
              <w:rPr>
                <w:rFonts w:eastAsia="Times New Roman" w:cs="Calibri"/>
                <w:color w:val="000000"/>
                <w:sz w:val="16"/>
                <w:szCs w:val="16"/>
                <w:lang w:val="es-ES" w:eastAsia="es-ES"/>
              </w:rPr>
            </w:pPr>
            <w:r w:rsidRPr="003C50DE">
              <w:rPr>
                <w:rFonts w:eastAsia="Times New Roman" w:cs="Calibri"/>
                <w:color w:val="000000"/>
                <w:sz w:val="16"/>
                <w:szCs w:val="16"/>
                <w:lang w:val="es-ES" w:eastAsia="es-ES"/>
              </w:rPr>
              <w:t xml:space="preserve">Administrativo </w:t>
            </w:r>
          </w:p>
        </w:tc>
        <w:tc>
          <w:tcPr>
            <w:tcW w:w="502" w:type="pct"/>
            <w:tcBorders>
              <w:top w:val="nil"/>
              <w:left w:val="nil"/>
              <w:bottom w:val="nil"/>
              <w:right w:val="single" w:sz="4" w:space="0" w:color="auto"/>
            </w:tcBorders>
            <w:shd w:val="clear" w:color="auto" w:fill="auto"/>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0</w:t>
            </w:r>
          </w:p>
        </w:tc>
        <w:tc>
          <w:tcPr>
            <w:tcW w:w="834" w:type="pct"/>
            <w:tcBorders>
              <w:top w:val="nil"/>
              <w:left w:val="nil"/>
              <w:bottom w:val="nil"/>
              <w:right w:val="single" w:sz="4" w:space="0" w:color="auto"/>
            </w:tcBorders>
            <w:shd w:val="clear" w:color="auto" w:fill="auto"/>
            <w:noWrap/>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$0.00</w:t>
            </w:r>
          </w:p>
        </w:tc>
        <w:tc>
          <w:tcPr>
            <w:tcW w:w="502" w:type="pct"/>
            <w:tcBorders>
              <w:top w:val="nil"/>
              <w:left w:val="nil"/>
              <w:bottom w:val="nil"/>
              <w:right w:val="single" w:sz="4" w:space="0" w:color="auto"/>
            </w:tcBorders>
            <w:shd w:val="clear" w:color="auto" w:fill="auto"/>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1</w:t>
            </w:r>
          </w:p>
        </w:tc>
        <w:tc>
          <w:tcPr>
            <w:tcW w:w="856" w:type="pct"/>
            <w:tcBorders>
              <w:top w:val="nil"/>
              <w:left w:val="nil"/>
              <w:bottom w:val="nil"/>
              <w:right w:val="single" w:sz="4" w:space="0" w:color="auto"/>
            </w:tcBorders>
            <w:shd w:val="clear" w:color="auto" w:fill="auto"/>
            <w:noWrap/>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$422,011.70</w:t>
            </w:r>
          </w:p>
        </w:tc>
        <w:tc>
          <w:tcPr>
            <w:tcW w:w="975" w:type="pct"/>
            <w:vMerge/>
            <w:tcBorders>
              <w:top w:val="single" w:sz="8" w:space="0" w:color="auto"/>
              <w:left w:val="single" w:sz="4" w:space="0" w:color="auto"/>
              <w:bottom w:val="single" w:sz="4" w:space="0" w:color="auto"/>
              <w:right w:val="single" w:sz="8" w:space="0" w:color="auto"/>
            </w:tcBorders>
            <w:vAlign w:val="center"/>
            <w:hideMark/>
          </w:tcPr>
          <w:p w:rsidR="003C50DE" w:rsidRPr="003C50DE" w:rsidRDefault="003C50DE" w:rsidP="003C50DE">
            <w:pPr>
              <w:rPr>
                <w:rFonts w:eastAsia="Times New Roman" w:cs="Calibri"/>
                <w:color w:val="000000"/>
                <w:sz w:val="16"/>
                <w:szCs w:val="16"/>
                <w:lang w:val="es-ES" w:eastAsia="es-ES"/>
              </w:rPr>
            </w:pPr>
          </w:p>
        </w:tc>
      </w:tr>
      <w:tr w:rsidR="003C50DE" w:rsidRPr="003C50DE" w:rsidTr="00896BCB">
        <w:trPr>
          <w:trHeight w:val="315"/>
        </w:trPr>
        <w:tc>
          <w:tcPr>
            <w:tcW w:w="615" w:type="pct"/>
            <w:vMerge w:val="restart"/>
            <w:tcBorders>
              <w:top w:val="single" w:sz="8" w:space="0" w:color="auto"/>
              <w:left w:val="single" w:sz="8" w:space="0" w:color="auto"/>
              <w:bottom w:val="single" w:sz="4" w:space="0" w:color="auto"/>
              <w:right w:val="single" w:sz="4" w:space="0" w:color="auto"/>
            </w:tcBorders>
            <w:shd w:val="clear" w:color="000000" w:fill="B2C993"/>
            <w:vAlign w:val="center"/>
            <w:hideMark/>
          </w:tcPr>
          <w:p w:rsidR="003C50DE" w:rsidRPr="003C50DE" w:rsidRDefault="003C50DE" w:rsidP="003C50DE">
            <w:pPr>
              <w:rPr>
                <w:rFonts w:eastAsia="Times New Roman" w:cs="Calibri"/>
                <w:color w:val="000000"/>
                <w:sz w:val="16"/>
                <w:szCs w:val="16"/>
                <w:lang w:val="es-ES" w:eastAsia="es-ES"/>
              </w:rPr>
            </w:pPr>
            <w:r w:rsidRPr="003C50DE">
              <w:rPr>
                <w:rFonts w:eastAsia="Times New Roman" w:cs="Calibri"/>
                <w:color w:val="000000"/>
                <w:sz w:val="16"/>
                <w:szCs w:val="16"/>
                <w:lang w:val="es-ES" w:eastAsia="es-ES"/>
              </w:rPr>
              <w:t xml:space="preserve">Convenio </w:t>
            </w:r>
          </w:p>
        </w:tc>
        <w:tc>
          <w:tcPr>
            <w:tcW w:w="716" w:type="pct"/>
            <w:tcBorders>
              <w:top w:val="single" w:sz="8" w:space="0" w:color="auto"/>
              <w:left w:val="nil"/>
              <w:bottom w:val="single" w:sz="4" w:space="0" w:color="auto"/>
              <w:right w:val="single" w:sz="4" w:space="0" w:color="auto"/>
            </w:tcBorders>
            <w:shd w:val="clear" w:color="000000" w:fill="B2C993"/>
            <w:vAlign w:val="center"/>
            <w:hideMark/>
          </w:tcPr>
          <w:p w:rsidR="003C50DE" w:rsidRPr="003C50DE" w:rsidRDefault="003C50DE" w:rsidP="003C50DE">
            <w:pPr>
              <w:rPr>
                <w:rFonts w:eastAsia="Times New Roman" w:cs="Calibri"/>
                <w:color w:val="000000"/>
                <w:sz w:val="16"/>
                <w:szCs w:val="16"/>
                <w:lang w:val="es-ES" w:eastAsia="es-ES"/>
              </w:rPr>
            </w:pPr>
            <w:r w:rsidRPr="003C50DE">
              <w:rPr>
                <w:rFonts w:eastAsia="Times New Roman" w:cs="Calibri"/>
                <w:color w:val="000000"/>
                <w:sz w:val="16"/>
                <w:szCs w:val="16"/>
                <w:lang w:val="es-ES" w:eastAsia="es-ES"/>
              </w:rPr>
              <w:t xml:space="preserve">Salud </w:t>
            </w:r>
          </w:p>
        </w:tc>
        <w:tc>
          <w:tcPr>
            <w:tcW w:w="502" w:type="pct"/>
            <w:tcBorders>
              <w:top w:val="single" w:sz="8" w:space="0" w:color="auto"/>
              <w:left w:val="nil"/>
              <w:bottom w:val="single" w:sz="4" w:space="0" w:color="auto"/>
              <w:right w:val="single" w:sz="4" w:space="0" w:color="auto"/>
            </w:tcBorders>
            <w:shd w:val="clear" w:color="000000" w:fill="B2C993"/>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0</w:t>
            </w:r>
          </w:p>
        </w:tc>
        <w:tc>
          <w:tcPr>
            <w:tcW w:w="834" w:type="pct"/>
            <w:tcBorders>
              <w:top w:val="single" w:sz="8" w:space="0" w:color="auto"/>
              <w:left w:val="nil"/>
              <w:bottom w:val="single" w:sz="4" w:space="0" w:color="auto"/>
              <w:right w:val="single" w:sz="4" w:space="0" w:color="auto"/>
            </w:tcBorders>
            <w:shd w:val="clear" w:color="000000" w:fill="B2C993"/>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$0.00</w:t>
            </w:r>
          </w:p>
        </w:tc>
        <w:tc>
          <w:tcPr>
            <w:tcW w:w="502" w:type="pct"/>
            <w:tcBorders>
              <w:top w:val="single" w:sz="8" w:space="0" w:color="auto"/>
              <w:left w:val="nil"/>
              <w:bottom w:val="single" w:sz="4" w:space="0" w:color="auto"/>
              <w:right w:val="single" w:sz="4" w:space="0" w:color="auto"/>
            </w:tcBorders>
            <w:shd w:val="clear" w:color="000000" w:fill="B2C993"/>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23</w:t>
            </w:r>
          </w:p>
        </w:tc>
        <w:tc>
          <w:tcPr>
            <w:tcW w:w="856" w:type="pct"/>
            <w:tcBorders>
              <w:top w:val="single" w:sz="8" w:space="0" w:color="auto"/>
              <w:left w:val="nil"/>
              <w:bottom w:val="single" w:sz="4" w:space="0" w:color="auto"/>
              <w:right w:val="single" w:sz="4" w:space="0" w:color="auto"/>
            </w:tcBorders>
            <w:shd w:val="clear" w:color="000000" w:fill="B2C993"/>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$7,638,000.00</w:t>
            </w:r>
          </w:p>
        </w:tc>
        <w:tc>
          <w:tcPr>
            <w:tcW w:w="975" w:type="pct"/>
            <w:vMerge w:val="restart"/>
            <w:tcBorders>
              <w:top w:val="single" w:sz="8" w:space="0" w:color="auto"/>
              <w:left w:val="single" w:sz="4" w:space="0" w:color="auto"/>
              <w:bottom w:val="single" w:sz="4" w:space="0" w:color="auto"/>
              <w:right w:val="single" w:sz="8" w:space="0" w:color="auto"/>
            </w:tcBorders>
            <w:shd w:val="clear" w:color="000000" w:fill="B2C993"/>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$7,699,600.00</w:t>
            </w:r>
          </w:p>
        </w:tc>
      </w:tr>
      <w:tr w:rsidR="003C50DE" w:rsidRPr="003C50DE" w:rsidTr="00896BCB">
        <w:trPr>
          <w:trHeight w:val="330"/>
        </w:trPr>
        <w:tc>
          <w:tcPr>
            <w:tcW w:w="615" w:type="pct"/>
            <w:vMerge/>
            <w:tcBorders>
              <w:top w:val="single" w:sz="8" w:space="0" w:color="auto"/>
              <w:left w:val="single" w:sz="8" w:space="0" w:color="auto"/>
              <w:bottom w:val="single" w:sz="4" w:space="0" w:color="auto"/>
              <w:right w:val="single" w:sz="4" w:space="0" w:color="auto"/>
            </w:tcBorders>
            <w:vAlign w:val="center"/>
            <w:hideMark/>
          </w:tcPr>
          <w:p w:rsidR="003C50DE" w:rsidRPr="003C50DE" w:rsidRDefault="003C50DE" w:rsidP="003C50DE">
            <w:pPr>
              <w:rPr>
                <w:rFonts w:eastAsia="Times New Roman" w:cs="Calibri"/>
                <w:color w:val="000000"/>
                <w:sz w:val="16"/>
                <w:szCs w:val="16"/>
                <w:lang w:val="es-ES" w:eastAsia="es-ES"/>
              </w:rPr>
            </w:pPr>
          </w:p>
        </w:tc>
        <w:tc>
          <w:tcPr>
            <w:tcW w:w="716" w:type="pct"/>
            <w:tcBorders>
              <w:top w:val="nil"/>
              <w:left w:val="nil"/>
              <w:bottom w:val="nil"/>
              <w:right w:val="single" w:sz="4" w:space="0" w:color="auto"/>
            </w:tcBorders>
            <w:shd w:val="clear" w:color="000000" w:fill="B2C993"/>
            <w:vAlign w:val="center"/>
            <w:hideMark/>
          </w:tcPr>
          <w:p w:rsidR="003C50DE" w:rsidRPr="003C50DE" w:rsidRDefault="003C50DE" w:rsidP="003C50DE">
            <w:pPr>
              <w:rPr>
                <w:rFonts w:eastAsia="Times New Roman" w:cs="Calibri"/>
                <w:color w:val="000000"/>
                <w:sz w:val="16"/>
                <w:szCs w:val="16"/>
                <w:lang w:val="es-ES" w:eastAsia="es-ES"/>
              </w:rPr>
            </w:pPr>
            <w:r w:rsidRPr="003C50DE">
              <w:rPr>
                <w:rFonts w:eastAsia="Times New Roman" w:cs="Calibri"/>
                <w:color w:val="000000"/>
                <w:sz w:val="16"/>
                <w:szCs w:val="16"/>
                <w:lang w:val="es-ES" w:eastAsia="es-ES"/>
              </w:rPr>
              <w:t xml:space="preserve">Administrativo </w:t>
            </w:r>
          </w:p>
        </w:tc>
        <w:tc>
          <w:tcPr>
            <w:tcW w:w="502" w:type="pct"/>
            <w:tcBorders>
              <w:top w:val="nil"/>
              <w:left w:val="nil"/>
              <w:bottom w:val="nil"/>
              <w:right w:val="single" w:sz="4" w:space="0" w:color="auto"/>
            </w:tcBorders>
            <w:shd w:val="clear" w:color="000000" w:fill="B2C993"/>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0</w:t>
            </w:r>
          </w:p>
        </w:tc>
        <w:tc>
          <w:tcPr>
            <w:tcW w:w="834" w:type="pct"/>
            <w:tcBorders>
              <w:top w:val="nil"/>
              <w:left w:val="nil"/>
              <w:bottom w:val="nil"/>
              <w:right w:val="single" w:sz="4" w:space="0" w:color="auto"/>
            </w:tcBorders>
            <w:shd w:val="clear" w:color="000000" w:fill="B2C993"/>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$0.00</w:t>
            </w:r>
          </w:p>
        </w:tc>
        <w:tc>
          <w:tcPr>
            <w:tcW w:w="502" w:type="pct"/>
            <w:tcBorders>
              <w:top w:val="nil"/>
              <w:left w:val="nil"/>
              <w:bottom w:val="nil"/>
              <w:right w:val="single" w:sz="4" w:space="0" w:color="auto"/>
            </w:tcBorders>
            <w:shd w:val="clear" w:color="000000" w:fill="B2C993"/>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3</w:t>
            </w:r>
          </w:p>
        </w:tc>
        <w:tc>
          <w:tcPr>
            <w:tcW w:w="856" w:type="pct"/>
            <w:tcBorders>
              <w:top w:val="nil"/>
              <w:left w:val="nil"/>
              <w:bottom w:val="nil"/>
              <w:right w:val="single" w:sz="4" w:space="0" w:color="auto"/>
            </w:tcBorders>
            <w:shd w:val="clear" w:color="000000" w:fill="B2C993"/>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$61,600.00</w:t>
            </w:r>
          </w:p>
        </w:tc>
        <w:tc>
          <w:tcPr>
            <w:tcW w:w="975" w:type="pct"/>
            <w:vMerge/>
            <w:tcBorders>
              <w:top w:val="single" w:sz="8" w:space="0" w:color="auto"/>
              <w:left w:val="single" w:sz="4" w:space="0" w:color="auto"/>
              <w:bottom w:val="single" w:sz="4" w:space="0" w:color="auto"/>
              <w:right w:val="single" w:sz="8" w:space="0" w:color="auto"/>
            </w:tcBorders>
            <w:vAlign w:val="center"/>
            <w:hideMark/>
          </w:tcPr>
          <w:p w:rsidR="003C50DE" w:rsidRPr="003C50DE" w:rsidRDefault="003C50DE" w:rsidP="003C50DE">
            <w:pPr>
              <w:rPr>
                <w:rFonts w:eastAsia="Times New Roman" w:cs="Calibri"/>
                <w:color w:val="000000"/>
                <w:sz w:val="16"/>
                <w:szCs w:val="16"/>
                <w:lang w:val="es-ES" w:eastAsia="es-ES"/>
              </w:rPr>
            </w:pPr>
          </w:p>
        </w:tc>
      </w:tr>
      <w:tr w:rsidR="003C50DE" w:rsidRPr="003C50DE" w:rsidTr="00896BCB">
        <w:trPr>
          <w:trHeight w:val="315"/>
        </w:trPr>
        <w:tc>
          <w:tcPr>
            <w:tcW w:w="615"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3C50DE" w:rsidRPr="003C50DE" w:rsidRDefault="003C50DE" w:rsidP="003C50DE">
            <w:pPr>
              <w:rPr>
                <w:rFonts w:eastAsia="Times New Roman" w:cs="Calibri"/>
                <w:color w:val="000000"/>
                <w:sz w:val="16"/>
                <w:szCs w:val="16"/>
                <w:lang w:val="es-ES" w:eastAsia="es-ES"/>
              </w:rPr>
            </w:pPr>
            <w:r w:rsidRPr="003C50DE">
              <w:rPr>
                <w:rFonts w:eastAsia="Times New Roman" w:cs="Calibri"/>
                <w:color w:val="000000"/>
                <w:sz w:val="16"/>
                <w:szCs w:val="16"/>
                <w:lang w:val="es-ES" w:eastAsia="es-ES"/>
              </w:rPr>
              <w:t>Contratación Bursátil</w:t>
            </w:r>
          </w:p>
        </w:tc>
        <w:tc>
          <w:tcPr>
            <w:tcW w:w="716" w:type="pct"/>
            <w:tcBorders>
              <w:top w:val="single" w:sz="8" w:space="0" w:color="auto"/>
              <w:left w:val="nil"/>
              <w:bottom w:val="single" w:sz="4" w:space="0" w:color="auto"/>
              <w:right w:val="single" w:sz="4" w:space="0" w:color="auto"/>
            </w:tcBorders>
            <w:shd w:val="clear" w:color="auto" w:fill="auto"/>
            <w:vAlign w:val="center"/>
            <w:hideMark/>
          </w:tcPr>
          <w:p w:rsidR="003C50DE" w:rsidRPr="003C50DE" w:rsidRDefault="003C50DE" w:rsidP="003C50DE">
            <w:pPr>
              <w:rPr>
                <w:rFonts w:eastAsia="Times New Roman" w:cs="Calibri"/>
                <w:color w:val="000000"/>
                <w:sz w:val="16"/>
                <w:szCs w:val="16"/>
                <w:lang w:val="es-ES" w:eastAsia="es-ES"/>
              </w:rPr>
            </w:pPr>
            <w:r w:rsidRPr="003C50DE">
              <w:rPr>
                <w:rFonts w:eastAsia="Times New Roman" w:cs="Calibri"/>
                <w:color w:val="000000"/>
                <w:sz w:val="16"/>
                <w:szCs w:val="16"/>
                <w:lang w:val="es-ES" w:eastAsia="es-ES"/>
              </w:rPr>
              <w:t>Salud</w:t>
            </w:r>
          </w:p>
        </w:tc>
        <w:tc>
          <w:tcPr>
            <w:tcW w:w="502" w:type="pct"/>
            <w:tcBorders>
              <w:top w:val="single" w:sz="8" w:space="0" w:color="auto"/>
              <w:left w:val="nil"/>
              <w:bottom w:val="single" w:sz="4" w:space="0" w:color="auto"/>
              <w:right w:val="single" w:sz="4" w:space="0" w:color="auto"/>
            </w:tcBorders>
            <w:shd w:val="clear" w:color="auto" w:fill="auto"/>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0</w:t>
            </w:r>
          </w:p>
        </w:tc>
        <w:tc>
          <w:tcPr>
            <w:tcW w:w="834" w:type="pct"/>
            <w:tcBorders>
              <w:top w:val="single" w:sz="8" w:space="0" w:color="auto"/>
              <w:left w:val="nil"/>
              <w:bottom w:val="single" w:sz="4" w:space="0" w:color="auto"/>
              <w:right w:val="single" w:sz="4" w:space="0" w:color="auto"/>
            </w:tcBorders>
            <w:shd w:val="clear" w:color="auto" w:fill="auto"/>
            <w:noWrap/>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$0.00</w:t>
            </w:r>
          </w:p>
        </w:tc>
        <w:tc>
          <w:tcPr>
            <w:tcW w:w="502" w:type="pct"/>
            <w:tcBorders>
              <w:top w:val="single" w:sz="8" w:space="0" w:color="auto"/>
              <w:left w:val="nil"/>
              <w:bottom w:val="single" w:sz="4" w:space="0" w:color="auto"/>
              <w:right w:val="single" w:sz="4" w:space="0" w:color="auto"/>
            </w:tcBorders>
            <w:shd w:val="clear" w:color="auto" w:fill="auto"/>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1</w:t>
            </w:r>
          </w:p>
        </w:tc>
        <w:tc>
          <w:tcPr>
            <w:tcW w:w="856" w:type="pct"/>
            <w:tcBorders>
              <w:top w:val="single" w:sz="8" w:space="0" w:color="auto"/>
              <w:left w:val="nil"/>
              <w:bottom w:val="single" w:sz="4" w:space="0" w:color="auto"/>
              <w:right w:val="single" w:sz="4" w:space="0" w:color="auto"/>
            </w:tcBorders>
            <w:shd w:val="clear" w:color="auto" w:fill="auto"/>
            <w:noWrap/>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$554,588.84</w:t>
            </w:r>
          </w:p>
        </w:tc>
        <w:tc>
          <w:tcPr>
            <w:tcW w:w="975" w:type="pct"/>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$733,880.58</w:t>
            </w:r>
          </w:p>
        </w:tc>
      </w:tr>
      <w:tr w:rsidR="003C50DE" w:rsidRPr="003C50DE" w:rsidTr="00896BCB">
        <w:trPr>
          <w:trHeight w:val="330"/>
        </w:trPr>
        <w:tc>
          <w:tcPr>
            <w:tcW w:w="615" w:type="pct"/>
            <w:vMerge/>
            <w:tcBorders>
              <w:top w:val="single" w:sz="8" w:space="0" w:color="auto"/>
              <w:left w:val="single" w:sz="8" w:space="0" w:color="auto"/>
              <w:bottom w:val="single" w:sz="4" w:space="0" w:color="auto"/>
              <w:right w:val="single" w:sz="4" w:space="0" w:color="auto"/>
            </w:tcBorders>
            <w:vAlign w:val="center"/>
            <w:hideMark/>
          </w:tcPr>
          <w:p w:rsidR="003C50DE" w:rsidRPr="003C50DE" w:rsidRDefault="003C50DE" w:rsidP="003C50DE">
            <w:pPr>
              <w:rPr>
                <w:rFonts w:eastAsia="Times New Roman" w:cs="Calibri"/>
                <w:color w:val="000000"/>
                <w:sz w:val="16"/>
                <w:szCs w:val="16"/>
                <w:lang w:val="es-ES" w:eastAsia="es-ES"/>
              </w:rPr>
            </w:pPr>
          </w:p>
        </w:tc>
        <w:tc>
          <w:tcPr>
            <w:tcW w:w="716" w:type="pct"/>
            <w:tcBorders>
              <w:top w:val="nil"/>
              <w:left w:val="nil"/>
              <w:bottom w:val="nil"/>
              <w:right w:val="single" w:sz="4" w:space="0" w:color="auto"/>
            </w:tcBorders>
            <w:shd w:val="clear" w:color="auto" w:fill="auto"/>
            <w:vAlign w:val="center"/>
            <w:hideMark/>
          </w:tcPr>
          <w:p w:rsidR="003C50DE" w:rsidRPr="003C50DE" w:rsidRDefault="003C50DE" w:rsidP="003C50DE">
            <w:pPr>
              <w:rPr>
                <w:rFonts w:eastAsia="Times New Roman" w:cs="Calibri"/>
                <w:color w:val="000000"/>
                <w:sz w:val="16"/>
                <w:szCs w:val="16"/>
                <w:lang w:val="es-ES" w:eastAsia="es-ES"/>
              </w:rPr>
            </w:pPr>
            <w:r w:rsidRPr="003C50DE">
              <w:rPr>
                <w:rFonts w:eastAsia="Times New Roman" w:cs="Calibri"/>
                <w:color w:val="000000"/>
                <w:sz w:val="16"/>
                <w:szCs w:val="16"/>
                <w:lang w:val="es-ES" w:eastAsia="es-ES"/>
              </w:rPr>
              <w:t>Administrativo</w:t>
            </w:r>
          </w:p>
        </w:tc>
        <w:tc>
          <w:tcPr>
            <w:tcW w:w="502" w:type="pct"/>
            <w:tcBorders>
              <w:top w:val="nil"/>
              <w:left w:val="nil"/>
              <w:bottom w:val="nil"/>
              <w:right w:val="single" w:sz="4" w:space="0" w:color="auto"/>
            </w:tcBorders>
            <w:shd w:val="clear" w:color="auto" w:fill="auto"/>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0</w:t>
            </w:r>
          </w:p>
        </w:tc>
        <w:tc>
          <w:tcPr>
            <w:tcW w:w="834" w:type="pct"/>
            <w:tcBorders>
              <w:top w:val="nil"/>
              <w:left w:val="nil"/>
              <w:bottom w:val="nil"/>
              <w:right w:val="single" w:sz="4" w:space="0" w:color="auto"/>
            </w:tcBorders>
            <w:shd w:val="clear" w:color="auto" w:fill="auto"/>
            <w:noWrap/>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$0.00</w:t>
            </w:r>
          </w:p>
        </w:tc>
        <w:tc>
          <w:tcPr>
            <w:tcW w:w="502" w:type="pct"/>
            <w:tcBorders>
              <w:top w:val="nil"/>
              <w:left w:val="nil"/>
              <w:bottom w:val="nil"/>
              <w:right w:val="single" w:sz="4" w:space="0" w:color="auto"/>
            </w:tcBorders>
            <w:shd w:val="clear" w:color="auto" w:fill="auto"/>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1</w:t>
            </w:r>
          </w:p>
        </w:tc>
        <w:tc>
          <w:tcPr>
            <w:tcW w:w="856" w:type="pct"/>
            <w:tcBorders>
              <w:top w:val="nil"/>
              <w:left w:val="nil"/>
              <w:bottom w:val="nil"/>
              <w:right w:val="single" w:sz="4" w:space="0" w:color="auto"/>
            </w:tcBorders>
            <w:shd w:val="clear" w:color="auto" w:fill="auto"/>
            <w:noWrap/>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$179,291.74</w:t>
            </w:r>
          </w:p>
        </w:tc>
        <w:tc>
          <w:tcPr>
            <w:tcW w:w="975" w:type="pct"/>
            <w:vMerge/>
            <w:tcBorders>
              <w:top w:val="single" w:sz="8" w:space="0" w:color="auto"/>
              <w:left w:val="single" w:sz="4" w:space="0" w:color="auto"/>
              <w:bottom w:val="single" w:sz="4" w:space="0" w:color="auto"/>
              <w:right w:val="single" w:sz="8" w:space="0" w:color="auto"/>
            </w:tcBorders>
            <w:vAlign w:val="center"/>
            <w:hideMark/>
          </w:tcPr>
          <w:p w:rsidR="003C50DE" w:rsidRPr="003C50DE" w:rsidRDefault="003C50DE" w:rsidP="003C50DE">
            <w:pPr>
              <w:rPr>
                <w:rFonts w:eastAsia="Times New Roman" w:cs="Calibri"/>
                <w:color w:val="000000"/>
                <w:sz w:val="16"/>
                <w:szCs w:val="16"/>
                <w:lang w:val="es-ES" w:eastAsia="es-ES"/>
              </w:rPr>
            </w:pPr>
          </w:p>
        </w:tc>
      </w:tr>
      <w:tr w:rsidR="003C50DE" w:rsidRPr="003C50DE" w:rsidTr="00896BCB">
        <w:trPr>
          <w:trHeight w:val="315"/>
        </w:trPr>
        <w:tc>
          <w:tcPr>
            <w:tcW w:w="615" w:type="pct"/>
            <w:vMerge w:val="restart"/>
            <w:tcBorders>
              <w:top w:val="single" w:sz="8" w:space="0" w:color="auto"/>
              <w:left w:val="single" w:sz="8" w:space="0" w:color="auto"/>
              <w:bottom w:val="single" w:sz="4" w:space="0" w:color="auto"/>
              <w:right w:val="single" w:sz="4" w:space="0" w:color="auto"/>
            </w:tcBorders>
            <w:shd w:val="clear" w:color="000000" w:fill="B2C993"/>
            <w:vAlign w:val="center"/>
            <w:hideMark/>
          </w:tcPr>
          <w:p w:rsidR="003C50DE" w:rsidRPr="003C50DE" w:rsidRDefault="003C50DE" w:rsidP="003C50DE">
            <w:pPr>
              <w:rPr>
                <w:rFonts w:eastAsia="Times New Roman" w:cs="Calibri"/>
                <w:color w:val="000000"/>
                <w:sz w:val="16"/>
                <w:szCs w:val="16"/>
                <w:lang w:val="es-ES" w:eastAsia="es-ES"/>
              </w:rPr>
            </w:pPr>
            <w:r w:rsidRPr="003C50DE">
              <w:rPr>
                <w:rFonts w:eastAsia="Times New Roman" w:cs="Calibri"/>
                <w:color w:val="000000"/>
                <w:sz w:val="16"/>
                <w:szCs w:val="16"/>
                <w:lang w:val="es-ES" w:eastAsia="es-ES"/>
              </w:rPr>
              <w:t>Incrementos</w:t>
            </w:r>
          </w:p>
        </w:tc>
        <w:tc>
          <w:tcPr>
            <w:tcW w:w="716" w:type="pct"/>
            <w:tcBorders>
              <w:top w:val="single" w:sz="8" w:space="0" w:color="auto"/>
              <w:left w:val="nil"/>
              <w:bottom w:val="single" w:sz="4" w:space="0" w:color="auto"/>
              <w:right w:val="single" w:sz="4" w:space="0" w:color="auto"/>
            </w:tcBorders>
            <w:shd w:val="clear" w:color="000000" w:fill="B2C993"/>
            <w:vAlign w:val="center"/>
            <w:hideMark/>
          </w:tcPr>
          <w:p w:rsidR="003C50DE" w:rsidRPr="003C50DE" w:rsidRDefault="003C50DE" w:rsidP="003C50DE">
            <w:pPr>
              <w:rPr>
                <w:rFonts w:eastAsia="Times New Roman" w:cs="Calibri"/>
                <w:color w:val="000000"/>
                <w:sz w:val="16"/>
                <w:szCs w:val="16"/>
                <w:lang w:val="es-ES" w:eastAsia="es-ES"/>
              </w:rPr>
            </w:pPr>
            <w:r w:rsidRPr="003C50DE">
              <w:rPr>
                <w:rFonts w:eastAsia="Times New Roman" w:cs="Calibri"/>
                <w:color w:val="000000"/>
                <w:sz w:val="16"/>
                <w:szCs w:val="16"/>
                <w:lang w:val="es-ES" w:eastAsia="es-ES"/>
              </w:rPr>
              <w:t xml:space="preserve">Salud </w:t>
            </w:r>
          </w:p>
        </w:tc>
        <w:tc>
          <w:tcPr>
            <w:tcW w:w="502" w:type="pct"/>
            <w:tcBorders>
              <w:top w:val="single" w:sz="8" w:space="0" w:color="auto"/>
              <w:left w:val="nil"/>
              <w:bottom w:val="single" w:sz="4" w:space="0" w:color="auto"/>
              <w:right w:val="single" w:sz="4" w:space="0" w:color="auto"/>
            </w:tcBorders>
            <w:shd w:val="clear" w:color="000000" w:fill="B2C993"/>
            <w:noWrap/>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46</w:t>
            </w:r>
          </w:p>
        </w:tc>
        <w:tc>
          <w:tcPr>
            <w:tcW w:w="834" w:type="pct"/>
            <w:tcBorders>
              <w:top w:val="single" w:sz="8" w:space="0" w:color="auto"/>
              <w:left w:val="nil"/>
              <w:bottom w:val="single" w:sz="4" w:space="0" w:color="auto"/>
              <w:right w:val="single" w:sz="4" w:space="0" w:color="auto"/>
            </w:tcBorders>
            <w:shd w:val="clear" w:color="000000" w:fill="B2C993"/>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$4,825,188.59</w:t>
            </w:r>
          </w:p>
        </w:tc>
        <w:tc>
          <w:tcPr>
            <w:tcW w:w="502" w:type="pct"/>
            <w:tcBorders>
              <w:top w:val="single" w:sz="8" w:space="0" w:color="auto"/>
              <w:left w:val="nil"/>
              <w:bottom w:val="single" w:sz="4" w:space="0" w:color="auto"/>
              <w:right w:val="single" w:sz="4" w:space="0" w:color="auto"/>
            </w:tcBorders>
            <w:shd w:val="clear" w:color="000000" w:fill="B2C993"/>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0</w:t>
            </w:r>
          </w:p>
        </w:tc>
        <w:tc>
          <w:tcPr>
            <w:tcW w:w="856" w:type="pct"/>
            <w:tcBorders>
              <w:top w:val="single" w:sz="8" w:space="0" w:color="auto"/>
              <w:left w:val="nil"/>
              <w:bottom w:val="single" w:sz="4" w:space="0" w:color="auto"/>
              <w:right w:val="single" w:sz="4" w:space="0" w:color="auto"/>
            </w:tcBorders>
            <w:shd w:val="clear" w:color="000000" w:fill="B2C993"/>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$0.00</w:t>
            </w:r>
          </w:p>
        </w:tc>
        <w:tc>
          <w:tcPr>
            <w:tcW w:w="975" w:type="pct"/>
            <w:vMerge w:val="restart"/>
            <w:tcBorders>
              <w:top w:val="single" w:sz="8" w:space="0" w:color="auto"/>
              <w:left w:val="single" w:sz="4" w:space="0" w:color="auto"/>
              <w:bottom w:val="single" w:sz="4" w:space="0" w:color="auto"/>
              <w:right w:val="single" w:sz="8" w:space="0" w:color="auto"/>
            </w:tcBorders>
            <w:shd w:val="clear" w:color="000000" w:fill="B2C993"/>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$4,825,188.59</w:t>
            </w:r>
          </w:p>
        </w:tc>
      </w:tr>
      <w:tr w:rsidR="003C50DE" w:rsidRPr="003C50DE" w:rsidTr="00896BCB">
        <w:trPr>
          <w:trHeight w:val="330"/>
        </w:trPr>
        <w:tc>
          <w:tcPr>
            <w:tcW w:w="615" w:type="pct"/>
            <w:vMerge/>
            <w:tcBorders>
              <w:top w:val="single" w:sz="8" w:space="0" w:color="auto"/>
              <w:left w:val="single" w:sz="8" w:space="0" w:color="auto"/>
              <w:bottom w:val="single" w:sz="4" w:space="0" w:color="auto"/>
              <w:right w:val="single" w:sz="4" w:space="0" w:color="auto"/>
            </w:tcBorders>
            <w:vAlign w:val="center"/>
            <w:hideMark/>
          </w:tcPr>
          <w:p w:rsidR="003C50DE" w:rsidRPr="003C50DE" w:rsidRDefault="003C50DE" w:rsidP="003C50DE">
            <w:pPr>
              <w:rPr>
                <w:rFonts w:eastAsia="Times New Roman" w:cs="Calibri"/>
                <w:color w:val="000000"/>
                <w:sz w:val="16"/>
                <w:szCs w:val="16"/>
                <w:lang w:val="es-ES" w:eastAsia="es-ES"/>
              </w:rPr>
            </w:pPr>
          </w:p>
        </w:tc>
        <w:tc>
          <w:tcPr>
            <w:tcW w:w="716" w:type="pct"/>
            <w:tcBorders>
              <w:top w:val="nil"/>
              <w:left w:val="nil"/>
              <w:bottom w:val="nil"/>
              <w:right w:val="single" w:sz="4" w:space="0" w:color="auto"/>
            </w:tcBorders>
            <w:shd w:val="clear" w:color="000000" w:fill="B2C993"/>
            <w:vAlign w:val="center"/>
            <w:hideMark/>
          </w:tcPr>
          <w:p w:rsidR="003C50DE" w:rsidRPr="003C50DE" w:rsidRDefault="003C50DE" w:rsidP="003C50DE">
            <w:pPr>
              <w:rPr>
                <w:rFonts w:eastAsia="Times New Roman" w:cs="Calibri"/>
                <w:color w:val="000000"/>
                <w:sz w:val="16"/>
                <w:szCs w:val="16"/>
                <w:lang w:val="es-ES" w:eastAsia="es-ES"/>
              </w:rPr>
            </w:pPr>
            <w:r w:rsidRPr="003C50DE">
              <w:rPr>
                <w:rFonts w:eastAsia="Times New Roman" w:cs="Calibri"/>
                <w:color w:val="000000"/>
                <w:sz w:val="16"/>
                <w:szCs w:val="16"/>
                <w:lang w:val="es-ES" w:eastAsia="es-ES"/>
              </w:rPr>
              <w:t>Administrativo</w:t>
            </w:r>
          </w:p>
        </w:tc>
        <w:tc>
          <w:tcPr>
            <w:tcW w:w="502" w:type="pct"/>
            <w:tcBorders>
              <w:top w:val="nil"/>
              <w:left w:val="nil"/>
              <w:bottom w:val="nil"/>
              <w:right w:val="single" w:sz="4" w:space="0" w:color="auto"/>
            </w:tcBorders>
            <w:shd w:val="clear" w:color="000000" w:fill="B2C993"/>
            <w:noWrap/>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0</w:t>
            </w:r>
          </w:p>
        </w:tc>
        <w:tc>
          <w:tcPr>
            <w:tcW w:w="834" w:type="pct"/>
            <w:tcBorders>
              <w:top w:val="nil"/>
              <w:left w:val="nil"/>
              <w:bottom w:val="nil"/>
              <w:right w:val="single" w:sz="4" w:space="0" w:color="auto"/>
            </w:tcBorders>
            <w:shd w:val="clear" w:color="000000" w:fill="B2C993"/>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$0.00</w:t>
            </w:r>
          </w:p>
        </w:tc>
        <w:tc>
          <w:tcPr>
            <w:tcW w:w="502" w:type="pct"/>
            <w:tcBorders>
              <w:top w:val="nil"/>
              <w:left w:val="nil"/>
              <w:bottom w:val="nil"/>
              <w:right w:val="single" w:sz="4" w:space="0" w:color="auto"/>
            </w:tcBorders>
            <w:shd w:val="clear" w:color="000000" w:fill="B2C993"/>
            <w:vAlign w:val="center"/>
            <w:hideMark/>
          </w:tcPr>
          <w:p w:rsidR="003C50DE" w:rsidRPr="003C50DE" w:rsidRDefault="003C50DE" w:rsidP="003C50DE">
            <w:pPr>
              <w:jc w:val="center"/>
              <w:rPr>
                <w:rFonts w:eastAsia="Times New Roman" w:cs="Calibri"/>
                <w:color w:val="000000"/>
                <w:sz w:val="16"/>
                <w:szCs w:val="16"/>
                <w:lang w:val="es-ES" w:eastAsia="es-ES"/>
              </w:rPr>
            </w:pPr>
            <w:r w:rsidRPr="003C50DE">
              <w:rPr>
                <w:rFonts w:eastAsia="Times New Roman" w:cs="Calibri"/>
                <w:color w:val="000000"/>
                <w:sz w:val="16"/>
                <w:szCs w:val="16"/>
                <w:lang w:val="es-ES" w:eastAsia="es-ES"/>
              </w:rPr>
              <w:t>0</w:t>
            </w:r>
          </w:p>
        </w:tc>
        <w:tc>
          <w:tcPr>
            <w:tcW w:w="856" w:type="pct"/>
            <w:tcBorders>
              <w:top w:val="nil"/>
              <w:left w:val="nil"/>
              <w:bottom w:val="nil"/>
              <w:right w:val="single" w:sz="4" w:space="0" w:color="auto"/>
            </w:tcBorders>
            <w:shd w:val="clear" w:color="000000" w:fill="B2C993"/>
            <w:vAlign w:val="center"/>
            <w:hideMark/>
          </w:tcPr>
          <w:p w:rsidR="003C50DE" w:rsidRPr="003C50DE" w:rsidRDefault="003C50DE" w:rsidP="003C50DE">
            <w:pPr>
              <w:jc w:val="right"/>
              <w:rPr>
                <w:rFonts w:eastAsia="Times New Roman" w:cs="Calibri"/>
                <w:color w:val="000000"/>
                <w:sz w:val="16"/>
                <w:szCs w:val="16"/>
                <w:lang w:val="es-ES" w:eastAsia="es-ES"/>
              </w:rPr>
            </w:pPr>
            <w:r w:rsidRPr="003C50DE">
              <w:rPr>
                <w:rFonts w:eastAsia="Times New Roman" w:cs="Calibri"/>
                <w:color w:val="000000"/>
                <w:sz w:val="16"/>
                <w:szCs w:val="16"/>
                <w:lang w:val="es-ES" w:eastAsia="es-ES"/>
              </w:rPr>
              <w:t>$0.00</w:t>
            </w:r>
          </w:p>
        </w:tc>
        <w:tc>
          <w:tcPr>
            <w:tcW w:w="975" w:type="pct"/>
            <w:vMerge/>
            <w:tcBorders>
              <w:top w:val="single" w:sz="8" w:space="0" w:color="auto"/>
              <w:left w:val="single" w:sz="4" w:space="0" w:color="auto"/>
              <w:bottom w:val="single" w:sz="4" w:space="0" w:color="auto"/>
              <w:right w:val="single" w:sz="8" w:space="0" w:color="auto"/>
            </w:tcBorders>
            <w:vAlign w:val="center"/>
            <w:hideMark/>
          </w:tcPr>
          <w:p w:rsidR="003C50DE" w:rsidRPr="003C50DE" w:rsidRDefault="003C50DE" w:rsidP="003C50DE">
            <w:pPr>
              <w:rPr>
                <w:rFonts w:eastAsia="Times New Roman" w:cs="Calibri"/>
                <w:color w:val="000000"/>
                <w:sz w:val="16"/>
                <w:szCs w:val="16"/>
                <w:lang w:val="es-ES" w:eastAsia="es-ES"/>
              </w:rPr>
            </w:pPr>
          </w:p>
        </w:tc>
      </w:tr>
      <w:tr w:rsidR="003C50DE" w:rsidRPr="003C50DE" w:rsidTr="00896BCB">
        <w:trPr>
          <w:trHeight w:val="387"/>
        </w:trPr>
        <w:tc>
          <w:tcPr>
            <w:tcW w:w="1331" w:type="pct"/>
            <w:gridSpan w:val="2"/>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rsidR="003C50DE" w:rsidRPr="003C50DE" w:rsidRDefault="003C50DE" w:rsidP="003C50DE">
            <w:pPr>
              <w:jc w:val="center"/>
              <w:rPr>
                <w:rFonts w:eastAsia="Times New Roman" w:cs="Calibri"/>
                <w:b/>
                <w:color w:val="000000"/>
                <w:sz w:val="16"/>
                <w:szCs w:val="16"/>
                <w:lang w:val="es-ES" w:eastAsia="es-ES"/>
              </w:rPr>
            </w:pPr>
            <w:r w:rsidRPr="003C50DE">
              <w:rPr>
                <w:rFonts w:eastAsia="Times New Roman" w:cs="Calibri"/>
                <w:b/>
                <w:bCs/>
                <w:color w:val="000000"/>
                <w:lang w:val="es-ES" w:eastAsia="es-ES"/>
              </w:rPr>
              <w:t>TOTAL</w:t>
            </w:r>
          </w:p>
        </w:tc>
        <w:tc>
          <w:tcPr>
            <w:tcW w:w="502"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3C50DE" w:rsidRPr="003C50DE" w:rsidRDefault="003C50DE" w:rsidP="003C50DE">
            <w:pPr>
              <w:jc w:val="center"/>
              <w:rPr>
                <w:rFonts w:eastAsia="Times New Roman" w:cs="Calibri"/>
                <w:b/>
                <w:bCs/>
                <w:color w:val="000000"/>
                <w:lang w:val="es-ES" w:eastAsia="es-ES"/>
              </w:rPr>
            </w:pPr>
            <w:r w:rsidRPr="003C50DE">
              <w:rPr>
                <w:rFonts w:eastAsia="Times New Roman" w:cs="Calibri"/>
                <w:b/>
                <w:bCs/>
                <w:color w:val="000000"/>
                <w:lang w:val="es-ES" w:eastAsia="es-ES"/>
              </w:rPr>
              <w:t>120</w:t>
            </w:r>
          </w:p>
        </w:tc>
        <w:tc>
          <w:tcPr>
            <w:tcW w:w="834" w:type="pct"/>
            <w:tcBorders>
              <w:top w:val="single" w:sz="8" w:space="0" w:color="auto"/>
              <w:left w:val="nil"/>
              <w:bottom w:val="single" w:sz="4" w:space="0" w:color="auto"/>
              <w:right w:val="single" w:sz="4" w:space="0" w:color="auto"/>
            </w:tcBorders>
            <w:shd w:val="clear" w:color="000000" w:fill="FFFFFF"/>
            <w:vAlign w:val="center"/>
            <w:hideMark/>
          </w:tcPr>
          <w:p w:rsidR="003C50DE" w:rsidRPr="003C50DE" w:rsidRDefault="003C50DE" w:rsidP="003C50DE">
            <w:pPr>
              <w:jc w:val="center"/>
              <w:rPr>
                <w:rFonts w:eastAsia="Times New Roman" w:cs="Calibri"/>
                <w:b/>
                <w:bCs/>
                <w:color w:val="000000"/>
                <w:sz w:val="16"/>
                <w:szCs w:val="16"/>
                <w:lang w:val="es-ES" w:eastAsia="es-ES"/>
              </w:rPr>
            </w:pPr>
            <w:r w:rsidRPr="003C50DE">
              <w:rPr>
                <w:rFonts w:eastAsia="Times New Roman" w:cs="Calibri"/>
                <w:b/>
                <w:bCs/>
                <w:color w:val="000000"/>
                <w:sz w:val="16"/>
                <w:szCs w:val="16"/>
                <w:lang w:val="es-ES" w:eastAsia="es-ES"/>
              </w:rPr>
              <w:t xml:space="preserve">MONTO TOTAL </w:t>
            </w:r>
          </w:p>
        </w:tc>
        <w:tc>
          <w:tcPr>
            <w:tcW w:w="502"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3C50DE" w:rsidRPr="003C50DE" w:rsidRDefault="003C50DE" w:rsidP="003C50DE">
            <w:pPr>
              <w:jc w:val="center"/>
              <w:rPr>
                <w:rFonts w:eastAsia="Times New Roman" w:cs="Calibri"/>
                <w:b/>
                <w:bCs/>
                <w:color w:val="000000"/>
                <w:sz w:val="20"/>
                <w:szCs w:val="20"/>
                <w:lang w:val="es-ES" w:eastAsia="es-ES"/>
              </w:rPr>
            </w:pPr>
            <w:r w:rsidRPr="003C50DE">
              <w:rPr>
                <w:rFonts w:eastAsia="Times New Roman" w:cs="Calibri"/>
                <w:b/>
                <w:bCs/>
                <w:color w:val="000000"/>
                <w:lang w:val="es-ES" w:eastAsia="es-ES"/>
              </w:rPr>
              <w:t>156</w:t>
            </w:r>
          </w:p>
        </w:tc>
        <w:tc>
          <w:tcPr>
            <w:tcW w:w="856" w:type="pct"/>
            <w:tcBorders>
              <w:top w:val="single" w:sz="8" w:space="0" w:color="auto"/>
              <w:left w:val="nil"/>
              <w:bottom w:val="single" w:sz="4" w:space="0" w:color="auto"/>
              <w:right w:val="single" w:sz="4" w:space="0" w:color="auto"/>
            </w:tcBorders>
            <w:shd w:val="clear" w:color="000000" w:fill="FFFFFF"/>
            <w:vAlign w:val="center"/>
            <w:hideMark/>
          </w:tcPr>
          <w:p w:rsidR="003C50DE" w:rsidRPr="003C50DE" w:rsidRDefault="003C50DE" w:rsidP="003C50DE">
            <w:pPr>
              <w:jc w:val="center"/>
              <w:rPr>
                <w:rFonts w:eastAsia="Times New Roman" w:cs="Calibri"/>
                <w:b/>
                <w:bCs/>
                <w:color w:val="000000"/>
                <w:sz w:val="16"/>
                <w:szCs w:val="16"/>
                <w:lang w:val="es-ES" w:eastAsia="es-ES"/>
              </w:rPr>
            </w:pPr>
            <w:r w:rsidRPr="003C50DE">
              <w:rPr>
                <w:rFonts w:eastAsia="Times New Roman" w:cs="Calibri"/>
                <w:b/>
                <w:bCs/>
                <w:color w:val="000000"/>
                <w:sz w:val="16"/>
                <w:szCs w:val="16"/>
                <w:lang w:val="es-ES" w:eastAsia="es-ES"/>
              </w:rPr>
              <w:t>MONTO TOTAL</w:t>
            </w:r>
          </w:p>
        </w:tc>
        <w:tc>
          <w:tcPr>
            <w:tcW w:w="975" w:type="pct"/>
            <w:tcBorders>
              <w:top w:val="single" w:sz="8" w:space="0" w:color="auto"/>
              <w:left w:val="nil"/>
              <w:bottom w:val="single" w:sz="4" w:space="0" w:color="auto"/>
              <w:right w:val="single" w:sz="8" w:space="0" w:color="auto"/>
            </w:tcBorders>
            <w:shd w:val="clear" w:color="000000" w:fill="FFFFFF"/>
            <w:vAlign w:val="center"/>
            <w:hideMark/>
          </w:tcPr>
          <w:p w:rsidR="003C50DE" w:rsidRPr="003C50DE" w:rsidRDefault="003C50DE" w:rsidP="003C50DE">
            <w:pPr>
              <w:jc w:val="center"/>
              <w:rPr>
                <w:rFonts w:eastAsia="Times New Roman" w:cs="Calibri"/>
                <w:b/>
                <w:bCs/>
                <w:color w:val="000000"/>
                <w:sz w:val="16"/>
                <w:szCs w:val="16"/>
                <w:lang w:val="es-ES" w:eastAsia="es-ES"/>
              </w:rPr>
            </w:pPr>
            <w:r w:rsidRPr="003C50DE">
              <w:rPr>
                <w:rFonts w:eastAsia="Times New Roman" w:cs="Calibri"/>
                <w:b/>
                <w:bCs/>
                <w:color w:val="000000"/>
                <w:sz w:val="16"/>
                <w:szCs w:val="16"/>
                <w:lang w:val="es-ES" w:eastAsia="es-ES"/>
              </w:rPr>
              <w:t>TOTAL CONTRATADO  2016-2017</w:t>
            </w:r>
          </w:p>
        </w:tc>
      </w:tr>
      <w:tr w:rsidR="003C50DE" w:rsidRPr="003C50DE" w:rsidTr="00896BCB">
        <w:trPr>
          <w:trHeight w:val="330"/>
        </w:trPr>
        <w:tc>
          <w:tcPr>
            <w:tcW w:w="1331" w:type="pct"/>
            <w:gridSpan w:val="2"/>
            <w:vMerge/>
            <w:tcBorders>
              <w:top w:val="single" w:sz="8" w:space="0" w:color="auto"/>
              <w:left w:val="single" w:sz="8" w:space="0" w:color="auto"/>
              <w:bottom w:val="single" w:sz="8" w:space="0" w:color="000000"/>
              <w:right w:val="single" w:sz="4" w:space="0" w:color="auto"/>
            </w:tcBorders>
            <w:vAlign w:val="center"/>
            <w:hideMark/>
          </w:tcPr>
          <w:p w:rsidR="003C50DE" w:rsidRPr="003C50DE" w:rsidRDefault="003C50DE" w:rsidP="003C50DE">
            <w:pPr>
              <w:rPr>
                <w:rFonts w:eastAsia="Times New Roman" w:cs="Calibri"/>
                <w:color w:val="000000"/>
                <w:sz w:val="20"/>
                <w:szCs w:val="20"/>
                <w:lang w:val="es-ES" w:eastAsia="es-ES"/>
              </w:rPr>
            </w:pPr>
          </w:p>
        </w:tc>
        <w:tc>
          <w:tcPr>
            <w:tcW w:w="502" w:type="pct"/>
            <w:vMerge/>
            <w:tcBorders>
              <w:top w:val="single" w:sz="8" w:space="0" w:color="auto"/>
              <w:left w:val="single" w:sz="4" w:space="0" w:color="auto"/>
              <w:bottom w:val="single" w:sz="8" w:space="0" w:color="000000"/>
              <w:right w:val="single" w:sz="4" w:space="0" w:color="auto"/>
            </w:tcBorders>
            <w:vAlign w:val="center"/>
            <w:hideMark/>
          </w:tcPr>
          <w:p w:rsidR="003C50DE" w:rsidRPr="003C50DE" w:rsidRDefault="003C50DE" w:rsidP="003C50DE">
            <w:pPr>
              <w:rPr>
                <w:rFonts w:eastAsia="Times New Roman" w:cs="Calibri"/>
                <w:b/>
                <w:bCs/>
                <w:color w:val="000000"/>
                <w:sz w:val="20"/>
                <w:szCs w:val="20"/>
                <w:lang w:val="es-ES" w:eastAsia="es-ES"/>
              </w:rPr>
            </w:pPr>
          </w:p>
        </w:tc>
        <w:tc>
          <w:tcPr>
            <w:tcW w:w="834" w:type="pct"/>
            <w:tcBorders>
              <w:top w:val="nil"/>
              <w:left w:val="nil"/>
              <w:bottom w:val="single" w:sz="8" w:space="0" w:color="auto"/>
              <w:right w:val="single" w:sz="4" w:space="0" w:color="auto"/>
            </w:tcBorders>
            <w:shd w:val="clear" w:color="000000" w:fill="FFFFFF"/>
            <w:vAlign w:val="center"/>
            <w:hideMark/>
          </w:tcPr>
          <w:p w:rsidR="003C50DE" w:rsidRPr="003C50DE" w:rsidRDefault="003C50DE" w:rsidP="003C50DE">
            <w:pPr>
              <w:rPr>
                <w:rFonts w:eastAsia="Times New Roman" w:cs="Calibri"/>
                <w:b/>
                <w:bCs/>
                <w:color w:val="000000"/>
                <w:sz w:val="20"/>
                <w:szCs w:val="20"/>
                <w:lang w:val="es-ES" w:eastAsia="es-ES"/>
              </w:rPr>
            </w:pPr>
            <w:r w:rsidRPr="003C50DE">
              <w:rPr>
                <w:rFonts w:eastAsia="Times New Roman" w:cs="Calibri"/>
                <w:b/>
                <w:bCs/>
                <w:color w:val="000000"/>
                <w:sz w:val="20"/>
                <w:szCs w:val="20"/>
                <w:lang w:val="es-ES" w:eastAsia="es-ES"/>
              </w:rPr>
              <w:t>$11,724,386.12</w:t>
            </w:r>
          </w:p>
        </w:tc>
        <w:tc>
          <w:tcPr>
            <w:tcW w:w="502" w:type="pct"/>
            <w:vMerge/>
            <w:tcBorders>
              <w:top w:val="single" w:sz="8" w:space="0" w:color="auto"/>
              <w:left w:val="single" w:sz="4" w:space="0" w:color="auto"/>
              <w:bottom w:val="single" w:sz="8" w:space="0" w:color="000000"/>
              <w:right w:val="single" w:sz="4" w:space="0" w:color="auto"/>
            </w:tcBorders>
            <w:vAlign w:val="center"/>
            <w:hideMark/>
          </w:tcPr>
          <w:p w:rsidR="003C50DE" w:rsidRPr="003C50DE" w:rsidRDefault="003C50DE" w:rsidP="003C50DE">
            <w:pPr>
              <w:rPr>
                <w:rFonts w:eastAsia="Times New Roman" w:cs="Calibri"/>
                <w:b/>
                <w:bCs/>
                <w:color w:val="000000"/>
                <w:sz w:val="20"/>
                <w:szCs w:val="20"/>
                <w:lang w:val="es-ES" w:eastAsia="es-ES"/>
              </w:rPr>
            </w:pPr>
          </w:p>
        </w:tc>
        <w:tc>
          <w:tcPr>
            <w:tcW w:w="856" w:type="pct"/>
            <w:tcBorders>
              <w:top w:val="nil"/>
              <w:left w:val="nil"/>
              <w:bottom w:val="single" w:sz="8" w:space="0" w:color="auto"/>
              <w:right w:val="single" w:sz="4" w:space="0" w:color="auto"/>
            </w:tcBorders>
            <w:shd w:val="clear" w:color="000000" w:fill="FFFFFF"/>
            <w:vAlign w:val="center"/>
            <w:hideMark/>
          </w:tcPr>
          <w:p w:rsidR="003C50DE" w:rsidRPr="003C50DE" w:rsidRDefault="003C50DE" w:rsidP="003C50DE">
            <w:pPr>
              <w:jc w:val="center"/>
              <w:rPr>
                <w:rFonts w:eastAsia="Times New Roman" w:cs="Calibri"/>
                <w:b/>
                <w:bCs/>
                <w:color w:val="000000"/>
                <w:sz w:val="20"/>
                <w:szCs w:val="20"/>
                <w:lang w:val="es-ES" w:eastAsia="es-ES"/>
              </w:rPr>
            </w:pPr>
            <w:r w:rsidRPr="003C50DE">
              <w:rPr>
                <w:rFonts w:eastAsia="Times New Roman" w:cs="Calibri"/>
                <w:b/>
                <w:bCs/>
                <w:color w:val="000000"/>
                <w:sz w:val="20"/>
                <w:szCs w:val="20"/>
                <w:lang w:val="es-ES" w:eastAsia="es-ES"/>
              </w:rPr>
              <w:t>$34,852,869.52</w:t>
            </w:r>
          </w:p>
        </w:tc>
        <w:tc>
          <w:tcPr>
            <w:tcW w:w="975" w:type="pct"/>
            <w:tcBorders>
              <w:top w:val="nil"/>
              <w:left w:val="nil"/>
              <w:bottom w:val="single" w:sz="8" w:space="0" w:color="auto"/>
              <w:right w:val="single" w:sz="8" w:space="0" w:color="auto"/>
            </w:tcBorders>
            <w:shd w:val="clear" w:color="000000" w:fill="FFFFFF"/>
            <w:vAlign w:val="center"/>
            <w:hideMark/>
          </w:tcPr>
          <w:p w:rsidR="003C50DE" w:rsidRPr="003C50DE" w:rsidRDefault="003C50DE" w:rsidP="003C50DE">
            <w:pPr>
              <w:jc w:val="center"/>
              <w:rPr>
                <w:rFonts w:eastAsia="Times New Roman" w:cs="Calibri"/>
                <w:b/>
                <w:bCs/>
                <w:color w:val="000000"/>
                <w:sz w:val="20"/>
                <w:szCs w:val="20"/>
                <w:lang w:val="es-ES" w:eastAsia="es-ES"/>
              </w:rPr>
            </w:pPr>
            <w:r w:rsidRPr="003C50DE">
              <w:rPr>
                <w:rFonts w:eastAsia="Times New Roman" w:cs="Calibri"/>
                <w:b/>
                <w:bCs/>
                <w:color w:val="000000"/>
                <w:sz w:val="20"/>
                <w:szCs w:val="20"/>
                <w:lang w:val="es-ES" w:eastAsia="es-ES"/>
              </w:rPr>
              <w:t>$46,577,255.64</w:t>
            </w:r>
          </w:p>
        </w:tc>
      </w:tr>
    </w:tbl>
    <w:p w:rsidR="00F549BD" w:rsidRPr="00F549BD" w:rsidRDefault="00F549BD" w:rsidP="00F549BD"/>
    <w:p w:rsidR="00F549BD" w:rsidRDefault="00F549BD" w:rsidP="00F549BD">
      <w:pPr>
        <w:rPr>
          <w:rFonts w:ascii="Century Gothic" w:hAnsi="Century Gothic"/>
          <w:sz w:val="16"/>
          <w:szCs w:val="16"/>
        </w:rPr>
      </w:pPr>
      <w:r>
        <w:rPr>
          <w:rFonts w:ascii="Century Gothic" w:hAnsi="Century Gothic"/>
          <w:sz w:val="16"/>
          <w:szCs w:val="16"/>
        </w:rPr>
        <w:t>Fuente: Unidad de Adquisiciones y Contrataciones Institucional.</w:t>
      </w:r>
    </w:p>
    <w:p w:rsidR="00F549BD" w:rsidRDefault="00F549BD" w:rsidP="00F549BD">
      <w:pPr>
        <w:pStyle w:val="Ttulo4"/>
        <w:numPr>
          <w:ilvl w:val="0"/>
          <w:numId w:val="0"/>
        </w:numPr>
        <w:spacing w:after="120"/>
        <w:ind w:left="1440"/>
        <w:rPr>
          <w:sz w:val="24"/>
        </w:rPr>
      </w:pPr>
    </w:p>
    <w:p w:rsidR="003C50DE" w:rsidRDefault="003C50DE" w:rsidP="003C50DE"/>
    <w:p w:rsidR="003C50DE" w:rsidRDefault="003C50DE" w:rsidP="003C50DE"/>
    <w:p w:rsidR="003C50DE" w:rsidRDefault="003C50DE" w:rsidP="003C50DE"/>
    <w:p w:rsidR="003C50DE" w:rsidRPr="003C50DE" w:rsidRDefault="003C50DE" w:rsidP="003C50DE"/>
    <w:p w:rsidR="00F549BD" w:rsidRPr="007A321C" w:rsidRDefault="00F549BD" w:rsidP="00E61FA9">
      <w:pPr>
        <w:pStyle w:val="Ttulo4"/>
        <w:numPr>
          <w:ilvl w:val="3"/>
          <w:numId w:val="25"/>
        </w:numPr>
        <w:spacing w:after="120"/>
        <w:rPr>
          <w:sz w:val="24"/>
        </w:rPr>
      </w:pPr>
      <w:bookmarkStart w:id="44" w:name="_Toc491684911"/>
      <w:r w:rsidRPr="007A321C">
        <w:rPr>
          <w:sz w:val="24"/>
        </w:rPr>
        <w:t>ADQUISICIÓN DE BIENES INMUEBLES</w:t>
      </w:r>
      <w:bookmarkEnd w:id="44"/>
    </w:p>
    <w:p w:rsidR="00F549BD" w:rsidRDefault="00F549BD" w:rsidP="0039373C">
      <w:pPr>
        <w:rPr>
          <w:rFonts w:ascii="Century Gothic" w:hAnsi="Century Gothic"/>
          <w:sz w:val="16"/>
          <w:szCs w:val="16"/>
        </w:rPr>
      </w:pPr>
    </w:p>
    <w:p w:rsidR="00F549BD" w:rsidRDefault="00F549BD" w:rsidP="0039373C">
      <w:pPr>
        <w:rPr>
          <w:rFonts w:ascii="Century Gothic" w:hAnsi="Century Gothic"/>
          <w:sz w:val="16"/>
          <w:szCs w:val="16"/>
        </w:rPr>
      </w:pPr>
    </w:p>
    <w:tbl>
      <w:tblPr>
        <w:tblW w:w="9142" w:type="dxa"/>
        <w:tblLayout w:type="fixed"/>
        <w:tblCellMar>
          <w:left w:w="70" w:type="dxa"/>
          <w:right w:w="70" w:type="dxa"/>
        </w:tblCellMar>
        <w:tblLook w:val="04A0" w:firstRow="1" w:lastRow="0" w:firstColumn="1" w:lastColumn="0" w:noHBand="0" w:noVBand="1"/>
      </w:tblPr>
      <w:tblGrid>
        <w:gridCol w:w="1771"/>
        <w:gridCol w:w="993"/>
        <w:gridCol w:w="1559"/>
        <w:gridCol w:w="992"/>
        <w:gridCol w:w="2126"/>
        <w:gridCol w:w="1701"/>
      </w:tblGrid>
      <w:tr w:rsidR="000B38E6" w:rsidRPr="00706990" w:rsidTr="00896BCB">
        <w:trPr>
          <w:trHeight w:val="600"/>
        </w:trPr>
        <w:tc>
          <w:tcPr>
            <w:tcW w:w="1771" w:type="dxa"/>
            <w:tcBorders>
              <w:top w:val="single" w:sz="4" w:space="0" w:color="auto"/>
              <w:left w:val="single" w:sz="4" w:space="0" w:color="auto"/>
              <w:bottom w:val="single" w:sz="4" w:space="0" w:color="auto"/>
              <w:right w:val="single" w:sz="4" w:space="0" w:color="auto"/>
            </w:tcBorders>
            <w:shd w:val="clear" w:color="auto" w:fill="D6E3BC"/>
            <w:noWrap/>
            <w:vAlign w:val="bottom"/>
            <w:hideMark/>
          </w:tcPr>
          <w:p w:rsidR="000B38E6" w:rsidRDefault="000B38E6" w:rsidP="00896BCB">
            <w:pPr>
              <w:jc w:val="center"/>
              <w:rPr>
                <w:rFonts w:eastAsia="Times New Roman"/>
                <w:color w:val="000000"/>
                <w:sz w:val="16"/>
                <w:szCs w:val="16"/>
                <w:lang w:eastAsia="es-SV"/>
              </w:rPr>
            </w:pPr>
            <w:r w:rsidRPr="00F549BD">
              <w:rPr>
                <w:rFonts w:eastAsia="Times New Roman"/>
                <w:color w:val="000000"/>
                <w:sz w:val="16"/>
                <w:szCs w:val="16"/>
                <w:lang w:eastAsia="es-SV"/>
              </w:rPr>
              <w:t>Ubicación</w:t>
            </w:r>
          </w:p>
          <w:p w:rsidR="000B38E6" w:rsidRPr="00F549BD" w:rsidRDefault="000B38E6" w:rsidP="00896BCB">
            <w:pPr>
              <w:jc w:val="center"/>
              <w:rPr>
                <w:rFonts w:eastAsia="Times New Roman"/>
                <w:color w:val="000000"/>
                <w:sz w:val="16"/>
                <w:szCs w:val="16"/>
                <w:lang w:eastAsia="es-SV"/>
              </w:rPr>
            </w:pPr>
          </w:p>
        </w:tc>
        <w:tc>
          <w:tcPr>
            <w:tcW w:w="993" w:type="dxa"/>
            <w:tcBorders>
              <w:top w:val="single" w:sz="4" w:space="0" w:color="auto"/>
              <w:left w:val="nil"/>
              <w:bottom w:val="single" w:sz="4" w:space="0" w:color="auto"/>
              <w:right w:val="single" w:sz="4" w:space="0" w:color="auto"/>
            </w:tcBorders>
            <w:shd w:val="clear" w:color="auto" w:fill="D6E3BC"/>
            <w:vAlign w:val="bottom"/>
            <w:hideMark/>
          </w:tcPr>
          <w:p w:rsidR="000B38E6" w:rsidRPr="00F549BD" w:rsidRDefault="000B38E6" w:rsidP="00896BCB">
            <w:pPr>
              <w:jc w:val="center"/>
              <w:rPr>
                <w:rFonts w:eastAsia="Times New Roman"/>
                <w:color w:val="000000"/>
                <w:sz w:val="14"/>
                <w:szCs w:val="14"/>
                <w:lang w:eastAsia="es-SV"/>
              </w:rPr>
            </w:pPr>
            <w:r w:rsidRPr="00F549BD">
              <w:rPr>
                <w:rFonts w:eastAsia="Times New Roman"/>
                <w:color w:val="000000"/>
                <w:sz w:val="14"/>
                <w:szCs w:val="14"/>
                <w:lang w:eastAsia="es-SV"/>
              </w:rPr>
              <w:t>Forma de Adquisición</w:t>
            </w:r>
          </w:p>
        </w:tc>
        <w:tc>
          <w:tcPr>
            <w:tcW w:w="1559" w:type="dxa"/>
            <w:tcBorders>
              <w:top w:val="single" w:sz="4" w:space="0" w:color="auto"/>
              <w:left w:val="nil"/>
              <w:bottom w:val="single" w:sz="4" w:space="0" w:color="auto"/>
              <w:right w:val="single" w:sz="4" w:space="0" w:color="auto"/>
            </w:tcBorders>
            <w:shd w:val="clear" w:color="auto" w:fill="D6E3BC"/>
            <w:vAlign w:val="bottom"/>
            <w:hideMark/>
          </w:tcPr>
          <w:p w:rsidR="000B38E6" w:rsidRPr="00F549BD" w:rsidRDefault="000B38E6" w:rsidP="00896BCB">
            <w:pPr>
              <w:jc w:val="center"/>
              <w:rPr>
                <w:rFonts w:eastAsia="Times New Roman"/>
                <w:color w:val="000000"/>
                <w:sz w:val="16"/>
                <w:szCs w:val="16"/>
                <w:lang w:eastAsia="es-SV"/>
              </w:rPr>
            </w:pPr>
            <w:r w:rsidRPr="00F549BD">
              <w:rPr>
                <w:rFonts w:eastAsia="Times New Roman"/>
                <w:color w:val="000000"/>
                <w:sz w:val="16"/>
                <w:szCs w:val="16"/>
                <w:lang w:eastAsia="es-SV"/>
              </w:rPr>
              <w:t>Valor del inmueble</w:t>
            </w:r>
          </w:p>
        </w:tc>
        <w:tc>
          <w:tcPr>
            <w:tcW w:w="992" w:type="dxa"/>
            <w:tcBorders>
              <w:top w:val="single" w:sz="4" w:space="0" w:color="auto"/>
              <w:left w:val="nil"/>
              <w:bottom w:val="single" w:sz="4" w:space="0" w:color="auto"/>
              <w:right w:val="single" w:sz="4" w:space="0" w:color="auto"/>
            </w:tcBorders>
            <w:shd w:val="clear" w:color="auto" w:fill="D6E3BC"/>
            <w:vAlign w:val="bottom"/>
            <w:hideMark/>
          </w:tcPr>
          <w:p w:rsidR="000B38E6" w:rsidRPr="00F549BD" w:rsidRDefault="000B38E6" w:rsidP="00896BCB">
            <w:pPr>
              <w:jc w:val="center"/>
              <w:rPr>
                <w:rFonts w:eastAsia="Times New Roman"/>
                <w:color w:val="000000"/>
                <w:sz w:val="16"/>
                <w:szCs w:val="16"/>
                <w:lang w:eastAsia="es-SV"/>
              </w:rPr>
            </w:pPr>
            <w:r w:rsidRPr="00F549BD">
              <w:rPr>
                <w:rFonts w:eastAsia="Times New Roman"/>
                <w:color w:val="000000"/>
                <w:sz w:val="16"/>
                <w:szCs w:val="16"/>
                <w:lang w:eastAsia="es-SV"/>
              </w:rPr>
              <w:t>Fecha de Adquisición</w:t>
            </w:r>
          </w:p>
        </w:tc>
        <w:tc>
          <w:tcPr>
            <w:tcW w:w="2126" w:type="dxa"/>
            <w:tcBorders>
              <w:top w:val="single" w:sz="4" w:space="0" w:color="auto"/>
              <w:left w:val="nil"/>
              <w:bottom w:val="single" w:sz="4" w:space="0" w:color="auto"/>
              <w:right w:val="single" w:sz="4" w:space="0" w:color="auto"/>
            </w:tcBorders>
            <w:shd w:val="clear" w:color="auto" w:fill="D6E3BC"/>
            <w:vAlign w:val="bottom"/>
            <w:hideMark/>
          </w:tcPr>
          <w:p w:rsidR="000B38E6" w:rsidRDefault="000B38E6" w:rsidP="00896BCB">
            <w:pPr>
              <w:jc w:val="center"/>
              <w:rPr>
                <w:rFonts w:eastAsia="Times New Roman"/>
                <w:color w:val="000000"/>
                <w:sz w:val="16"/>
                <w:szCs w:val="16"/>
                <w:lang w:eastAsia="es-SV"/>
              </w:rPr>
            </w:pPr>
            <w:r w:rsidRPr="00F549BD">
              <w:rPr>
                <w:rFonts w:eastAsia="Times New Roman"/>
                <w:color w:val="000000"/>
                <w:sz w:val="16"/>
                <w:szCs w:val="16"/>
                <w:lang w:eastAsia="es-SV"/>
              </w:rPr>
              <w:t>Uso del Inmueble</w:t>
            </w:r>
          </w:p>
          <w:p w:rsidR="000B38E6" w:rsidRPr="00F549BD" w:rsidRDefault="000B38E6" w:rsidP="00896BCB">
            <w:pPr>
              <w:jc w:val="center"/>
              <w:rPr>
                <w:rFonts w:eastAsia="Times New Roman"/>
                <w:color w:val="000000"/>
                <w:sz w:val="16"/>
                <w:szCs w:val="16"/>
                <w:lang w:eastAsia="es-SV"/>
              </w:rPr>
            </w:pPr>
          </w:p>
        </w:tc>
        <w:tc>
          <w:tcPr>
            <w:tcW w:w="1701" w:type="dxa"/>
            <w:tcBorders>
              <w:top w:val="single" w:sz="4" w:space="0" w:color="auto"/>
              <w:left w:val="nil"/>
              <w:bottom w:val="single" w:sz="4" w:space="0" w:color="auto"/>
              <w:right w:val="single" w:sz="4" w:space="0" w:color="auto"/>
            </w:tcBorders>
            <w:shd w:val="clear" w:color="auto" w:fill="D6E3BC"/>
            <w:vAlign w:val="bottom"/>
            <w:hideMark/>
          </w:tcPr>
          <w:p w:rsidR="000B38E6" w:rsidRPr="00F549BD" w:rsidRDefault="000B38E6" w:rsidP="00896BCB">
            <w:pPr>
              <w:jc w:val="center"/>
              <w:rPr>
                <w:rFonts w:eastAsia="Times New Roman"/>
                <w:color w:val="000000"/>
                <w:sz w:val="16"/>
                <w:szCs w:val="16"/>
                <w:lang w:eastAsia="es-SV"/>
              </w:rPr>
            </w:pPr>
            <w:r w:rsidRPr="00F549BD">
              <w:rPr>
                <w:rFonts w:eastAsia="Times New Roman"/>
                <w:color w:val="000000"/>
                <w:sz w:val="16"/>
                <w:szCs w:val="16"/>
                <w:lang w:eastAsia="es-SV"/>
              </w:rPr>
              <w:t>Estado</w:t>
            </w:r>
          </w:p>
          <w:p w:rsidR="000B38E6" w:rsidRPr="00F549BD" w:rsidRDefault="000B38E6" w:rsidP="00896BCB">
            <w:pPr>
              <w:jc w:val="center"/>
              <w:rPr>
                <w:rFonts w:eastAsia="Times New Roman"/>
                <w:color w:val="000000"/>
                <w:sz w:val="16"/>
                <w:szCs w:val="16"/>
                <w:lang w:eastAsia="es-SV"/>
              </w:rPr>
            </w:pPr>
          </w:p>
          <w:p w:rsidR="000B38E6" w:rsidRPr="00F549BD" w:rsidRDefault="000B38E6" w:rsidP="00896BCB">
            <w:pPr>
              <w:jc w:val="center"/>
              <w:rPr>
                <w:rFonts w:eastAsia="Times New Roman"/>
                <w:color w:val="000000"/>
                <w:sz w:val="16"/>
                <w:szCs w:val="16"/>
                <w:lang w:eastAsia="es-SV"/>
              </w:rPr>
            </w:pPr>
          </w:p>
        </w:tc>
      </w:tr>
      <w:tr w:rsidR="000B38E6" w:rsidRPr="008C01D0" w:rsidTr="00896BCB">
        <w:trPr>
          <w:trHeight w:val="600"/>
        </w:trPr>
        <w:tc>
          <w:tcPr>
            <w:tcW w:w="1771" w:type="dxa"/>
            <w:tcBorders>
              <w:top w:val="nil"/>
              <w:left w:val="single" w:sz="4" w:space="0" w:color="auto"/>
              <w:bottom w:val="single" w:sz="4" w:space="0" w:color="auto"/>
              <w:right w:val="single" w:sz="4" w:space="0" w:color="auto"/>
            </w:tcBorders>
            <w:shd w:val="clear" w:color="auto" w:fill="auto"/>
            <w:noWrap/>
            <w:vAlign w:val="bottom"/>
            <w:hideMark/>
          </w:tcPr>
          <w:p w:rsidR="000B38E6" w:rsidRPr="008C01D0" w:rsidRDefault="000B38E6" w:rsidP="00896BCB">
            <w:pPr>
              <w:jc w:val="both"/>
              <w:rPr>
                <w:rFonts w:eastAsia="Times New Roman"/>
                <w:color w:val="000000"/>
                <w:sz w:val="16"/>
                <w:szCs w:val="16"/>
                <w:lang w:eastAsia="es-SV"/>
              </w:rPr>
            </w:pPr>
            <w:r w:rsidRPr="008C01D0">
              <w:rPr>
                <w:rFonts w:eastAsia="Times New Roman"/>
                <w:color w:val="000000"/>
                <w:sz w:val="14"/>
                <w:szCs w:val="14"/>
                <w:lang w:eastAsia="es-SV"/>
              </w:rPr>
              <w:t>Barrio San Miguelito,</w:t>
            </w:r>
            <w:r>
              <w:rPr>
                <w:rFonts w:eastAsia="Times New Roman"/>
                <w:color w:val="000000"/>
                <w:sz w:val="14"/>
                <w:szCs w:val="14"/>
                <w:lang w:eastAsia="es-SV"/>
              </w:rPr>
              <w:t xml:space="preserve"> </w:t>
            </w:r>
            <w:r w:rsidRPr="008C01D0">
              <w:rPr>
                <w:rFonts w:eastAsia="Times New Roman"/>
                <w:color w:val="000000"/>
                <w:sz w:val="14"/>
                <w:szCs w:val="14"/>
                <w:lang w:eastAsia="es-SV"/>
              </w:rPr>
              <w:t>1ª.</w:t>
            </w:r>
            <w:r>
              <w:rPr>
                <w:rFonts w:eastAsia="Times New Roman"/>
                <w:color w:val="000000"/>
                <w:sz w:val="14"/>
                <w:szCs w:val="14"/>
                <w:lang w:eastAsia="es-SV"/>
              </w:rPr>
              <w:t xml:space="preserve"> </w:t>
            </w:r>
            <w:r w:rsidRPr="008C01D0">
              <w:rPr>
                <w:rFonts w:eastAsia="Times New Roman"/>
                <w:color w:val="000000"/>
                <w:sz w:val="14"/>
                <w:szCs w:val="14"/>
                <w:lang w:eastAsia="es-SV"/>
              </w:rPr>
              <w:t>Avenida Norte</w:t>
            </w:r>
            <w:r>
              <w:rPr>
                <w:rFonts w:eastAsia="Times New Roman"/>
                <w:color w:val="000000"/>
                <w:sz w:val="14"/>
                <w:szCs w:val="14"/>
                <w:lang w:eastAsia="es-SV"/>
              </w:rPr>
              <w:t>,</w:t>
            </w:r>
            <w:r w:rsidRPr="008C01D0">
              <w:rPr>
                <w:rFonts w:eastAsia="Times New Roman"/>
                <w:color w:val="000000"/>
                <w:sz w:val="14"/>
                <w:szCs w:val="14"/>
                <w:lang w:eastAsia="es-SV"/>
              </w:rPr>
              <w:t xml:space="preserve"> N</w:t>
            </w:r>
            <w:r>
              <w:rPr>
                <w:rFonts w:eastAsia="Times New Roman"/>
                <w:color w:val="000000"/>
                <w:sz w:val="14"/>
                <w:szCs w:val="14"/>
                <w:lang w:eastAsia="es-SV"/>
              </w:rPr>
              <w:t>o</w:t>
            </w:r>
            <w:r w:rsidRPr="008C01D0">
              <w:rPr>
                <w:rFonts w:eastAsia="Times New Roman"/>
                <w:color w:val="000000"/>
                <w:sz w:val="14"/>
                <w:szCs w:val="14"/>
                <w:lang w:eastAsia="es-SV"/>
              </w:rPr>
              <w:t>.1813, San Salvador</w:t>
            </w:r>
          </w:p>
        </w:tc>
        <w:tc>
          <w:tcPr>
            <w:tcW w:w="993" w:type="dxa"/>
            <w:tcBorders>
              <w:top w:val="nil"/>
              <w:left w:val="nil"/>
              <w:bottom w:val="single" w:sz="4" w:space="0" w:color="auto"/>
              <w:right w:val="single" w:sz="4" w:space="0" w:color="auto"/>
            </w:tcBorders>
            <w:shd w:val="clear" w:color="auto" w:fill="auto"/>
            <w:vAlign w:val="center"/>
            <w:hideMark/>
          </w:tcPr>
          <w:p w:rsidR="000B38E6" w:rsidRPr="008C01D0" w:rsidRDefault="000B38E6" w:rsidP="00896BCB">
            <w:pPr>
              <w:jc w:val="center"/>
              <w:rPr>
                <w:rFonts w:eastAsia="Times New Roman"/>
                <w:color w:val="000000"/>
                <w:sz w:val="14"/>
                <w:szCs w:val="14"/>
                <w:lang w:eastAsia="es-SV"/>
              </w:rPr>
            </w:pPr>
            <w:r>
              <w:rPr>
                <w:rFonts w:eastAsia="Times New Roman"/>
                <w:color w:val="000000"/>
                <w:sz w:val="14"/>
                <w:szCs w:val="14"/>
                <w:lang w:eastAsia="es-SV"/>
              </w:rPr>
              <w:t>Compraventa</w:t>
            </w:r>
          </w:p>
        </w:tc>
        <w:tc>
          <w:tcPr>
            <w:tcW w:w="1559" w:type="dxa"/>
            <w:tcBorders>
              <w:top w:val="nil"/>
              <w:left w:val="nil"/>
              <w:bottom w:val="single" w:sz="4" w:space="0" w:color="auto"/>
              <w:right w:val="single" w:sz="4" w:space="0" w:color="auto"/>
            </w:tcBorders>
            <w:shd w:val="clear" w:color="auto" w:fill="auto"/>
            <w:vAlign w:val="center"/>
            <w:hideMark/>
          </w:tcPr>
          <w:p w:rsidR="000B38E6" w:rsidRPr="008C01D0" w:rsidRDefault="000B38E6" w:rsidP="00896BCB">
            <w:pPr>
              <w:jc w:val="center"/>
              <w:rPr>
                <w:rFonts w:eastAsia="Times New Roman"/>
                <w:color w:val="000000"/>
                <w:sz w:val="16"/>
                <w:szCs w:val="16"/>
                <w:lang w:eastAsia="es-SV"/>
              </w:rPr>
            </w:pPr>
            <w:r w:rsidRPr="00F549BD">
              <w:rPr>
                <w:rFonts w:eastAsia="Times New Roman"/>
                <w:color w:val="000000"/>
                <w:sz w:val="16"/>
                <w:szCs w:val="16"/>
                <w:lang w:eastAsia="es-SV"/>
              </w:rPr>
              <w:t>$              300,000.00</w:t>
            </w:r>
          </w:p>
        </w:tc>
        <w:tc>
          <w:tcPr>
            <w:tcW w:w="992" w:type="dxa"/>
            <w:tcBorders>
              <w:top w:val="nil"/>
              <w:left w:val="nil"/>
              <w:bottom w:val="single" w:sz="4" w:space="0" w:color="auto"/>
              <w:right w:val="single" w:sz="4" w:space="0" w:color="auto"/>
            </w:tcBorders>
            <w:shd w:val="clear" w:color="auto" w:fill="auto"/>
            <w:vAlign w:val="center"/>
            <w:hideMark/>
          </w:tcPr>
          <w:p w:rsidR="000B38E6" w:rsidRPr="008C01D0" w:rsidRDefault="000B38E6" w:rsidP="00896BCB">
            <w:pPr>
              <w:jc w:val="center"/>
              <w:rPr>
                <w:rFonts w:eastAsia="Times New Roman"/>
                <w:color w:val="000000"/>
                <w:sz w:val="16"/>
                <w:szCs w:val="16"/>
                <w:lang w:eastAsia="es-SV"/>
              </w:rPr>
            </w:pPr>
            <w:r w:rsidRPr="008C01D0">
              <w:rPr>
                <w:rFonts w:eastAsia="Times New Roman"/>
                <w:color w:val="000000"/>
                <w:sz w:val="16"/>
                <w:szCs w:val="16"/>
                <w:lang w:eastAsia="es-SV"/>
              </w:rPr>
              <w:t>15/03/2017</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B38E6" w:rsidRPr="008C01D0" w:rsidRDefault="000B38E6" w:rsidP="00896BCB">
            <w:pPr>
              <w:jc w:val="center"/>
              <w:rPr>
                <w:rFonts w:eastAsia="Times New Roman"/>
                <w:color w:val="000000"/>
                <w:sz w:val="16"/>
                <w:szCs w:val="16"/>
                <w:lang w:eastAsia="es-SV"/>
              </w:rPr>
            </w:pPr>
            <w:r w:rsidRPr="008C01D0">
              <w:rPr>
                <w:rFonts w:eastAsia="Times New Roman"/>
                <w:color w:val="000000"/>
                <w:sz w:val="16"/>
                <w:szCs w:val="16"/>
                <w:lang w:eastAsia="es-SV"/>
              </w:rPr>
              <w:t>Archivo Central de ISBM</w:t>
            </w:r>
          </w:p>
        </w:tc>
        <w:tc>
          <w:tcPr>
            <w:tcW w:w="1701" w:type="dxa"/>
            <w:tcBorders>
              <w:top w:val="nil"/>
              <w:left w:val="nil"/>
              <w:bottom w:val="single" w:sz="4" w:space="0" w:color="auto"/>
              <w:right w:val="single" w:sz="4" w:space="0" w:color="auto"/>
            </w:tcBorders>
            <w:shd w:val="clear" w:color="auto" w:fill="auto"/>
            <w:vAlign w:val="center"/>
            <w:hideMark/>
          </w:tcPr>
          <w:p w:rsidR="000B38E6" w:rsidRPr="008C01D0" w:rsidRDefault="000B38E6" w:rsidP="00896BCB">
            <w:pPr>
              <w:jc w:val="center"/>
              <w:rPr>
                <w:rFonts w:eastAsia="Times New Roman"/>
                <w:color w:val="000000"/>
                <w:sz w:val="16"/>
                <w:szCs w:val="16"/>
                <w:lang w:eastAsia="es-SV"/>
              </w:rPr>
            </w:pPr>
            <w:r w:rsidRPr="008C01D0">
              <w:rPr>
                <w:rFonts w:eastAsia="Times New Roman"/>
                <w:color w:val="000000"/>
                <w:sz w:val="16"/>
                <w:szCs w:val="16"/>
                <w:lang w:eastAsia="es-SV"/>
              </w:rPr>
              <w:t> </w:t>
            </w:r>
            <w:r w:rsidRPr="00F549BD">
              <w:rPr>
                <w:rFonts w:eastAsia="Times New Roman"/>
                <w:color w:val="000000"/>
                <w:sz w:val="16"/>
                <w:szCs w:val="16"/>
                <w:lang w:eastAsia="es-SV"/>
              </w:rPr>
              <w:t>Inscrito en el Registro de la Propiedad Raíz e Hipoteca</w:t>
            </w:r>
          </w:p>
        </w:tc>
      </w:tr>
      <w:tr w:rsidR="000B38E6" w:rsidRPr="00DC3629" w:rsidTr="00896BCB">
        <w:trPr>
          <w:trHeight w:val="600"/>
        </w:trPr>
        <w:tc>
          <w:tcPr>
            <w:tcW w:w="1771" w:type="dxa"/>
            <w:tcBorders>
              <w:top w:val="nil"/>
              <w:left w:val="single" w:sz="4" w:space="0" w:color="auto"/>
              <w:bottom w:val="single" w:sz="4" w:space="0" w:color="auto"/>
              <w:right w:val="single" w:sz="4" w:space="0" w:color="auto"/>
            </w:tcBorders>
            <w:shd w:val="clear" w:color="auto" w:fill="auto"/>
            <w:noWrap/>
            <w:vAlign w:val="bottom"/>
            <w:hideMark/>
          </w:tcPr>
          <w:p w:rsidR="000B38E6" w:rsidRPr="00DC3629" w:rsidRDefault="000B38E6" w:rsidP="00896BCB">
            <w:pPr>
              <w:jc w:val="both"/>
              <w:rPr>
                <w:rFonts w:eastAsia="Times New Roman"/>
                <w:color w:val="000000"/>
                <w:sz w:val="14"/>
                <w:szCs w:val="14"/>
                <w:lang w:eastAsia="es-SV"/>
              </w:rPr>
            </w:pPr>
            <w:r>
              <w:rPr>
                <w:rFonts w:eastAsia="Times New Roman"/>
                <w:color w:val="000000"/>
                <w:sz w:val="14"/>
                <w:szCs w:val="14"/>
                <w:lang w:eastAsia="es-SV"/>
              </w:rPr>
              <w:t>2a. Calle Poniente, Casa No. 30, Barrio El Calvario, Sensuntepeque, Cabañas.</w:t>
            </w:r>
          </w:p>
        </w:tc>
        <w:tc>
          <w:tcPr>
            <w:tcW w:w="993" w:type="dxa"/>
            <w:tcBorders>
              <w:top w:val="nil"/>
              <w:left w:val="nil"/>
              <w:bottom w:val="single" w:sz="4" w:space="0" w:color="auto"/>
              <w:right w:val="single" w:sz="4" w:space="0" w:color="auto"/>
            </w:tcBorders>
            <w:shd w:val="clear" w:color="auto" w:fill="auto"/>
            <w:vAlign w:val="center"/>
            <w:hideMark/>
          </w:tcPr>
          <w:p w:rsidR="000B38E6" w:rsidRPr="00DC3629" w:rsidRDefault="000B38E6" w:rsidP="00896BCB">
            <w:pPr>
              <w:jc w:val="center"/>
              <w:rPr>
                <w:rFonts w:eastAsia="Times New Roman"/>
                <w:color w:val="000000"/>
                <w:sz w:val="14"/>
                <w:szCs w:val="14"/>
                <w:lang w:eastAsia="es-SV"/>
              </w:rPr>
            </w:pPr>
            <w:r>
              <w:rPr>
                <w:rFonts w:eastAsia="Times New Roman"/>
                <w:color w:val="000000"/>
                <w:sz w:val="14"/>
                <w:szCs w:val="14"/>
                <w:lang w:eastAsia="es-SV"/>
              </w:rPr>
              <w:t xml:space="preserve">Compraventa </w:t>
            </w:r>
          </w:p>
        </w:tc>
        <w:tc>
          <w:tcPr>
            <w:tcW w:w="1559" w:type="dxa"/>
            <w:tcBorders>
              <w:top w:val="nil"/>
              <w:left w:val="nil"/>
              <w:bottom w:val="single" w:sz="4" w:space="0" w:color="auto"/>
              <w:right w:val="single" w:sz="4" w:space="0" w:color="auto"/>
            </w:tcBorders>
            <w:shd w:val="clear" w:color="auto" w:fill="auto"/>
            <w:vAlign w:val="center"/>
            <w:hideMark/>
          </w:tcPr>
          <w:p w:rsidR="000B38E6" w:rsidRPr="008C01D0" w:rsidRDefault="000B38E6" w:rsidP="00896BCB">
            <w:pPr>
              <w:jc w:val="center"/>
              <w:rPr>
                <w:rFonts w:eastAsia="Times New Roman"/>
                <w:color w:val="000000"/>
                <w:sz w:val="16"/>
                <w:szCs w:val="16"/>
                <w:lang w:eastAsia="es-SV"/>
              </w:rPr>
            </w:pPr>
            <w:r>
              <w:rPr>
                <w:rFonts w:eastAsia="Times New Roman"/>
                <w:color w:val="000000"/>
                <w:sz w:val="16"/>
                <w:szCs w:val="16"/>
                <w:lang w:eastAsia="es-SV"/>
              </w:rPr>
              <w:t>$              215</w:t>
            </w:r>
            <w:r w:rsidRPr="00F549BD">
              <w:rPr>
                <w:rFonts w:eastAsia="Times New Roman"/>
                <w:color w:val="000000"/>
                <w:sz w:val="16"/>
                <w:szCs w:val="16"/>
                <w:lang w:eastAsia="es-SV"/>
              </w:rPr>
              <w:t>,000.00</w:t>
            </w:r>
          </w:p>
        </w:tc>
        <w:tc>
          <w:tcPr>
            <w:tcW w:w="992" w:type="dxa"/>
            <w:tcBorders>
              <w:top w:val="nil"/>
              <w:left w:val="nil"/>
              <w:bottom w:val="single" w:sz="4" w:space="0" w:color="auto"/>
              <w:right w:val="single" w:sz="4" w:space="0" w:color="auto"/>
            </w:tcBorders>
            <w:shd w:val="clear" w:color="auto" w:fill="auto"/>
            <w:vAlign w:val="center"/>
            <w:hideMark/>
          </w:tcPr>
          <w:p w:rsidR="000B38E6" w:rsidRPr="00DC3629" w:rsidRDefault="000B38E6" w:rsidP="00896BCB">
            <w:pPr>
              <w:jc w:val="center"/>
              <w:rPr>
                <w:rFonts w:eastAsia="Times New Roman"/>
                <w:color w:val="000000"/>
                <w:sz w:val="16"/>
                <w:szCs w:val="16"/>
                <w:lang w:eastAsia="es-SV"/>
              </w:rPr>
            </w:pPr>
            <w:r>
              <w:rPr>
                <w:rFonts w:eastAsia="Times New Roman"/>
                <w:color w:val="000000"/>
                <w:sz w:val="16"/>
                <w:szCs w:val="16"/>
                <w:lang w:eastAsia="es-SV"/>
              </w:rPr>
              <w:t xml:space="preserve">18/07/2017 </w:t>
            </w:r>
            <w:r w:rsidRPr="00DC3629">
              <w:rPr>
                <w:rFonts w:eastAsia="Times New Roman"/>
                <w:color w:val="000000"/>
                <w:sz w:val="16"/>
                <w:szCs w:val="16"/>
                <w:lang w:eastAsia="es-SV"/>
              </w:rPr>
              <w:t xml:space="preserve">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B38E6" w:rsidRDefault="000B38E6" w:rsidP="00896BCB">
            <w:pPr>
              <w:jc w:val="center"/>
              <w:rPr>
                <w:rFonts w:eastAsia="Times New Roman"/>
                <w:color w:val="000000"/>
                <w:sz w:val="16"/>
                <w:szCs w:val="16"/>
                <w:lang w:eastAsia="es-SV"/>
              </w:rPr>
            </w:pPr>
            <w:r>
              <w:rPr>
                <w:rFonts w:eastAsia="Times New Roman"/>
                <w:color w:val="000000"/>
                <w:sz w:val="16"/>
                <w:szCs w:val="16"/>
                <w:lang w:eastAsia="es-SV"/>
              </w:rPr>
              <w:t xml:space="preserve"> Consultorio de Policlínico Magisterial de Sensuntepeque</w:t>
            </w:r>
          </w:p>
          <w:p w:rsidR="000B38E6" w:rsidRPr="00DC3629" w:rsidRDefault="000B38E6" w:rsidP="00896BCB">
            <w:pPr>
              <w:jc w:val="center"/>
              <w:rPr>
                <w:rFonts w:eastAsia="Times New Roman"/>
                <w:color w:val="000000"/>
                <w:sz w:val="16"/>
                <w:szCs w:val="16"/>
                <w:lang w:eastAsia="es-SV"/>
              </w:rPr>
            </w:pPr>
          </w:p>
        </w:tc>
        <w:tc>
          <w:tcPr>
            <w:tcW w:w="1701" w:type="dxa"/>
            <w:tcBorders>
              <w:top w:val="nil"/>
              <w:left w:val="nil"/>
              <w:bottom w:val="single" w:sz="4" w:space="0" w:color="auto"/>
              <w:right w:val="single" w:sz="4" w:space="0" w:color="auto"/>
            </w:tcBorders>
            <w:shd w:val="clear" w:color="auto" w:fill="auto"/>
            <w:vAlign w:val="center"/>
            <w:hideMark/>
          </w:tcPr>
          <w:p w:rsidR="000B38E6" w:rsidRPr="00DC3629" w:rsidRDefault="000B38E6" w:rsidP="00896BCB">
            <w:pPr>
              <w:jc w:val="center"/>
              <w:rPr>
                <w:rFonts w:eastAsia="Times New Roman"/>
                <w:color w:val="000000"/>
                <w:sz w:val="16"/>
                <w:szCs w:val="16"/>
                <w:lang w:eastAsia="es-SV"/>
              </w:rPr>
            </w:pPr>
            <w:r w:rsidRPr="00F549BD">
              <w:rPr>
                <w:rFonts w:eastAsia="Times New Roman"/>
                <w:color w:val="000000"/>
                <w:sz w:val="16"/>
                <w:szCs w:val="16"/>
                <w:lang w:eastAsia="es-SV"/>
              </w:rPr>
              <w:t>Inscrito en el Registro de la Propiedad Raíz e Hipoteca</w:t>
            </w:r>
            <w:r w:rsidRPr="00DC3629">
              <w:rPr>
                <w:rFonts w:eastAsia="Times New Roman"/>
                <w:color w:val="000000"/>
                <w:sz w:val="16"/>
                <w:szCs w:val="16"/>
                <w:lang w:eastAsia="es-SV"/>
              </w:rPr>
              <w:t> </w:t>
            </w:r>
          </w:p>
        </w:tc>
      </w:tr>
    </w:tbl>
    <w:p w:rsidR="00892BD5" w:rsidRDefault="00892BD5" w:rsidP="0039373C">
      <w:pPr>
        <w:rPr>
          <w:rFonts w:ascii="Century Gothic" w:hAnsi="Century Gothic"/>
          <w:sz w:val="16"/>
          <w:szCs w:val="16"/>
        </w:rPr>
      </w:pPr>
    </w:p>
    <w:p w:rsidR="007A321C" w:rsidRDefault="007A321C" w:rsidP="0039373C">
      <w:pPr>
        <w:rPr>
          <w:rFonts w:ascii="Century Gothic" w:hAnsi="Century Gothic"/>
          <w:sz w:val="16"/>
          <w:szCs w:val="16"/>
        </w:rPr>
      </w:pPr>
    </w:p>
    <w:p w:rsidR="007A321C" w:rsidRDefault="007A321C" w:rsidP="0039373C">
      <w:pPr>
        <w:rPr>
          <w:rFonts w:ascii="Century Gothic" w:hAnsi="Century Gothic"/>
          <w:sz w:val="16"/>
          <w:szCs w:val="16"/>
        </w:rPr>
      </w:pPr>
    </w:p>
    <w:p w:rsidR="007A321C" w:rsidRDefault="007A321C" w:rsidP="0039373C">
      <w:pPr>
        <w:rPr>
          <w:rFonts w:ascii="Century Gothic" w:hAnsi="Century Gothic"/>
          <w:sz w:val="16"/>
          <w:szCs w:val="16"/>
        </w:rPr>
      </w:pPr>
    </w:p>
    <w:p w:rsidR="007A321C" w:rsidRPr="00740CEA" w:rsidRDefault="007A321C" w:rsidP="007A321C">
      <w:pPr>
        <w:rPr>
          <w:rFonts w:ascii="Century Gothic" w:hAnsi="Century Gothic"/>
          <w:sz w:val="16"/>
          <w:szCs w:val="16"/>
        </w:rPr>
      </w:pPr>
    </w:p>
    <w:p w:rsidR="007A321C" w:rsidRPr="007651C1" w:rsidRDefault="007A321C" w:rsidP="007A321C">
      <w:pPr>
        <w:pStyle w:val="Ttulo3"/>
        <w:numPr>
          <w:ilvl w:val="0"/>
          <w:numId w:val="9"/>
        </w:numPr>
        <w:spacing w:after="240"/>
        <w:ind w:left="357" w:hanging="357"/>
        <w:jc w:val="both"/>
        <w:rPr>
          <w:sz w:val="24"/>
        </w:rPr>
      </w:pPr>
      <w:bookmarkStart w:id="45" w:name="_Toc491684912"/>
      <w:bookmarkStart w:id="46" w:name="_Toc467228663"/>
      <w:r>
        <w:rPr>
          <w:sz w:val="24"/>
        </w:rPr>
        <w:t>PRESUPUESTO INSTITUCIONAL</w:t>
      </w:r>
      <w:bookmarkEnd w:id="45"/>
      <w:r>
        <w:rPr>
          <w:sz w:val="24"/>
        </w:rPr>
        <w:t xml:space="preserve"> </w:t>
      </w:r>
      <w:bookmarkEnd w:id="46"/>
    </w:p>
    <w:p w:rsidR="007A321C" w:rsidRPr="00CB29EF" w:rsidRDefault="007A321C" w:rsidP="007A321C">
      <w:pPr>
        <w:spacing w:before="200" w:line="276" w:lineRule="auto"/>
        <w:jc w:val="both"/>
        <w:rPr>
          <w:rFonts w:ascii="Century Gothic" w:eastAsia="Calibri" w:hAnsi="Century Gothic"/>
        </w:rPr>
      </w:pPr>
      <w:r w:rsidRPr="00CB29EF">
        <w:rPr>
          <w:rFonts w:ascii="Century Gothic" w:eastAsia="Calibri" w:hAnsi="Century Gothic"/>
        </w:rPr>
        <w:t xml:space="preserve">El presupuesto aprobado para el funcionamiento del Instituto Salvadoreño de Bienestar Magisterial para el año 2016 fue de $58,805,615.00. Durante la ejecución de este ejercicio fiscal, al presupuesto se le efectuó un refuerzo importante, derivado de excedentes presupuestarios del ejercicio fiscal 2015, por un monto de $8,746,566.65; por lo que, al 31 de diciembre 2016, el ISBM finalizó con un presupuesto de $67,552,181.65; tanto por el lado del ingreso como del egreso, su ejecución por el lado del ingreso fue de 93.66% y por </w:t>
      </w:r>
      <w:r w:rsidR="002744AE" w:rsidRPr="00CB29EF">
        <w:rPr>
          <w:rFonts w:ascii="Century Gothic" w:eastAsia="Calibri" w:hAnsi="Century Gothic"/>
        </w:rPr>
        <w:t>el lado del gasto fue de 82.37%</w:t>
      </w:r>
      <w:r w:rsidRPr="00CB29EF">
        <w:rPr>
          <w:rFonts w:ascii="Century Gothic" w:eastAsia="Calibri" w:hAnsi="Century Gothic"/>
        </w:rPr>
        <w:t>, según detalle:</w:t>
      </w:r>
    </w:p>
    <w:p w:rsidR="007A321C" w:rsidRDefault="007A321C" w:rsidP="007A321C">
      <w:pPr>
        <w:spacing w:before="200" w:line="276" w:lineRule="auto"/>
        <w:jc w:val="both"/>
        <w:rPr>
          <w:rFonts w:ascii="Century Gothic" w:hAnsi="Century Gothic"/>
        </w:rPr>
      </w:pPr>
    </w:p>
    <w:tbl>
      <w:tblPr>
        <w:tblW w:w="84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60"/>
        <w:gridCol w:w="1660"/>
        <w:gridCol w:w="1660"/>
        <w:gridCol w:w="1745"/>
        <w:gridCol w:w="2347"/>
      </w:tblGrid>
      <w:tr w:rsidR="007A321C" w:rsidRPr="00706990" w:rsidTr="00896BCB">
        <w:trPr>
          <w:trHeight w:val="593"/>
          <w:jc w:val="center"/>
        </w:trPr>
        <w:tc>
          <w:tcPr>
            <w:tcW w:w="1060" w:type="dxa"/>
            <w:tcBorders>
              <w:top w:val="single" w:sz="8" w:space="0" w:color="000000"/>
              <w:left w:val="single" w:sz="8" w:space="0" w:color="000000"/>
              <w:bottom w:val="single" w:sz="18" w:space="0" w:color="000000"/>
              <w:right w:val="single" w:sz="8" w:space="0" w:color="000000"/>
            </w:tcBorders>
            <w:shd w:val="clear" w:color="auto" w:fill="auto"/>
            <w:noWrap/>
            <w:vAlign w:val="center"/>
            <w:hideMark/>
          </w:tcPr>
          <w:p w:rsidR="007A321C" w:rsidRPr="00AE3BB8" w:rsidRDefault="007A321C" w:rsidP="00896BCB">
            <w:pPr>
              <w:jc w:val="center"/>
              <w:rPr>
                <w:rFonts w:ascii="Century Gothic" w:eastAsia="Times New Roman" w:hAnsi="Century Gothic"/>
                <w:b/>
                <w:bCs/>
                <w:sz w:val="20"/>
                <w:lang w:eastAsia="es-SV"/>
              </w:rPr>
            </w:pPr>
            <w:r w:rsidRPr="00AE3BB8">
              <w:rPr>
                <w:rFonts w:ascii="Century Gothic" w:eastAsia="Times New Roman" w:hAnsi="Century Gothic"/>
                <w:b/>
                <w:bCs/>
                <w:sz w:val="20"/>
                <w:lang w:eastAsia="es-SV"/>
              </w:rPr>
              <w:t>AÑO</w:t>
            </w:r>
          </w:p>
        </w:tc>
        <w:tc>
          <w:tcPr>
            <w:tcW w:w="1660" w:type="dxa"/>
            <w:tcBorders>
              <w:top w:val="single" w:sz="8" w:space="0" w:color="000000"/>
              <w:left w:val="single" w:sz="8" w:space="0" w:color="000000"/>
              <w:bottom w:val="single" w:sz="18" w:space="0" w:color="000000"/>
              <w:right w:val="single" w:sz="8" w:space="0" w:color="000000"/>
            </w:tcBorders>
            <w:shd w:val="clear" w:color="auto" w:fill="auto"/>
            <w:vAlign w:val="center"/>
          </w:tcPr>
          <w:p w:rsidR="007A321C" w:rsidRPr="00AE3BB8" w:rsidRDefault="007A321C" w:rsidP="00896BCB">
            <w:pPr>
              <w:jc w:val="center"/>
              <w:rPr>
                <w:rFonts w:ascii="Century Gothic" w:eastAsia="Times New Roman" w:hAnsi="Century Gothic"/>
                <w:b/>
                <w:bCs/>
                <w:sz w:val="20"/>
                <w:lang w:eastAsia="es-SV"/>
              </w:rPr>
            </w:pPr>
            <w:r w:rsidRPr="00AE3BB8">
              <w:rPr>
                <w:rFonts w:ascii="Century Gothic" w:eastAsia="Times New Roman" w:hAnsi="Century Gothic"/>
                <w:b/>
                <w:bCs/>
                <w:sz w:val="20"/>
                <w:lang w:eastAsia="es-SV"/>
              </w:rPr>
              <w:t>PRESUPUESTO</w:t>
            </w:r>
            <w:r>
              <w:rPr>
                <w:rFonts w:ascii="Century Gothic" w:eastAsia="Times New Roman" w:hAnsi="Century Gothic"/>
                <w:b/>
                <w:bCs/>
                <w:sz w:val="20"/>
                <w:lang w:eastAsia="es-SV"/>
              </w:rPr>
              <w:t xml:space="preserve"> INGRESOS</w:t>
            </w:r>
            <w:r w:rsidRPr="00AE3BB8">
              <w:rPr>
                <w:rFonts w:ascii="Century Gothic" w:eastAsia="Times New Roman" w:hAnsi="Century Gothic"/>
                <w:b/>
                <w:bCs/>
                <w:sz w:val="20"/>
                <w:lang w:eastAsia="es-SV"/>
              </w:rPr>
              <w:t xml:space="preserve">     APROBADO</w:t>
            </w:r>
          </w:p>
        </w:tc>
        <w:tc>
          <w:tcPr>
            <w:tcW w:w="1660" w:type="dxa"/>
            <w:tcBorders>
              <w:top w:val="single" w:sz="8" w:space="0" w:color="000000"/>
              <w:left w:val="single" w:sz="8" w:space="0" w:color="000000"/>
              <w:bottom w:val="single" w:sz="18" w:space="0" w:color="000000"/>
              <w:right w:val="single" w:sz="8" w:space="0" w:color="000000"/>
            </w:tcBorders>
            <w:shd w:val="clear" w:color="auto" w:fill="auto"/>
            <w:vAlign w:val="center"/>
            <w:hideMark/>
          </w:tcPr>
          <w:p w:rsidR="007A321C" w:rsidRPr="00AE3BB8" w:rsidRDefault="007A321C" w:rsidP="00896BCB">
            <w:pPr>
              <w:jc w:val="center"/>
              <w:rPr>
                <w:rFonts w:ascii="Century Gothic" w:eastAsia="Times New Roman" w:hAnsi="Century Gothic"/>
                <w:b/>
                <w:bCs/>
                <w:sz w:val="20"/>
                <w:lang w:eastAsia="es-SV"/>
              </w:rPr>
            </w:pPr>
            <w:r w:rsidRPr="00AE3BB8">
              <w:rPr>
                <w:rFonts w:ascii="Century Gothic" w:eastAsia="Times New Roman" w:hAnsi="Century Gothic"/>
                <w:b/>
                <w:bCs/>
                <w:sz w:val="20"/>
                <w:lang w:eastAsia="es-SV"/>
              </w:rPr>
              <w:t>PRESUPUESTO MODIFICADO</w:t>
            </w:r>
          </w:p>
        </w:tc>
        <w:tc>
          <w:tcPr>
            <w:tcW w:w="1745" w:type="dxa"/>
            <w:tcBorders>
              <w:top w:val="single" w:sz="8" w:space="0" w:color="000000"/>
              <w:left w:val="single" w:sz="8" w:space="0" w:color="000000"/>
              <w:bottom w:val="single" w:sz="18" w:space="0" w:color="000000"/>
              <w:right w:val="single" w:sz="8" w:space="0" w:color="000000"/>
            </w:tcBorders>
            <w:shd w:val="clear" w:color="auto" w:fill="auto"/>
            <w:vAlign w:val="center"/>
            <w:hideMark/>
          </w:tcPr>
          <w:p w:rsidR="007A321C" w:rsidRPr="00AE3BB8" w:rsidRDefault="007A321C" w:rsidP="00896BCB">
            <w:pPr>
              <w:jc w:val="center"/>
              <w:rPr>
                <w:rFonts w:ascii="Century Gothic" w:eastAsia="Times New Roman" w:hAnsi="Century Gothic"/>
                <w:b/>
                <w:bCs/>
                <w:sz w:val="20"/>
                <w:lang w:eastAsia="es-SV"/>
              </w:rPr>
            </w:pPr>
            <w:r w:rsidRPr="00AE3BB8">
              <w:rPr>
                <w:rFonts w:ascii="Century Gothic" w:eastAsia="Times New Roman" w:hAnsi="Century Gothic"/>
                <w:b/>
                <w:bCs/>
                <w:sz w:val="20"/>
                <w:lang w:eastAsia="es-SV"/>
              </w:rPr>
              <w:t>PRESUPUESTO EJECUTADO</w:t>
            </w:r>
          </w:p>
        </w:tc>
        <w:tc>
          <w:tcPr>
            <w:tcW w:w="2347" w:type="dxa"/>
            <w:tcBorders>
              <w:top w:val="single" w:sz="8" w:space="0" w:color="000000"/>
              <w:left w:val="single" w:sz="8" w:space="0" w:color="000000"/>
              <w:bottom w:val="single" w:sz="18" w:space="0" w:color="000000"/>
              <w:right w:val="single" w:sz="8" w:space="0" w:color="000000"/>
            </w:tcBorders>
            <w:shd w:val="clear" w:color="auto" w:fill="auto"/>
            <w:vAlign w:val="center"/>
            <w:hideMark/>
          </w:tcPr>
          <w:p w:rsidR="007A321C" w:rsidRPr="00AE3BB8" w:rsidRDefault="007A321C" w:rsidP="00896BCB">
            <w:pPr>
              <w:jc w:val="center"/>
              <w:rPr>
                <w:rFonts w:ascii="Century Gothic" w:eastAsia="Times New Roman" w:hAnsi="Century Gothic"/>
                <w:b/>
                <w:bCs/>
                <w:sz w:val="20"/>
                <w:lang w:eastAsia="es-SV"/>
              </w:rPr>
            </w:pPr>
            <w:r w:rsidRPr="00AE3BB8">
              <w:rPr>
                <w:rFonts w:ascii="Century Gothic" w:eastAsia="Times New Roman" w:hAnsi="Century Gothic"/>
                <w:b/>
                <w:bCs/>
                <w:sz w:val="20"/>
                <w:lang w:eastAsia="es-SV"/>
              </w:rPr>
              <w:t>SALDO PRESUPUESTARIO</w:t>
            </w:r>
          </w:p>
        </w:tc>
      </w:tr>
      <w:tr w:rsidR="007A321C" w:rsidRPr="00706990" w:rsidTr="00896BCB">
        <w:trPr>
          <w:trHeight w:val="311"/>
          <w:jc w:val="center"/>
        </w:trPr>
        <w:tc>
          <w:tcPr>
            <w:tcW w:w="1060" w:type="dxa"/>
            <w:tcBorders>
              <w:top w:val="single" w:sz="8" w:space="0" w:color="000000"/>
              <w:left w:val="single" w:sz="8" w:space="0" w:color="000000"/>
              <w:bottom w:val="single" w:sz="8" w:space="0" w:color="000000"/>
              <w:right w:val="single" w:sz="8" w:space="0" w:color="000000"/>
            </w:tcBorders>
            <w:shd w:val="clear" w:color="auto" w:fill="C0C0C0"/>
            <w:noWrap/>
            <w:hideMark/>
          </w:tcPr>
          <w:p w:rsidR="007A321C" w:rsidRPr="00AE3BB8" w:rsidRDefault="007A321C" w:rsidP="00896BCB">
            <w:pPr>
              <w:jc w:val="center"/>
              <w:rPr>
                <w:rFonts w:ascii="Century Gothic" w:eastAsia="Times New Roman" w:hAnsi="Century Gothic"/>
                <w:b/>
                <w:bCs/>
                <w:color w:val="000000"/>
                <w:sz w:val="20"/>
                <w:lang w:eastAsia="es-SV"/>
              </w:rPr>
            </w:pPr>
            <w:r>
              <w:rPr>
                <w:rFonts w:ascii="Century Gothic" w:eastAsia="Times New Roman" w:hAnsi="Century Gothic"/>
                <w:b/>
                <w:bCs/>
                <w:color w:val="000000"/>
                <w:sz w:val="20"/>
                <w:lang w:eastAsia="es-SV"/>
              </w:rPr>
              <w:t>2016</w:t>
            </w:r>
          </w:p>
        </w:tc>
        <w:tc>
          <w:tcPr>
            <w:tcW w:w="1660" w:type="dxa"/>
            <w:tcBorders>
              <w:top w:val="single" w:sz="8" w:space="0" w:color="000000"/>
              <w:left w:val="single" w:sz="8" w:space="0" w:color="000000"/>
              <w:bottom w:val="single" w:sz="8" w:space="0" w:color="000000"/>
              <w:right w:val="single" w:sz="8" w:space="0" w:color="000000"/>
            </w:tcBorders>
            <w:shd w:val="clear" w:color="auto" w:fill="C0C0C0"/>
          </w:tcPr>
          <w:p w:rsidR="007A321C" w:rsidRPr="00AE3BB8" w:rsidRDefault="007A321C" w:rsidP="00896BCB">
            <w:pPr>
              <w:jc w:val="right"/>
              <w:rPr>
                <w:rFonts w:ascii="Century Gothic" w:hAnsi="Century Gothic"/>
                <w:color w:val="000000"/>
                <w:sz w:val="20"/>
                <w:lang w:eastAsia="es-SV"/>
              </w:rPr>
            </w:pPr>
            <w:r w:rsidRPr="00AE3BB8">
              <w:rPr>
                <w:rFonts w:ascii="Century Gothic" w:hAnsi="Century Gothic"/>
                <w:color w:val="000000"/>
                <w:sz w:val="20"/>
                <w:lang w:eastAsia="es-SV"/>
              </w:rPr>
              <w:t>$</w:t>
            </w:r>
            <w:r>
              <w:rPr>
                <w:rFonts w:ascii="Century Gothic" w:hAnsi="Century Gothic"/>
                <w:color w:val="000000"/>
                <w:sz w:val="20"/>
                <w:lang w:eastAsia="es-SV"/>
              </w:rPr>
              <w:t>58,805,615.00</w:t>
            </w:r>
          </w:p>
        </w:tc>
        <w:tc>
          <w:tcPr>
            <w:tcW w:w="1660" w:type="dxa"/>
            <w:tcBorders>
              <w:top w:val="single" w:sz="8" w:space="0" w:color="000000"/>
              <w:left w:val="single" w:sz="8" w:space="0" w:color="000000"/>
              <w:bottom w:val="single" w:sz="8" w:space="0" w:color="000000"/>
              <w:right w:val="single" w:sz="8" w:space="0" w:color="000000"/>
            </w:tcBorders>
            <w:shd w:val="clear" w:color="auto" w:fill="C0C0C0"/>
            <w:noWrap/>
            <w:hideMark/>
          </w:tcPr>
          <w:p w:rsidR="007A321C" w:rsidRPr="00AE3BB8" w:rsidRDefault="007A321C" w:rsidP="00896BCB">
            <w:pPr>
              <w:jc w:val="right"/>
              <w:rPr>
                <w:rFonts w:ascii="Century Gothic" w:hAnsi="Century Gothic"/>
                <w:color w:val="000000"/>
                <w:sz w:val="20"/>
                <w:lang w:eastAsia="es-SV"/>
              </w:rPr>
            </w:pPr>
            <w:r w:rsidRPr="00AE3BB8">
              <w:rPr>
                <w:rFonts w:ascii="Century Gothic" w:hAnsi="Century Gothic"/>
                <w:color w:val="000000"/>
                <w:sz w:val="20"/>
                <w:lang w:eastAsia="es-SV"/>
              </w:rPr>
              <w:t>$</w:t>
            </w:r>
            <w:r>
              <w:rPr>
                <w:rFonts w:ascii="Century Gothic" w:hAnsi="Century Gothic"/>
                <w:color w:val="000000"/>
                <w:sz w:val="20"/>
                <w:lang w:eastAsia="es-SV"/>
              </w:rPr>
              <w:t>67,552,181.65</w:t>
            </w:r>
          </w:p>
        </w:tc>
        <w:tc>
          <w:tcPr>
            <w:tcW w:w="1745" w:type="dxa"/>
            <w:tcBorders>
              <w:top w:val="single" w:sz="8" w:space="0" w:color="000000"/>
              <w:left w:val="single" w:sz="8" w:space="0" w:color="000000"/>
              <w:bottom w:val="single" w:sz="8" w:space="0" w:color="000000"/>
              <w:right w:val="single" w:sz="8" w:space="0" w:color="000000"/>
            </w:tcBorders>
            <w:shd w:val="clear" w:color="auto" w:fill="C0C0C0"/>
            <w:noWrap/>
            <w:hideMark/>
          </w:tcPr>
          <w:p w:rsidR="007A321C" w:rsidRPr="00AE3BB8" w:rsidRDefault="007A321C" w:rsidP="00896BCB">
            <w:pPr>
              <w:jc w:val="right"/>
              <w:rPr>
                <w:rFonts w:ascii="Century Gothic" w:hAnsi="Century Gothic"/>
                <w:color w:val="000000"/>
                <w:sz w:val="20"/>
                <w:lang w:eastAsia="es-SV"/>
              </w:rPr>
            </w:pPr>
            <w:r w:rsidRPr="00AE3BB8">
              <w:rPr>
                <w:rFonts w:ascii="Century Gothic" w:hAnsi="Century Gothic"/>
                <w:color w:val="000000"/>
                <w:sz w:val="20"/>
                <w:lang w:eastAsia="es-SV"/>
              </w:rPr>
              <w:t>$</w:t>
            </w:r>
            <w:r>
              <w:rPr>
                <w:rFonts w:ascii="Century Gothic" w:hAnsi="Century Gothic"/>
                <w:color w:val="000000"/>
                <w:sz w:val="20"/>
                <w:lang w:eastAsia="es-SV"/>
              </w:rPr>
              <w:t>63,269,154.23</w:t>
            </w:r>
          </w:p>
        </w:tc>
        <w:tc>
          <w:tcPr>
            <w:tcW w:w="2347" w:type="dxa"/>
            <w:tcBorders>
              <w:top w:val="single" w:sz="8" w:space="0" w:color="000000"/>
              <w:left w:val="single" w:sz="8" w:space="0" w:color="000000"/>
              <w:bottom w:val="single" w:sz="8" w:space="0" w:color="000000"/>
              <w:right w:val="single" w:sz="8" w:space="0" w:color="000000"/>
            </w:tcBorders>
            <w:shd w:val="clear" w:color="auto" w:fill="C0C0C0"/>
            <w:noWrap/>
            <w:hideMark/>
          </w:tcPr>
          <w:p w:rsidR="007A321C" w:rsidRPr="00AE3BB8" w:rsidRDefault="007A321C" w:rsidP="00896BCB">
            <w:pPr>
              <w:jc w:val="right"/>
              <w:rPr>
                <w:rFonts w:ascii="Century Gothic" w:hAnsi="Century Gothic"/>
                <w:color w:val="000000"/>
                <w:sz w:val="20"/>
                <w:lang w:eastAsia="es-SV"/>
              </w:rPr>
            </w:pPr>
            <w:r w:rsidRPr="00AE3BB8">
              <w:rPr>
                <w:rFonts w:ascii="Century Gothic" w:hAnsi="Century Gothic"/>
                <w:color w:val="000000"/>
                <w:sz w:val="20"/>
                <w:lang w:eastAsia="es-SV"/>
              </w:rPr>
              <w:t>$</w:t>
            </w:r>
            <w:r>
              <w:rPr>
                <w:rFonts w:ascii="Century Gothic" w:hAnsi="Century Gothic"/>
                <w:color w:val="000000"/>
                <w:sz w:val="20"/>
                <w:lang w:eastAsia="es-SV"/>
              </w:rPr>
              <w:t>4,283,027.42</w:t>
            </w:r>
          </w:p>
        </w:tc>
      </w:tr>
      <w:tr w:rsidR="007A321C" w:rsidRPr="00706990" w:rsidTr="00896BCB">
        <w:trPr>
          <w:trHeight w:val="593"/>
          <w:jc w:val="center"/>
        </w:trPr>
        <w:tc>
          <w:tcPr>
            <w:tcW w:w="1060" w:type="dxa"/>
            <w:tcBorders>
              <w:top w:val="single" w:sz="8" w:space="0" w:color="000000"/>
              <w:left w:val="single" w:sz="8" w:space="0" w:color="000000"/>
              <w:bottom w:val="single" w:sz="18" w:space="0" w:color="000000"/>
              <w:right w:val="single" w:sz="8" w:space="0" w:color="000000"/>
            </w:tcBorders>
            <w:shd w:val="clear" w:color="auto" w:fill="auto"/>
            <w:noWrap/>
            <w:vAlign w:val="center"/>
            <w:hideMark/>
          </w:tcPr>
          <w:p w:rsidR="007A321C" w:rsidRPr="00AE3BB8" w:rsidRDefault="007A321C" w:rsidP="00896BCB">
            <w:pPr>
              <w:jc w:val="center"/>
              <w:rPr>
                <w:rFonts w:ascii="Century Gothic" w:eastAsia="Times New Roman" w:hAnsi="Century Gothic"/>
                <w:b/>
                <w:bCs/>
                <w:sz w:val="20"/>
                <w:lang w:eastAsia="es-SV"/>
              </w:rPr>
            </w:pPr>
            <w:r w:rsidRPr="00AE3BB8">
              <w:rPr>
                <w:rFonts w:ascii="Century Gothic" w:eastAsia="Times New Roman" w:hAnsi="Century Gothic"/>
                <w:b/>
                <w:bCs/>
                <w:sz w:val="20"/>
                <w:lang w:eastAsia="es-SV"/>
              </w:rPr>
              <w:t>AÑO</w:t>
            </w:r>
          </w:p>
        </w:tc>
        <w:tc>
          <w:tcPr>
            <w:tcW w:w="1660" w:type="dxa"/>
            <w:tcBorders>
              <w:top w:val="single" w:sz="8" w:space="0" w:color="000000"/>
              <w:left w:val="single" w:sz="8" w:space="0" w:color="000000"/>
              <w:bottom w:val="single" w:sz="18" w:space="0" w:color="000000"/>
              <w:right w:val="single" w:sz="8" w:space="0" w:color="000000"/>
            </w:tcBorders>
            <w:shd w:val="clear" w:color="auto" w:fill="auto"/>
            <w:vAlign w:val="center"/>
          </w:tcPr>
          <w:p w:rsidR="007A321C" w:rsidRPr="00AE3BB8" w:rsidRDefault="007A321C" w:rsidP="00896BCB">
            <w:pPr>
              <w:jc w:val="center"/>
              <w:rPr>
                <w:rFonts w:ascii="Century Gothic" w:eastAsia="Times New Roman" w:hAnsi="Century Gothic"/>
                <w:b/>
                <w:bCs/>
                <w:sz w:val="20"/>
                <w:lang w:eastAsia="es-SV"/>
              </w:rPr>
            </w:pPr>
            <w:r w:rsidRPr="00AE3BB8">
              <w:rPr>
                <w:rFonts w:ascii="Century Gothic" w:eastAsia="Times New Roman" w:hAnsi="Century Gothic"/>
                <w:b/>
                <w:bCs/>
                <w:sz w:val="20"/>
                <w:lang w:eastAsia="es-SV"/>
              </w:rPr>
              <w:t>PRESUPUESTO</w:t>
            </w:r>
            <w:r>
              <w:rPr>
                <w:rFonts w:ascii="Century Gothic" w:eastAsia="Times New Roman" w:hAnsi="Century Gothic"/>
                <w:b/>
                <w:bCs/>
                <w:sz w:val="20"/>
                <w:lang w:eastAsia="es-SV"/>
              </w:rPr>
              <w:t xml:space="preserve"> EGRESOS</w:t>
            </w:r>
            <w:r w:rsidRPr="00AE3BB8">
              <w:rPr>
                <w:rFonts w:ascii="Century Gothic" w:eastAsia="Times New Roman" w:hAnsi="Century Gothic"/>
                <w:b/>
                <w:bCs/>
                <w:sz w:val="20"/>
                <w:lang w:eastAsia="es-SV"/>
              </w:rPr>
              <w:t xml:space="preserve">     APROBADO</w:t>
            </w:r>
          </w:p>
        </w:tc>
        <w:tc>
          <w:tcPr>
            <w:tcW w:w="1660" w:type="dxa"/>
            <w:tcBorders>
              <w:top w:val="single" w:sz="8" w:space="0" w:color="000000"/>
              <w:left w:val="single" w:sz="8" w:space="0" w:color="000000"/>
              <w:bottom w:val="single" w:sz="18" w:space="0" w:color="000000"/>
              <w:right w:val="single" w:sz="8" w:space="0" w:color="000000"/>
            </w:tcBorders>
            <w:shd w:val="clear" w:color="auto" w:fill="auto"/>
            <w:vAlign w:val="center"/>
            <w:hideMark/>
          </w:tcPr>
          <w:p w:rsidR="007A321C" w:rsidRPr="00AE3BB8" w:rsidRDefault="007A321C" w:rsidP="00896BCB">
            <w:pPr>
              <w:jc w:val="center"/>
              <w:rPr>
                <w:rFonts w:ascii="Century Gothic" w:eastAsia="Times New Roman" w:hAnsi="Century Gothic"/>
                <w:b/>
                <w:bCs/>
                <w:sz w:val="20"/>
                <w:lang w:eastAsia="es-SV"/>
              </w:rPr>
            </w:pPr>
            <w:r w:rsidRPr="00AE3BB8">
              <w:rPr>
                <w:rFonts w:ascii="Century Gothic" w:eastAsia="Times New Roman" w:hAnsi="Century Gothic"/>
                <w:b/>
                <w:bCs/>
                <w:sz w:val="20"/>
                <w:lang w:eastAsia="es-SV"/>
              </w:rPr>
              <w:t>PRESUPUESTO MODIFICADO</w:t>
            </w:r>
          </w:p>
        </w:tc>
        <w:tc>
          <w:tcPr>
            <w:tcW w:w="1745" w:type="dxa"/>
            <w:tcBorders>
              <w:top w:val="single" w:sz="8" w:space="0" w:color="000000"/>
              <w:left w:val="single" w:sz="8" w:space="0" w:color="000000"/>
              <w:bottom w:val="single" w:sz="18" w:space="0" w:color="000000"/>
              <w:right w:val="single" w:sz="8" w:space="0" w:color="000000"/>
            </w:tcBorders>
            <w:shd w:val="clear" w:color="auto" w:fill="auto"/>
            <w:vAlign w:val="center"/>
            <w:hideMark/>
          </w:tcPr>
          <w:p w:rsidR="007A321C" w:rsidRPr="00AE3BB8" w:rsidRDefault="007A321C" w:rsidP="00896BCB">
            <w:pPr>
              <w:jc w:val="center"/>
              <w:rPr>
                <w:rFonts w:ascii="Century Gothic" w:eastAsia="Times New Roman" w:hAnsi="Century Gothic"/>
                <w:b/>
                <w:bCs/>
                <w:sz w:val="20"/>
                <w:lang w:eastAsia="es-SV"/>
              </w:rPr>
            </w:pPr>
            <w:r w:rsidRPr="00AE3BB8">
              <w:rPr>
                <w:rFonts w:ascii="Century Gothic" w:eastAsia="Times New Roman" w:hAnsi="Century Gothic"/>
                <w:b/>
                <w:bCs/>
                <w:sz w:val="20"/>
                <w:lang w:eastAsia="es-SV"/>
              </w:rPr>
              <w:t>PRESUPUESTO EJECUTADO</w:t>
            </w:r>
          </w:p>
        </w:tc>
        <w:tc>
          <w:tcPr>
            <w:tcW w:w="2347" w:type="dxa"/>
            <w:tcBorders>
              <w:top w:val="single" w:sz="8" w:space="0" w:color="000000"/>
              <w:left w:val="single" w:sz="8" w:space="0" w:color="000000"/>
              <w:bottom w:val="single" w:sz="18" w:space="0" w:color="000000"/>
              <w:right w:val="single" w:sz="8" w:space="0" w:color="000000"/>
            </w:tcBorders>
            <w:shd w:val="clear" w:color="auto" w:fill="auto"/>
            <w:vAlign w:val="center"/>
            <w:hideMark/>
          </w:tcPr>
          <w:p w:rsidR="007A321C" w:rsidRPr="00AE3BB8" w:rsidRDefault="007A321C" w:rsidP="00896BCB">
            <w:pPr>
              <w:jc w:val="center"/>
              <w:rPr>
                <w:rFonts w:ascii="Century Gothic" w:eastAsia="Times New Roman" w:hAnsi="Century Gothic"/>
                <w:b/>
                <w:bCs/>
                <w:sz w:val="20"/>
                <w:lang w:eastAsia="es-SV"/>
              </w:rPr>
            </w:pPr>
            <w:r w:rsidRPr="00AE3BB8">
              <w:rPr>
                <w:rFonts w:ascii="Century Gothic" w:eastAsia="Times New Roman" w:hAnsi="Century Gothic"/>
                <w:b/>
                <w:bCs/>
                <w:sz w:val="20"/>
                <w:lang w:eastAsia="es-SV"/>
              </w:rPr>
              <w:t>SALDO PRESUPUESTARIO</w:t>
            </w:r>
          </w:p>
        </w:tc>
      </w:tr>
      <w:tr w:rsidR="007A321C" w:rsidRPr="00706990" w:rsidTr="00896BCB">
        <w:trPr>
          <w:trHeight w:val="311"/>
          <w:jc w:val="center"/>
        </w:trPr>
        <w:tc>
          <w:tcPr>
            <w:tcW w:w="1060" w:type="dxa"/>
            <w:tcBorders>
              <w:top w:val="single" w:sz="8" w:space="0" w:color="000000"/>
              <w:left w:val="single" w:sz="8" w:space="0" w:color="000000"/>
              <w:bottom w:val="single" w:sz="8" w:space="0" w:color="000000"/>
              <w:right w:val="single" w:sz="8" w:space="0" w:color="000000"/>
            </w:tcBorders>
            <w:shd w:val="clear" w:color="auto" w:fill="C0C0C0"/>
            <w:noWrap/>
            <w:hideMark/>
          </w:tcPr>
          <w:p w:rsidR="007A321C" w:rsidRPr="00AE3BB8" w:rsidRDefault="007A321C" w:rsidP="00896BCB">
            <w:pPr>
              <w:jc w:val="center"/>
              <w:rPr>
                <w:rFonts w:ascii="Century Gothic" w:eastAsia="Times New Roman" w:hAnsi="Century Gothic"/>
                <w:b/>
                <w:bCs/>
                <w:color w:val="000000"/>
                <w:sz w:val="20"/>
                <w:lang w:eastAsia="es-SV"/>
              </w:rPr>
            </w:pPr>
            <w:r>
              <w:rPr>
                <w:rFonts w:ascii="Century Gothic" w:eastAsia="Times New Roman" w:hAnsi="Century Gothic"/>
                <w:b/>
                <w:bCs/>
                <w:color w:val="000000"/>
                <w:sz w:val="20"/>
                <w:lang w:eastAsia="es-SV"/>
              </w:rPr>
              <w:t>2016</w:t>
            </w:r>
          </w:p>
        </w:tc>
        <w:tc>
          <w:tcPr>
            <w:tcW w:w="1660" w:type="dxa"/>
            <w:tcBorders>
              <w:top w:val="single" w:sz="8" w:space="0" w:color="000000"/>
              <w:left w:val="single" w:sz="8" w:space="0" w:color="000000"/>
              <w:bottom w:val="single" w:sz="8" w:space="0" w:color="000000"/>
              <w:right w:val="single" w:sz="8" w:space="0" w:color="000000"/>
            </w:tcBorders>
            <w:shd w:val="clear" w:color="auto" w:fill="C0C0C0"/>
          </w:tcPr>
          <w:p w:rsidR="007A321C" w:rsidRPr="00AE3BB8" w:rsidRDefault="007A321C" w:rsidP="00896BCB">
            <w:pPr>
              <w:jc w:val="right"/>
              <w:rPr>
                <w:rFonts w:ascii="Century Gothic" w:hAnsi="Century Gothic"/>
                <w:color w:val="000000"/>
                <w:sz w:val="20"/>
                <w:lang w:eastAsia="es-SV"/>
              </w:rPr>
            </w:pPr>
            <w:r w:rsidRPr="00AE3BB8">
              <w:rPr>
                <w:rFonts w:ascii="Century Gothic" w:hAnsi="Century Gothic"/>
                <w:color w:val="000000"/>
                <w:sz w:val="20"/>
                <w:lang w:eastAsia="es-SV"/>
              </w:rPr>
              <w:t>$</w:t>
            </w:r>
            <w:r>
              <w:rPr>
                <w:rFonts w:ascii="Century Gothic" w:hAnsi="Century Gothic"/>
                <w:color w:val="000000"/>
                <w:sz w:val="20"/>
                <w:lang w:eastAsia="es-SV"/>
              </w:rPr>
              <w:t>58,805,615.00</w:t>
            </w:r>
          </w:p>
        </w:tc>
        <w:tc>
          <w:tcPr>
            <w:tcW w:w="1660" w:type="dxa"/>
            <w:tcBorders>
              <w:top w:val="single" w:sz="8" w:space="0" w:color="000000"/>
              <w:left w:val="single" w:sz="8" w:space="0" w:color="000000"/>
              <w:bottom w:val="single" w:sz="8" w:space="0" w:color="000000"/>
              <w:right w:val="single" w:sz="8" w:space="0" w:color="000000"/>
            </w:tcBorders>
            <w:shd w:val="clear" w:color="auto" w:fill="C0C0C0"/>
            <w:noWrap/>
            <w:hideMark/>
          </w:tcPr>
          <w:p w:rsidR="007A321C" w:rsidRPr="00AE3BB8" w:rsidRDefault="007A321C" w:rsidP="00896BCB">
            <w:pPr>
              <w:jc w:val="right"/>
              <w:rPr>
                <w:rFonts w:ascii="Century Gothic" w:hAnsi="Century Gothic"/>
                <w:color w:val="000000"/>
                <w:sz w:val="20"/>
                <w:lang w:eastAsia="es-SV"/>
              </w:rPr>
            </w:pPr>
            <w:r w:rsidRPr="00AE3BB8">
              <w:rPr>
                <w:rFonts w:ascii="Century Gothic" w:hAnsi="Century Gothic"/>
                <w:color w:val="000000"/>
                <w:sz w:val="20"/>
                <w:lang w:eastAsia="es-SV"/>
              </w:rPr>
              <w:t>$</w:t>
            </w:r>
            <w:r>
              <w:rPr>
                <w:rFonts w:ascii="Century Gothic" w:hAnsi="Century Gothic"/>
                <w:color w:val="000000"/>
                <w:sz w:val="20"/>
                <w:lang w:eastAsia="es-SV"/>
              </w:rPr>
              <w:t>67,552,181.65</w:t>
            </w:r>
          </w:p>
        </w:tc>
        <w:tc>
          <w:tcPr>
            <w:tcW w:w="1745" w:type="dxa"/>
            <w:tcBorders>
              <w:top w:val="single" w:sz="8" w:space="0" w:color="000000"/>
              <w:left w:val="single" w:sz="8" w:space="0" w:color="000000"/>
              <w:bottom w:val="single" w:sz="8" w:space="0" w:color="000000"/>
              <w:right w:val="single" w:sz="8" w:space="0" w:color="000000"/>
            </w:tcBorders>
            <w:shd w:val="clear" w:color="auto" w:fill="C0C0C0"/>
            <w:noWrap/>
            <w:hideMark/>
          </w:tcPr>
          <w:p w:rsidR="007A321C" w:rsidRPr="00AE3BB8" w:rsidRDefault="007A321C" w:rsidP="00896BCB">
            <w:pPr>
              <w:jc w:val="right"/>
              <w:rPr>
                <w:rFonts w:ascii="Century Gothic" w:hAnsi="Century Gothic"/>
                <w:color w:val="000000"/>
                <w:sz w:val="20"/>
                <w:lang w:eastAsia="es-SV"/>
              </w:rPr>
            </w:pPr>
            <w:r w:rsidRPr="00AE3BB8">
              <w:rPr>
                <w:rFonts w:ascii="Century Gothic" w:hAnsi="Century Gothic"/>
                <w:color w:val="000000"/>
                <w:sz w:val="20"/>
                <w:lang w:eastAsia="es-SV"/>
              </w:rPr>
              <w:t>$</w:t>
            </w:r>
            <w:r>
              <w:rPr>
                <w:rFonts w:ascii="Century Gothic" w:hAnsi="Century Gothic"/>
                <w:color w:val="000000"/>
                <w:sz w:val="20"/>
                <w:lang w:eastAsia="es-SV"/>
              </w:rPr>
              <w:t>55,641,145.56</w:t>
            </w:r>
          </w:p>
        </w:tc>
        <w:tc>
          <w:tcPr>
            <w:tcW w:w="2347" w:type="dxa"/>
            <w:tcBorders>
              <w:top w:val="single" w:sz="8" w:space="0" w:color="000000"/>
              <w:left w:val="single" w:sz="8" w:space="0" w:color="000000"/>
              <w:bottom w:val="single" w:sz="8" w:space="0" w:color="000000"/>
              <w:right w:val="single" w:sz="8" w:space="0" w:color="000000"/>
            </w:tcBorders>
            <w:shd w:val="clear" w:color="auto" w:fill="C0C0C0"/>
            <w:noWrap/>
            <w:hideMark/>
          </w:tcPr>
          <w:p w:rsidR="007A321C" w:rsidRPr="00AE3BB8" w:rsidRDefault="007A321C" w:rsidP="00896BCB">
            <w:pPr>
              <w:jc w:val="right"/>
              <w:rPr>
                <w:rFonts w:ascii="Century Gothic" w:hAnsi="Century Gothic"/>
                <w:color w:val="000000"/>
                <w:sz w:val="20"/>
                <w:lang w:eastAsia="es-SV"/>
              </w:rPr>
            </w:pPr>
            <w:r w:rsidRPr="00AE3BB8">
              <w:rPr>
                <w:rFonts w:ascii="Century Gothic" w:hAnsi="Century Gothic"/>
                <w:color w:val="000000"/>
                <w:sz w:val="20"/>
                <w:lang w:eastAsia="es-SV"/>
              </w:rPr>
              <w:t>$</w:t>
            </w:r>
            <w:r>
              <w:rPr>
                <w:rFonts w:ascii="Century Gothic" w:hAnsi="Century Gothic"/>
                <w:color w:val="000000"/>
                <w:sz w:val="20"/>
                <w:lang w:eastAsia="es-SV"/>
              </w:rPr>
              <w:t>11,911,036.09</w:t>
            </w:r>
          </w:p>
        </w:tc>
      </w:tr>
    </w:tbl>
    <w:p w:rsidR="00C67E4F" w:rsidRDefault="00C67E4F" w:rsidP="007A321C">
      <w:pPr>
        <w:spacing w:before="200" w:line="276" w:lineRule="auto"/>
        <w:jc w:val="both"/>
        <w:rPr>
          <w:rFonts w:ascii="Century Gothic" w:hAnsi="Century Gothic"/>
        </w:rPr>
      </w:pPr>
    </w:p>
    <w:p w:rsidR="007A321C" w:rsidRDefault="007A321C" w:rsidP="007A321C">
      <w:pPr>
        <w:pStyle w:val="Ttulo4"/>
        <w:numPr>
          <w:ilvl w:val="3"/>
          <w:numId w:val="30"/>
        </w:numPr>
        <w:spacing w:after="120"/>
        <w:rPr>
          <w:sz w:val="24"/>
        </w:rPr>
      </w:pPr>
      <w:bookmarkStart w:id="47" w:name="_Toc467228664"/>
      <w:bookmarkStart w:id="48" w:name="_Toc491684913"/>
      <w:r w:rsidRPr="00E61FA9">
        <w:rPr>
          <w:sz w:val="24"/>
        </w:rPr>
        <w:t>INVERSIÓN EN SERVICIOS DE SALUD.</w:t>
      </w:r>
      <w:bookmarkEnd w:id="47"/>
      <w:bookmarkEnd w:id="48"/>
    </w:p>
    <w:p w:rsidR="00EE2E83" w:rsidRDefault="00EE2E83" w:rsidP="00C67E4F">
      <w:pPr>
        <w:spacing w:before="200" w:line="276" w:lineRule="auto"/>
        <w:jc w:val="both"/>
        <w:rPr>
          <w:rFonts w:ascii="Century Gothic" w:eastAsia="Calibri" w:hAnsi="Century Gothic"/>
        </w:rPr>
      </w:pPr>
    </w:p>
    <w:p w:rsidR="00EE2E83" w:rsidRDefault="00EE2E83" w:rsidP="00EE2E83">
      <w:pPr>
        <w:spacing w:before="200" w:line="276" w:lineRule="auto"/>
        <w:jc w:val="both"/>
        <w:rPr>
          <w:rFonts w:ascii="Century Gothic" w:hAnsi="Century Gothic"/>
        </w:rPr>
      </w:pPr>
      <w:r>
        <w:rPr>
          <w:rFonts w:ascii="Century Gothic" w:hAnsi="Century Gothic"/>
        </w:rPr>
        <w:t xml:space="preserve">La </w:t>
      </w:r>
      <w:r w:rsidRPr="00CB29EF">
        <w:rPr>
          <w:rFonts w:ascii="Century Gothic" w:hAnsi="Century Gothic"/>
        </w:rPr>
        <w:t>inversión realizada en la prestación de servicios de salud en el período junio 2016 - julio 2017, ascendió a $61,519,856.58; lo anterior, sin tomar en cuenta los costos de apoyo y administración del programa. Los rubros del destino de la prestación se integran de la manera siguiente:</w:t>
      </w:r>
    </w:p>
    <w:p w:rsidR="00EE2E83" w:rsidRDefault="00EE2E83" w:rsidP="00EE2E83">
      <w:pPr>
        <w:spacing w:before="200" w:line="276" w:lineRule="auto"/>
        <w:jc w:val="both"/>
        <w:rPr>
          <w:rFonts w:ascii="Century Gothic" w:hAnsi="Century Gothic"/>
        </w:rPr>
      </w:pPr>
    </w:p>
    <w:tbl>
      <w:tblPr>
        <w:tblW w:w="9314" w:type="dxa"/>
        <w:tblInd w:w="-3" w:type="dxa"/>
        <w:tblCellMar>
          <w:left w:w="0" w:type="dxa"/>
          <w:right w:w="0" w:type="dxa"/>
        </w:tblCellMar>
        <w:tblLook w:val="04A0" w:firstRow="1" w:lastRow="0" w:firstColumn="1" w:lastColumn="0" w:noHBand="0" w:noVBand="1"/>
      </w:tblPr>
      <w:tblGrid>
        <w:gridCol w:w="2112"/>
        <w:gridCol w:w="1285"/>
        <w:gridCol w:w="1194"/>
        <w:gridCol w:w="1285"/>
        <w:gridCol w:w="1285"/>
        <w:gridCol w:w="1285"/>
        <w:gridCol w:w="1285"/>
      </w:tblGrid>
      <w:tr w:rsidR="00EE2E83" w:rsidTr="00A4446D">
        <w:trPr>
          <w:trHeight w:val="342"/>
        </w:trPr>
        <w:tc>
          <w:tcPr>
            <w:tcW w:w="9314" w:type="dxa"/>
            <w:gridSpan w:val="7"/>
            <w:tcBorders>
              <w:top w:val="single" w:sz="8" w:space="0" w:color="auto"/>
              <w:left w:val="single" w:sz="8" w:space="0" w:color="auto"/>
              <w:bottom w:val="single" w:sz="8" w:space="0" w:color="auto"/>
              <w:right w:val="single" w:sz="8" w:space="0" w:color="000000"/>
            </w:tcBorders>
            <w:noWrap/>
            <w:tcMar>
              <w:top w:w="0" w:type="dxa"/>
              <w:left w:w="70" w:type="dxa"/>
              <w:bottom w:w="0" w:type="dxa"/>
              <w:right w:w="70" w:type="dxa"/>
            </w:tcMar>
            <w:vAlign w:val="bottom"/>
            <w:hideMark/>
          </w:tcPr>
          <w:p w:rsidR="00EE2E83" w:rsidRDefault="00EE2E83">
            <w:pPr>
              <w:jc w:val="center"/>
              <w:rPr>
                <w:color w:val="000000"/>
                <w:lang w:eastAsia="es-SV"/>
              </w:rPr>
            </w:pPr>
            <w:r>
              <w:rPr>
                <w:color w:val="000000"/>
                <w:lang w:eastAsia="es-SV"/>
              </w:rPr>
              <w:t>INVERSIÓN EN SERVICIOS DE SALUD</w:t>
            </w:r>
          </w:p>
        </w:tc>
      </w:tr>
      <w:tr w:rsidR="00EE2E83" w:rsidTr="00CB29EF">
        <w:trPr>
          <w:trHeight w:val="342"/>
        </w:trPr>
        <w:tc>
          <w:tcPr>
            <w:tcW w:w="2112" w:type="dxa"/>
            <w:tcBorders>
              <w:bottom w:val="single" w:sz="8" w:space="0" w:color="000000"/>
            </w:tcBorders>
            <w:noWrap/>
            <w:tcMar>
              <w:top w:w="0" w:type="dxa"/>
              <w:left w:w="70" w:type="dxa"/>
              <w:bottom w:w="0" w:type="dxa"/>
              <w:right w:w="70" w:type="dxa"/>
            </w:tcMar>
            <w:vAlign w:val="bottom"/>
            <w:hideMark/>
          </w:tcPr>
          <w:p w:rsidR="00EE2E83" w:rsidRDefault="00EE2E83">
            <w:pPr>
              <w:rPr>
                <w:color w:val="000000"/>
                <w:lang w:eastAsia="es-SV"/>
              </w:rPr>
            </w:pPr>
          </w:p>
        </w:tc>
        <w:tc>
          <w:tcPr>
            <w:tcW w:w="1201" w:type="dxa"/>
            <w:noWrap/>
            <w:tcMar>
              <w:top w:w="0" w:type="dxa"/>
              <w:left w:w="70" w:type="dxa"/>
              <w:bottom w:w="0" w:type="dxa"/>
              <w:right w:w="70" w:type="dxa"/>
            </w:tcMar>
            <w:vAlign w:val="bottom"/>
            <w:hideMark/>
          </w:tcPr>
          <w:p w:rsidR="00EE2E83" w:rsidRDefault="00EE2E83">
            <w:pPr>
              <w:rPr>
                <w:rFonts w:ascii="Times New Roman" w:eastAsia="Times New Roman" w:hAnsi="Times New Roman"/>
                <w:sz w:val="20"/>
                <w:szCs w:val="20"/>
                <w:lang w:eastAsia="es-SV"/>
              </w:rPr>
            </w:pPr>
          </w:p>
        </w:tc>
        <w:tc>
          <w:tcPr>
            <w:tcW w:w="1116" w:type="dxa"/>
            <w:noWrap/>
            <w:tcMar>
              <w:top w:w="0" w:type="dxa"/>
              <w:left w:w="70" w:type="dxa"/>
              <w:bottom w:w="0" w:type="dxa"/>
              <w:right w:w="70" w:type="dxa"/>
            </w:tcMar>
            <w:vAlign w:val="bottom"/>
            <w:hideMark/>
          </w:tcPr>
          <w:p w:rsidR="00EE2E83" w:rsidRDefault="00EE2E83">
            <w:pPr>
              <w:rPr>
                <w:rFonts w:ascii="Times New Roman" w:eastAsia="Times New Roman" w:hAnsi="Times New Roman"/>
                <w:sz w:val="20"/>
                <w:szCs w:val="20"/>
                <w:lang w:eastAsia="es-SV"/>
              </w:rPr>
            </w:pPr>
          </w:p>
        </w:tc>
        <w:tc>
          <w:tcPr>
            <w:tcW w:w="1201" w:type="dxa"/>
            <w:noWrap/>
            <w:tcMar>
              <w:top w:w="0" w:type="dxa"/>
              <w:left w:w="70" w:type="dxa"/>
              <w:bottom w:w="0" w:type="dxa"/>
              <w:right w:w="70" w:type="dxa"/>
            </w:tcMar>
            <w:vAlign w:val="bottom"/>
            <w:hideMark/>
          </w:tcPr>
          <w:p w:rsidR="00EE2E83" w:rsidRDefault="00EE2E83">
            <w:pPr>
              <w:rPr>
                <w:rFonts w:ascii="Times New Roman" w:eastAsia="Times New Roman" w:hAnsi="Times New Roman"/>
                <w:sz w:val="20"/>
                <w:szCs w:val="20"/>
                <w:lang w:eastAsia="es-SV"/>
              </w:rPr>
            </w:pPr>
          </w:p>
        </w:tc>
        <w:tc>
          <w:tcPr>
            <w:tcW w:w="1201" w:type="dxa"/>
            <w:noWrap/>
            <w:tcMar>
              <w:top w:w="0" w:type="dxa"/>
              <w:left w:w="70" w:type="dxa"/>
              <w:bottom w:w="0" w:type="dxa"/>
              <w:right w:w="70" w:type="dxa"/>
            </w:tcMar>
            <w:vAlign w:val="bottom"/>
            <w:hideMark/>
          </w:tcPr>
          <w:p w:rsidR="00EE2E83" w:rsidRDefault="00EE2E83">
            <w:pPr>
              <w:rPr>
                <w:rFonts w:ascii="Times New Roman" w:eastAsia="Times New Roman" w:hAnsi="Times New Roman"/>
                <w:sz w:val="20"/>
                <w:szCs w:val="20"/>
                <w:lang w:eastAsia="es-SV"/>
              </w:rPr>
            </w:pPr>
          </w:p>
        </w:tc>
        <w:tc>
          <w:tcPr>
            <w:tcW w:w="1201" w:type="dxa"/>
            <w:noWrap/>
            <w:tcMar>
              <w:top w:w="0" w:type="dxa"/>
              <w:left w:w="70" w:type="dxa"/>
              <w:bottom w:w="0" w:type="dxa"/>
              <w:right w:w="70" w:type="dxa"/>
            </w:tcMar>
            <w:vAlign w:val="bottom"/>
            <w:hideMark/>
          </w:tcPr>
          <w:p w:rsidR="00EE2E83" w:rsidRDefault="00EE2E83">
            <w:pPr>
              <w:rPr>
                <w:rFonts w:ascii="Times New Roman" w:eastAsia="Times New Roman" w:hAnsi="Times New Roman"/>
                <w:sz w:val="20"/>
                <w:szCs w:val="20"/>
                <w:lang w:eastAsia="es-SV"/>
              </w:rPr>
            </w:pPr>
          </w:p>
        </w:tc>
        <w:tc>
          <w:tcPr>
            <w:tcW w:w="1277" w:type="dxa"/>
            <w:noWrap/>
            <w:tcMar>
              <w:top w:w="0" w:type="dxa"/>
              <w:left w:w="70" w:type="dxa"/>
              <w:bottom w:w="0" w:type="dxa"/>
              <w:right w:w="70" w:type="dxa"/>
            </w:tcMar>
            <w:vAlign w:val="bottom"/>
            <w:hideMark/>
          </w:tcPr>
          <w:p w:rsidR="00EE2E83" w:rsidRDefault="00EE2E83">
            <w:pPr>
              <w:rPr>
                <w:rFonts w:ascii="Times New Roman" w:eastAsia="Times New Roman" w:hAnsi="Times New Roman"/>
                <w:sz w:val="20"/>
                <w:szCs w:val="20"/>
                <w:lang w:eastAsia="es-SV"/>
              </w:rPr>
            </w:pPr>
          </w:p>
        </w:tc>
      </w:tr>
      <w:tr w:rsidR="00EE2E83" w:rsidTr="00CB29EF">
        <w:trPr>
          <w:trHeight w:val="342"/>
        </w:trPr>
        <w:tc>
          <w:tcPr>
            <w:tcW w:w="2112" w:type="dxa"/>
            <w:tcBorders>
              <w:top w:val="single" w:sz="8" w:space="0" w:color="000000"/>
              <w:left w:val="single" w:sz="8" w:space="0" w:color="000000"/>
              <w:right w:val="single" w:sz="8" w:space="0" w:color="000000"/>
            </w:tcBorders>
            <w:shd w:val="clear" w:color="auto" w:fill="C6D9F1"/>
            <w:tcMar>
              <w:top w:w="0" w:type="dxa"/>
              <w:left w:w="70" w:type="dxa"/>
              <w:bottom w:w="0" w:type="dxa"/>
              <w:right w:w="70" w:type="dxa"/>
            </w:tcMar>
            <w:vAlign w:val="bottom"/>
            <w:hideMark/>
          </w:tcPr>
          <w:p w:rsidR="00EE2E83" w:rsidRDefault="00EE2E83">
            <w:pPr>
              <w:rPr>
                <w:b/>
                <w:bCs/>
                <w:color w:val="000000"/>
                <w:sz w:val="20"/>
                <w:szCs w:val="20"/>
                <w:lang w:eastAsia="es-SV"/>
              </w:rPr>
            </w:pPr>
            <w:r>
              <w:rPr>
                <w:b/>
                <w:bCs/>
                <w:color w:val="000000"/>
                <w:sz w:val="20"/>
                <w:szCs w:val="20"/>
                <w:lang w:eastAsia="es-SV"/>
              </w:rPr>
              <w:t> </w:t>
            </w:r>
          </w:p>
        </w:tc>
        <w:tc>
          <w:tcPr>
            <w:tcW w:w="3520" w:type="dxa"/>
            <w:gridSpan w:val="3"/>
            <w:vMerge w:val="restart"/>
            <w:tcBorders>
              <w:top w:val="single" w:sz="8" w:space="0" w:color="000000"/>
              <w:left w:val="nil"/>
              <w:bottom w:val="single" w:sz="8" w:space="0" w:color="000000"/>
              <w:right w:val="single" w:sz="8" w:space="0" w:color="000000"/>
            </w:tcBorders>
            <w:shd w:val="clear" w:color="auto" w:fill="C6D9F1"/>
            <w:tcMar>
              <w:top w:w="0" w:type="dxa"/>
              <w:left w:w="70" w:type="dxa"/>
              <w:bottom w:w="0" w:type="dxa"/>
              <w:right w:w="70" w:type="dxa"/>
            </w:tcMar>
            <w:vAlign w:val="bottom"/>
            <w:hideMark/>
          </w:tcPr>
          <w:p w:rsidR="00CB29EF" w:rsidRDefault="00EE2E83">
            <w:pPr>
              <w:jc w:val="center"/>
              <w:rPr>
                <w:b/>
                <w:bCs/>
                <w:color w:val="000000"/>
                <w:sz w:val="20"/>
                <w:szCs w:val="20"/>
                <w:lang w:eastAsia="es-SV"/>
              </w:rPr>
            </w:pPr>
            <w:r>
              <w:rPr>
                <w:b/>
                <w:bCs/>
                <w:color w:val="000000"/>
                <w:sz w:val="20"/>
                <w:szCs w:val="20"/>
                <w:lang w:eastAsia="es-SV"/>
              </w:rPr>
              <w:t xml:space="preserve">PERÍODO: </w:t>
            </w:r>
          </w:p>
          <w:p w:rsidR="00EE2E83" w:rsidRDefault="00EE2E83">
            <w:pPr>
              <w:jc w:val="center"/>
              <w:rPr>
                <w:b/>
                <w:bCs/>
                <w:color w:val="000000"/>
                <w:sz w:val="20"/>
                <w:szCs w:val="20"/>
                <w:lang w:eastAsia="es-SV"/>
              </w:rPr>
            </w:pPr>
            <w:r>
              <w:rPr>
                <w:b/>
                <w:bCs/>
                <w:color w:val="000000"/>
                <w:sz w:val="20"/>
                <w:szCs w:val="20"/>
                <w:lang w:eastAsia="es-SV"/>
              </w:rPr>
              <w:t>JUNIO-DICIEMBRE 2015 - MAYO 2016</w:t>
            </w:r>
          </w:p>
        </w:tc>
        <w:tc>
          <w:tcPr>
            <w:tcW w:w="3681" w:type="dxa"/>
            <w:gridSpan w:val="3"/>
            <w:vMerge w:val="restart"/>
            <w:tcBorders>
              <w:top w:val="single" w:sz="8" w:space="0" w:color="000000"/>
              <w:left w:val="nil"/>
              <w:bottom w:val="single" w:sz="8" w:space="0" w:color="000000"/>
              <w:right w:val="single" w:sz="8" w:space="0" w:color="000000"/>
            </w:tcBorders>
            <w:shd w:val="clear" w:color="auto" w:fill="C6D9F1"/>
            <w:tcMar>
              <w:top w:w="0" w:type="dxa"/>
              <w:left w:w="70" w:type="dxa"/>
              <w:bottom w:w="0" w:type="dxa"/>
              <w:right w:w="70" w:type="dxa"/>
            </w:tcMar>
            <w:vAlign w:val="bottom"/>
            <w:hideMark/>
          </w:tcPr>
          <w:p w:rsidR="00CB29EF" w:rsidRDefault="00EE2E83">
            <w:pPr>
              <w:jc w:val="center"/>
              <w:rPr>
                <w:b/>
                <w:bCs/>
                <w:color w:val="000000"/>
                <w:sz w:val="20"/>
                <w:szCs w:val="20"/>
                <w:lang w:eastAsia="es-SV"/>
              </w:rPr>
            </w:pPr>
            <w:r>
              <w:rPr>
                <w:b/>
                <w:bCs/>
                <w:color w:val="000000"/>
                <w:sz w:val="20"/>
                <w:szCs w:val="20"/>
                <w:lang w:eastAsia="es-SV"/>
              </w:rPr>
              <w:t xml:space="preserve">PERÍODO: </w:t>
            </w:r>
          </w:p>
          <w:p w:rsidR="00EE2E83" w:rsidRDefault="00EE2E83">
            <w:pPr>
              <w:jc w:val="center"/>
              <w:rPr>
                <w:b/>
                <w:bCs/>
                <w:color w:val="000000"/>
                <w:sz w:val="20"/>
                <w:szCs w:val="20"/>
                <w:lang w:eastAsia="es-SV"/>
              </w:rPr>
            </w:pPr>
            <w:r>
              <w:rPr>
                <w:b/>
                <w:bCs/>
                <w:color w:val="000000"/>
                <w:sz w:val="20"/>
                <w:szCs w:val="20"/>
                <w:lang w:eastAsia="es-SV"/>
              </w:rPr>
              <w:t xml:space="preserve">JUNIO-DICIEMBRE </w:t>
            </w:r>
            <w:r w:rsidRPr="00CB29EF">
              <w:rPr>
                <w:b/>
                <w:bCs/>
                <w:color w:val="000000"/>
                <w:sz w:val="20"/>
                <w:szCs w:val="20"/>
                <w:lang w:eastAsia="es-SV"/>
              </w:rPr>
              <w:t>2016 – JULIO 2017</w:t>
            </w:r>
          </w:p>
        </w:tc>
      </w:tr>
      <w:tr w:rsidR="00EE2E83" w:rsidTr="00CB29EF">
        <w:trPr>
          <w:trHeight w:val="600"/>
        </w:trPr>
        <w:tc>
          <w:tcPr>
            <w:tcW w:w="2112" w:type="dxa"/>
            <w:tcBorders>
              <w:left w:val="single" w:sz="8" w:space="0" w:color="000000"/>
              <w:bottom w:val="single" w:sz="8" w:space="0" w:color="000000"/>
              <w:right w:val="single" w:sz="8" w:space="0" w:color="000000"/>
            </w:tcBorders>
            <w:shd w:val="clear" w:color="auto" w:fill="C6D9F1"/>
            <w:tcMar>
              <w:top w:w="0" w:type="dxa"/>
              <w:left w:w="70" w:type="dxa"/>
              <w:bottom w:w="0" w:type="dxa"/>
              <w:right w:w="70" w:type="dxa"/>
            </w:tcMar>
            <w:vAlign w:val="bottom"/>
            <w:hideMark/>
          </w:tcPr>
          <w:p w:rsidR="00EE2E83" w:rsidRDefault="00EE2E83">
            <w:pPr>
              <w:jc w:val="center"/>
              <w:rPr>
                <w:b/>
                <w:bCs/>
                <w:color w:val="000000"/>
                <w:sz w:val="20"/>
                <w:szCs w:val="20"/>
                <w:lang w:eastAsia="es-SV"/>
              </w:rPr>
            </w:pPr>
            <w:r>
              <w:rPr>
                <w:b/>
                <w:bCs/>
                <w:color w:val="000000"/>
                <w:sz w:val="20"/>
                <w:szCs w:val="20"/>
                <w:lang w:eastAsia="es-SV"/>
              </w:rPr>
              <w:t>CONCEPTO SERVICIOS DE SALUD</w:t>
            </w:r>
          </w:p>
        </w:tc>
        <w:tc>
          <w:tcPr>
            <w:tcW w:w="0" w:type="auto"/>
            <w:gridSpan w:val="3"/>
            <w:vMerge/>
            <w:tcBorders>
              <w:top w:val="nil"/>
              <w:left w:val="single" w:sz="8" w:space="0" w:color="000000"/>
              <w:bottom w:val="single" w:sz="8" w:space="0" w:color="000000"/>
              <w:right w:val="single" w:sz="8" w:space="0" w:color="000000"/>
            </w:tcBorders>
            <w:vAlign w:val="center"/>
            <w:hideMark/>
          </w:tcPr>
          <w:p w:rsidR="00EE2E83" w:rsidRDefault="00EE2E83">
            <w:pPr>
              <w:rPr>
                <w:b/>
                <w:bCs/>
                <w:color w:val="000000"/>
                <w:sz w:val="20"/>
                <w:szCs w:val="20"/>
                <w:lang w:eastAsia="es-SV"/>
              </w:rPr>
            </w:pPr>
          </w:p>
        </w:tc>
        <w:tc>
          <w:tcPr>
            <w:tcW w:w="0" w:type="auto"/>
            <w:gridSpan w:val="3"/>
            <w:vMerge/>
            <w:tcBorders>
              <w:top w:val="nil"/>
              <w:left w:val="single" w:sz="8" w:space="0" w:color="000000"/>
              <w:bottom w:val="single" w:sz="8" w:space="0" w:color="000000"/>
              <w:right w:val="single" w:sz="8" w:space="0" w:color="000000"/>
            </w:tcBorders>
            <w:vAlign w:val="center"/>
            <w:hideMark/>
          </w:tcPr>
          <w:p w:rsidR="00EE2E83" w:rsidRDefault="00EE2E83">
            <w:pPr>
              <w:rPr>
                <w:b/>
                <w:bCs/>
                <w:color w:val="000000"/>
                <w:sz w:val="20"/>
                <w:szCs w:val="20"/>
                <w:lang w:eastAsia="es-SV"/>
              </w:rPr>
            </w:pPr>
          </w:p>
        </w:tc>
      </w:tr>
      <w:tr w:rsidR="00EE2E83" w:rsidTr="00A4446D">
        <w:trPr>
          <w:trHeight w:val="634"/>
        </w:trPr>
        <w:tc>
          <w:tcPr>
            <w:tcW w:w="2112" w:type="dxa"/>
            <w:tcBorders>
              <w:top w:val="nil"/>
              <w:left w:val="single" w:sz="8" w:space="0" w:color="000000"/>
              <w:bottom w:val="single" w:sz="8" w:space="0" w:color="000000"/>
              <w:right w:val="single" w:sz="8" w:space="0" w:color="000000"/>
            </w:tcBorders>
            <w:shd w:val="clear" w:color="auto" w:fill="C6D9F1"/>
            <w:tcMar>
              <w:top w:w="0" w:type="dxa"/>
              <w:left w:w="70" w:type="dxa"/>
              <w:bottom w:w="0" w:type="dxa"/>
              <w:right w:w="70" w:type="dxa"/>
            </w:tcMar>
            <w:vAlign w:val="bottom"/>
            <w:hideMark/>
          </w:tcPr>
          <w:p w:rsidR="00EE2E83" w:rsidRDefault="00EE2E83">
            <w:pPr>
              <w:rPr>
                <w:rFonts w:ascii="Arial" w:hAnsi="Arial" w:cs="Arial"/>
                <w:sz w:val="36"/>
                <w:szCs w:val="36"/>
                <w:lang w:eastAsia="es-SV"/>
              </w:rPr>
            </w:pPr>
            <w:r>
              <w:rPr>
                <w:rFonts w:ascii="Arial" w:hAnsi="Arial" w:cs="Arial"/>
                <w:sz w:val="36"/>
                <w:szCs w:val="36"/>
                <w:lang w:eastAsia="es-SV"/>
              </w:rPr>
              <w:t> </w:t>
            </w:r>
          </w:p>
        </w:tc>
        <w:tc>
          <w:tcPr>
            <w:tcW w:w="1201" w:type="dxa"/>
            <w:tcBorders>
              <w:top w:val="nil"/>
              <w:left w:val="nil"/>
              <w:bottom w:val="single" w:sz="8" w:space="0" w:color="000000"/>
              <w:right w:val="single" w:sz="8" w:space="0" w:color="000000"/>
            </w:tcBorders>
            <w:shd w:val="clear" w:color="auto" w:fill="E2EFDA"/>
            <w:tcMar>
              <w:top w:w="0" w:type="dxa"/>
              <w:left w:w="70" w:type="dxa"/>
              <w:bottom w:w="0" w:type="dxa"/>
              <w:right w:w="70" w:type="dxa"/>
            </w:tcMar>
            <w:vAlign w:val="bottom"/>
            <w:hideMark/>
          </w:tcPr>
          <w:p w:rsidR="00EE2E83" w:rsidRDefault="00EE2E83">
            <w:pPr>
              <w:jc w:val="center"/>
              <w:rPr>
                <w:b/>
                <w:bCs/>
                <w:color w:val="000000"/>
                <w:sz w:val="20"/>
                <w:szCs w:val="20"/>
                <w:lang w:eastAsia="es-SV"/>
              </w:rPr>
            </w:pPr>
            <w:r>
              <w:rPr>
                <w:b/>
                <w:bCs/>
                <w:color w:val="000000"/>
                <w:sz w:val="20"/>
                <w:szCs w:val="20"/>
                <w:lang w:eastAsia="es-SV"/>
              </w:rPr>
              <w:t>JUNIO-DIC. 2015</w:t>
            </w:r>
          </w:p>
        </w:tc>
        <w:tc>
          <w:tcPr>
            <w:tcW w:w="1116" w:type="dxa"/>
            <w:tcBorders>
              <w:top w:val="nil"/>
              <w:left w:val="nil"/>
              <w:bottom w:val="single" w:sz="8" w:space="0" w:color="000000"/>
              <w:right w:val="single" w:sz="8" w:space="0" w:color="000000"/>
            </w:tcBorders>
            <w:shd w:val="clear" w:color="auto" w:fill="E2EFDA"/>
            <w:tcMar>
              <w:top w:w="0" w:type="dxa"/>
              <w:left w:w="70" w:type="dxa"/>
              <w:bottom w:w="0" w:type="dxa"/>
              <w:right w:w="70" w:type="dxa"/>
            </w:tcMar>
            <w:vAlign w:val="bottom"/>
            <w:hideMark/>
          </w:tcPr>
          <w:p w:rsidR="00EE2E83" w:rsidRDefault="00EE2E83">
            <w:pPr>
              <w:jc w:val="center"/>
              <w:rPr>
                <w:b/>
                <w:bCs/>
                <w:color w:val="000000"/>
                <w:sz w:val="20"/>
                <w:szCs w:val="20"/>
                <w:lang w:eastAsia="es-SV"/>
              </w:rPr>
            </w:pPr>
            <w:r>
              <w:rPr>
                <w:b/>
                <w:bCs/>
                <w:color w:val="000000"/>
                <w:sz w:val="20"/>
                <w:szCs w:val="20"/>
                <w:lang w:eastAsia="es-SV"/>
              </w:rPr>
              <w:t>ENERO-MAYO 2016</w:t>
            </w:r>
          </w:p>
        </w:tc>
        <w:tc>
          <w:tcPr>
            <w:tcW w:w="1201" w:type="dxa"/>
            <w:tcBorders>
              <w:top w:val="nil"/>
              <w:left w:val="nil"/>
              <w:bottom w:val="single" w:sz="8" w:space="0" w:color="000000"/>
              <w:right w:val="single" w:sz="8" w:space="0" w:color="000000"/>
            </w:tcBorders>
            <w:shd w:val="clear" w:color="auto" w:fill="E2EFDA"/>
            <w:tcMar>
              <w:top w:w="0" w:type="dxa"/>
              <w:left w:w="70" w:type="dxa"/>
              <w:bottom w:w="0" w:type="dxa"/>
              <w:right w:w="70" w:type="dxa"/>
            </w:tcMar>
            <w:vAlign w:val="bottom"/>
            <w:hideMark/>
          </w:tcPr>
          <w:p w:rsidR="00EE2E83" w:rsidRDefault="00EE2E83">
            <w:pPr>
              <w:jc w:val="center"/>
              <w:rPr>
                <w:b/>
                <w:bCs/>
                <w:color w:val="000000"/>
                <w:sz w:val="20"/>
                <w:szCs w:val="20"/>
                <w:lang w:eastAsia="es-SV"/>
              </w:rPr>
            </w:pPr>
            <w:r>
              <w:rPr>
                <w:b/>
                <w:bCs/>
                <w:color w:val="000000"/>
                <w:sz w:val="20"/>
                <w:szCs w:val="20"/>
                <w:lang w:eastAsia="es-SV"/>
              </w:rPr>
              <w:t xml:space="preserve">TOTAL PERÍODO </w:t>
            </w:r>
          </w:p>
        </w:tc>
        <w:tc>
          <w:tcPr>
            <w:tcW w:w="1201" w:type="dxa"/>
            <w:tcBorders>
              <w:top w:val="nil"/>
              <w:left w:val="nil"/>
              <w:bottom w:val="single" w:sz="8" w:space="0" w:color="000000"/>
              <w:right w:val="single" w:sz="8" w:space="0" w:color="000000"/>
            </w:tcBorders>
            <w:shd w:val="clear" w:color="auto" w:fill="DBDBDB"/>
            <w:tcMar>
              <w:top w:w="0" w:type="dxa"/>
              <w:left w:w="70" w:type="dxa"/>
              <w:bottom w:w="0" w:type="dxa"/>
              <w:right w:w="70" w:type="dxa"/>
            </w:tcMar>
            <w:vAlign w:val="bottom"/>
            <w:hideMark/>
          </w:tcPr>
          <w:p w:rsidR="00EE2E83" w:rsidRDefault="00EE2E83">
            <w:pPr>
              <w:jc w:val="center"/>
              <w:rPr>
                <w:b/>
                <w:bCs/>
                <w:color w:val="000000"/>
                <w:sz w:val="20"/>
                <w:szCs w:val="20"/>
                <w:lang w:eastAsia="es-SV"/>
              </w:rPr>
            </w:pPr>
            <w:r>
              <w:rPr>
                <w:b/>
                <w:bCs/>
                <w:color w:val="000000"/>
                <w:sz w:val="20"/>
                <w:szCs w:val="20"/>
                <w:lang w:eastAsia="es-SV"/>
              </w:rPr>
              <w:t> JUNIO-DIC. 2016</w:t>
            </w:r>
          </w:p>
        </w:tc>
        <w:tc>
          <w:tcPr>
            <w:tcW w:w="1201" w:type="dxa"/>
            <w:tcBorders>
              <w:top w:val="nil"/>
              <w:left w:val="nil"/>
              <w:bottom w:val="single" w:sz="8" w:space="0" w:color="000000"/>
              <w:right w:val="single" w:sz="8" w:space="0" w:color="000000"/>
            </w:tcBorders>
            <w:shd w:val="clear" w:color="auto" w:fill="DBDBDB"/>
            <w:tcMar>
              <w:top w:w="0" w:type="dxa"/>
              <w:left w:w="70" w:type="dxa"/>
              <w:bottom w:w="0" w:type="dxa"/>
              <w:right w:w="70" w:type="dxa"/>
            </w:tcMar>
            <w:vAlign w:val="bottom"/>
            <w:hideMark/>
          </w:tcPr>
          <w:p w:rsidR="00EE2E83" w:rsidRPr="00924B66" w:rsidRDefault="00EE2E83">
            <w:pPr>
              <w:jc w:val="center"/>
              <w:rPr>
                <w:b/>
                <w:bCs/>
                <w:color w:val="000000"/>
                <w:sz w:val="20"/>
                <w:szCs w:val="20"/>
                <w:lang w:eastAsia="es-SV"/>
              </w:rPr>
            </w:pPr>
            <w:r w:rsidRPr="00924B66">
              <w:rPr>
                <w:b/>
                <w:bCs/>
                <w:color w:val="000000"/>
                <w:sz w:val="20"/>
                <w:szCs w:val="20"/>
                <w:lang w:eastAsia="es-SV"/>
              </w:rPr>
              <w:t>ENERO-JULIO 2017</w:t>
            </w:r>
          </w:p>
        </w:tc>
        <w:tc>
          <w:tcPr>
            <w:tcW w:w="1277" w:type="dxa"/>
            <w:tcBorders>
              <w:top w:val="nil"/>
              <w:left w:val="nil"/>
              <w:bottom w:val="single" w:sz="8" w:space="0" w:color="000000"/>
              <w:right w:val="single" w:sz="8" w:space="0" w:color="000000"/>
            </w:tcBorders>
            <w:shd w:val="clear" w:color="auto" w:fill="DBDBDB"/>
            <w:tcMar>
              <w:top w:w="0" w:type="dxa"/>
              <w:left w:w="70" w:type="dxa"/>
              <w:bottom w:w="0" w:type="dxa"/>
              <w:right w:w="70" w:type="dxa"/>
            </w:tcMar>
            <w:vAlign w:val="bottom"/>
            <w:hideMark/>
          </w:tcPr>
          <w:p w:rsidR="00EE2E83" w:rsidRPr="00924B66" w:rsidRDefault="00EE2E83">
            <w:pPr>
              <w:jc w:val="center"/>
              <w:rPr>
                <w:b/>
                <w:bCs/>
                <w:color w:val="000000"/>
                <w:sz w:val="20"/>
                <w:szCs w:val="20"/>
                <w:lang w:eastAsia="es-SV"/>
              </w:rPr>
            </w:pPr>
            <w:r w:rsidRPr="00924B66">
              <w:rPr>
                <w:b/>
                <w:bCs/>
                <w:color w:val="000000"/>
                <w:sz w:val="20"/>
                <w:szCs w:val="20"/>
                <w:lang w:eastAsia="es-SV"/>
              </w:rPr>
              <w:t xml:space="preserve">TOTAL PERÍODO </w:t>
            </w:r>
          </w:p>
        </w:tc>
      </w:tr>
      <w:tr w:rsidR="00EE2E83" w:rsidTr="00A4446D">
        <w:trPr>
          <w:trHeight w:val="600"/>
        </w:trPr>
        <w:tc>
          <w:tcPr>
            <w:tcW w:w="2112"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EE2E83" w:rsidRDefault="00EE2E83">
            <w:pPr>
              <w:rPr>
                <w:color w:val="000000"/>
                <w:sz w:val="20"/>
                <w:szCs w:val="20"/>
                <w:lang w:eastAsia="es-SV"/>
              </w:rPr>
            </w:pPr>
            <w:r>
              <w:rPr>
                <w:color w:val="000000"/>
                <w:sz w:val="20"/>
                <w:szCs w:val="20"/>
                <w:lang w:eastAsia="es-SV"/>
              </w:rPr>
              <w:t>Servicios Médicos y salarios personal de Salud</w:t>
            </w:r>
          </w:p>
        </w:tc>
        <w:tc>
          <w:tcPr>
            <w:tcW w:w="1201"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rsidR="00EE2E83" w:rsidRDefault="00EE2E83">
            <w:pPr>
              <w:jc w:val="right"/>
              <w:rPr>
                <w:color w:val="000000"/>
                <w:sz w:val="18"/>
                <w:szCs w:val="18"/>
                <w:lang w:eastAsia="es-SV"/>
              </w:rPr>
            </w:pPr>
            <w:r>
              <w:rPr>
                <w:color w:val="000000"/>
                <w:sz w:val="18"/>
                <w:szCs w:val="18"/>
                <w:lang w:eastAsia="es-SV"/>
              </w:rPr>
              <w:t xml:space="preserve">$6,350,580.75 </w:t>
            </w:r>
          </w:p>
        </w:tc>
        <w:tc>
          <w:tcPr>
            <w:tcW w:w="1116"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rsidR="00EE2E83" w:rsidRDefault="00EE2E83">
            <w:pPr>
              <w:jc w:val="right"/>
              <w:rPr>
                <w:color w:val="000000"/>
                <w:sz w:val="18"/>
                <w:szCs w:val="18"/>
                <w:lang w:eastAsia="es-SV"/>
              </w:rPr>
            </w:pPr>
            <w:r>
              <w:rPr>
                <w:color w:val="000000"/>
                <w:sz w:val="18"/>
                <w:szCs w:val="18"/>
                <w:lang w:eastAsia="es-SV"/>
              </w:rPr>
              <w:t xml:space="preserve">$2,803,940.55 </w:t>
            </w:r>
          </w:p>
        </w:tc>
        <w:tc>
          <w:tcPr>
            <w:tcW w:w="120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E2E83" w:rsidRDefault="00EE2E83">
            <w:pPr>
              <w:jc w:val="right"/>
              <w:rPr>
                <w:color w:val="000000"/>
                <w:sz w:val="18"/>
                <w:szCs w:val="18"/>
                <w:lang w:eastAsia="es-SV"/>
              </w:rPr>
            </w:pPr>
            <w:r>
              <w:rPr>
                <w:color w:val="000000"/>
                <w:sz w:val="18"/>
                <w:szCs w:val="18"/>
                <w:lang w:eastAsia="es-SV"/>
              </w:rPr>
              <w:t xml:space="preserve">$9,154,521.30 </w:t>
            </w:r>
          </w:p>
        </w:tc>
        <w:tc>
          <w:tcPr>
            <w:tcW w:w="1201"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rsidR="00EE2E83" w:rsidRDefault="00EE2E83">
            <w:pPr>
              <w:jc w:val="right"/>
              <w:rPr>
                <w:color w:val="000000"/>
                <w:sz w:val="18"/>
                <w:szCs w:val="18"/>
                <w:lang w:eastAsia="es-SV"/>
              </w:rPr>
            </w:pPr>
            <w:r>
              <w:rPr>
                <w:color w:val="000000"/>
                <w:sz w:val="18"/>
                <w:szCs w:val="18"/>
                <w:lang w:eastAsia="es-SV"/>
              </w:rPr>
              <w:t xml:space="preserve">$5,402,352.70 </w:t>
            </w:r>
          </w:p>
        </w:tc>
        <w:tc>
          <w:tcPr>
            <w:tcW w:w="1201"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rsidR="00EE2E83" w:rsidRPr="00924B66" w:rsidRDefault="00EE2E83">
            <w:pPr>
              <w:jc w:val="right"/>
              <w:rPr>
                <w:color w:val="000000"/>
                <w:sz w:val="18"/>
                <w:szCs w:val="18"/>
                <w:lang w:eastAsia="es-SV"/>
              </w:rPr>
            </w:pPr>
            <w:r w:rsidRPr="00924B66">
              <w:rPr>
                <w:color w:val="000000"/>
                <w:sz w:val="18"/>
                <w:szCs w:val="18"/>
                <w:lang w:eastAsia="es-SV"/>
              </w:rPr>
              <w:t xml:space="preserve">$4,346,354.81 </w:t>
            </w:r>
          </w:p>
        </w:tc>
        <w:tc>
          <w:tcPr>
            <w:tcW w:w="127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E2E83" w:rsidRPr="00924B66" w:rsidRDefault="00EE2E83">
            <w:pPr>
              <w:jc w:val="right"/>
              <w:rPr>
                <w:color w:val="000000"/>
                <w:sz w:val="18"/>
                <w:szCs w:val="18"/>
                <w:lang w:eastAsia="es-SV"/>
              </w:rPr>
            </w:pPr>
            <w:r w:rsidRPr="00924B66">
              <w:rPr>
                <w:color w:val="000000"/>
                <w:sz w:val="18"/>
                <w:szCs w:val="18"/>
                <w:lang w:eastAsia="es-SV"/>
              </w:rPr>
              <w:t xml:space="preserve">$9,748,707.51 </w:t>
            </w:r>
          </w:p>
        </w:tc>
      </w:tr>
      <w:tr w:rsidR="00EE2E83" w:rsidTr="00A4446D">
        <w:trPr>
          <w:trHeight w:val="342"/>
        </w:trPr>
        <w:tc>
          <w:tcPr>
            <w:tcW w:w="2112"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EE2E83" w:rsidRDefault="00EE2E83">
            <w:pPr>
              <w:rPr>
                <w:color w:val="000000"/>
                <w:sz w:val="20"/>
                <w:szCs w:val="20"/>
                <w:lang w:eastAsia="es-SV"/>
              </w:rPr>
            </w:pPr>
            <w:r>
              <w:rPr>
                <w:color w:val="000000"/>
                <w:sz w:val="20"/>
                <w:szCs w:val="20"/>
                <w:lang w:eastAsia="es-SV"/>
              </w:rPr>
              <w:t>Servicios Hospitalarios</w:t>
            </w:r>
          </w:p>
        </w:tc>
        <w:tc>
          <w:tcPr>
            <w:tcW w:w="1201"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rsidR="00EE2E83" w:rsidRDefault="00EE2E83">
            <w:pPr>
              <w:jc w:val="right"/>
              <w:rPr>
                <w:color w:val="000000"/>
                <w:sz w:val="18"/>
                <w:szCs w:val="18"/>
                <w:lang w:eastAsia="es-SV"/>
              </w:rPr>
            </w:pPr>
            <w:r>
              <w:rPr>
                <w:color w:val="000000"/>
                <w:sz w:val="18"/>
                <w:szCs w:val="18"/>
                <w:lang w:eastAsia="es-SV"/>
              </w:rPr>
              <w:t xml:space="preserve">$24,973,918.13 </w:t>
            </w:r>
          </w:p>
        </w:tc>
        <w:tc>
          <w:tcPr>
            <w:tcW w:w="1116"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rsidR="00EE2E83" w:rsidRDefault="00EE2E83">
            <w:pPr>
              <w:jc w:val="right"/>
              <w:rPr>
                <w:color w:val="000000"/>
                <w:sz w:val="18"/>
                <w:szCs w:val="18"/>
                <w:lang w:eastAsia="es-SV"/>
              </w:rPr>
            </w:pPr>
            <w:r>
              <w:rPr>
                <w:color w:val="000000"/>
                <w:sz w:val="18"/>
                <w:szCs w:val="18"/>
                <w:lang w:eastAsia="es-SV"/>
              </w:rPr>
              <w:t xml:space="preserve">$877,727.42 </w:t>
            </w:r>
          </w:p>
        </w:tc>
        <w:tc>
          <w:tcPr>
            <w:tcW w:w="120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E2E83" w:rsidRDefault="00EE2E83">
            <w:pPr>
              <w:jc w:val="right"/>
              <w:rPr>
                <w:color w:val="000000"/>
                <w:sz w:val="18"/>
                <w:szCs w:val="18"/>
                <w:lang w:eastAsia="es-SV"/>
              </w:rPr>
            </w:pPr>
            <w:r>
              <w:rPr>
                <w:color w:val="000000"/>
                <w:sz w:val="18"/>
                <w:szCs w:val="18"/>
                <w:lang w:eastAsia="es-SV"/>
              </w:rPr>
              <w:t xml:space="preserve">$25,851,645.55 </w:t>
            </w:r>
          </w:p>
        </w:tc>
        <w:tc>
          <w:tcPr>
            <w:tcW w:w="1201"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rsidR="00EE2E83" w:rsidRDefault="00EE2E83">
            <w:pPr>
              <w:jc w:val="right"/>
              <w:rPr>
                <w:color w:val="000000"/>
                <w:sz w:val="18"/>
                <w:szCs w:val="18"/>
                <w:lang w:eastAsia="es-SV"/>
              </w:rPr>
            </w:pPr>
            <w:r>
              <w:rPr>
                <w:color w:val="000000"/>
                <w:sz w:val="18"/>
                <w:szCs w:val="18"/>
                <w:lang w:eastAsia="es-SV"/>
              </w:rPr>
              <w:t xml:space="preserve">$24,549,713.08 </w:t>
            </w:r>
          </w:p>
        </w:tc>
        <w:tc>
          <w:tcPr>
            <w:tcW w:w="1201"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rsidR="00EE2E83" w:rsidRPr="00924B66" w:rsidRDefault="00EE2E83">
            <w:pPr>
              <w:jc w:val="right"/>
              <w:rPr>
                <w:color w:val="000000"/>
                <w:sz w:val="18"/>
                <w:szCs w:val="18"/>
                <w:lang w:eastAsia="es-SV"/>
              </w:rPr>
            </w:pPr>
            <w:r w:rsidRPr="00924B66">
              <w:rPr>
                <w:color w:val="000000"/>
                <w:sz w:val="18"/>
                <w:szCs w:val="18"/>
                <w:lang w:eastAsia="es-SV"/>
              </w:rPr>
              <w:t xml:space="preserve">$6,947,814.77 </w:t>
            </w:r>
          </w:p>
        </w:tc>
        <w:tc>
          <w:tcPr>
            <w:tcW w:w="127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E2E83" w:rsidRPr="00924B66" w:rsidRDefault="00EE2E83">
            <w:pPr>
              <w:jc w:val="right"/>
              <w:rPr>
                <w:color w:val="000000"/>
                <w:sz w:val="18"/>
                <w:szCs w:val="18"/>
                <w:lang w:eastAsia="es-SV"/>
              </w:rPr>
            </w:pPr>
            <w:r w:rsidRPr="00924B66">
              <w:rPr>
                <w:color w:val="000000"/>
                <w:sz w:val="18"/>
                <w:szCs w:val="18"/>
                <w:lang w:eastAsia="es-SV"/>
              </w:rPr>
              <w:t xml:space="preserve">$31,497,527.85 </w:t>
            </w:r>
          </w:p>
        </w:tc>
      </w:tr>
      <w:tr w:rsidR="00EE2E83" w:rsidTr="00A4446D">
        <w:trPr>
          <w:trHeight w:val="600"/>
        </w:trPr>
        <w:tc>
          <w:tcPr>
            <w:tcW w:w="2112"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EE2E83" w:rsidRDefault="00EE2E83">
            <w:pPr>
              <w:rPr>
                <w:color w:val="000000"/>
                <w:sz w:val="20"/>
                <w:szCs w:val="20"/>
                <w:lang w:eastAsia="es-SV"/>
              </w:rPr>
            </w:pPr>
            <w:r>
              <w:rPr>
                <w:color w:val="000000"/>
                <w:sz w:val="20"/>
                <w:szCs w:val="20"/>
                <w:lang w:eastAsia="es-SV"/>
              </w:rPr>
              <w:t>Dispensación de Medicamentos</w:t>
            </w:r>
          </w:p>
        </w:tc>
        <w:tc>
          <w:tcPr>
            <w:tcW w:w="1201"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rsidR="00EE2E83" w:rsidRDefault="00EE2E83">
            <w:pPr>
              <w:jc w:val="right"/>
              <w:rPr>
                <w:color w:val="000000"/>
                <w:sz w:val="18"/>
                <w:szCs w:val="18"/>
                <w:lang w:eastAsia="es-SV"/>
              </w:rPr>
            </w:pPr>
            <w:r>
              <w:rPr>
                <w:color w:val="000000"/>
                <w:sz w:val="18"/>
                <w:szCs w:val="18"/>
                <w:lang w:eastAsia="es-SV"/>
              </w:rPr>
              <w:t xml:space="preserve">$14,030,164.48 </w:t>
            </w:r>
          </w:p>
        </w:tc>
        <w:tc>
          <w:tcPr>
            <w:tcW w:w="1116"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rsidR="00EE2E83" w:rsidRDefault="00EE2E83">
            <w:pPr>
              <w:jc w:val="right"/>
              <w:rPr>
                <w:color w:val="000000"/>
                <w:sz w:val="18"/>
                <w:szCs w:val="18"/>
                <w:lang w:eastAsia="es-SV"/>
              </w:rPr>
            </w:pPr>
            <w:r>
              <w:rPr>
                <w:color w:val="000000"/>
                <w:sz w:val="18"/>
                <w:szCs w:val="18"/>
                <w:lang w:eastAsia="es-SV"/>
              </w:rPr>
              <w:t xml:space="preserve">$1,908,785.74 </w:t>
            </w:r>
          </w:p>
        </w:tc>
        <w:tc>
          <w:tcPr>
            <w:tcW w:w="120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E2E83" w:rsidRDefault="00EE2E83">
            <w:pPr>
              <w:jc w:val="right"/>
              <w:rPr>
                <w:color w:val="000000"/>
                <w:sz w:val="18"/>
                <w:szCs w:val="18"/>
                <w:lang w:eastAsia="es-SV"/>
              </w:rPr>
            </w:pPr>
            <w:r>
              <w:rPr>
                <w:color w:val="000000"/>
                <w:sz w:val="18"/>
                <w:szCs w:val="18"/>
                <w:lang w:eastAsia="es-SV"/>
              </w:rPr>
              <w:t xml:space="preserve">$15,938,950.22 </w:t>
            </w:r>
          </w:p>
        </w:tc>
        <w:tc>
          <w:tcPr>
            <w:tcW w:w="1201"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rsidR="00EE2E83" w:rsidRDefault="00EE2E83">
            <w:pPr>
              <w:jc w:val="right"/>
              <w:rPr>
                <w:color w:val="000000"/>
                <w:sz w:val="18"/>
                <w:szCs w:val="18"/>
                <w:lang w:eastAsia="es-SV"/>
              </w:rPr>
            </w:pPr>
            <w:r>
              <w:rPr>
                <w:color w:val="000000"/>
                <w:sz w:val="18"/>
                <w:szCs w:val="18"/>
                <w:lang w:eastAsia="es-SV"/>
              </w:rPr>
              <w:t xml:space="preserve">$9,507,734.80 </w:t>
            </w:r>
          </w:p>
        </w:tc>
        <w:tc>
          <w:tcPr>
            <w:tcW w:w="1201"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rsidR="00EE2E83" w:rsidRPr="00924B66" w:rsidRDefault="00EE2E83">
            <w:pPr>
              <w:jc w:val="right"/>
              <w:rPr>
                <w:color w:val="000000"/>
                <w:sz w:val="18"/>
                <w:szCs w:val="18"/>
                <w:lang w:eastAsia="es-SV"/>
              </w:rPr>
            </w:pPr>
            <w:r w:rsidRPr="00924B66">
              <w:rPr>
                <w:color w:val="000000"/>
                <w:sz w:val="18"/>
                <w:szCs w:val="18"/>
                <w:lang w:eastAsia="es-SV"/>
              </w:rPr>
              <w:t xml:space="preserve">$4,587,375.84 </w:t>
            </w:r>
          </w:p>
        </w:tc>
        <w:tc>
          <w:tcPr>
            <w:tcW w:w="127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E2E83" w:rsidRPr="00924B66" w:rsidRDefault="00EE2E83">
            <w:pPr>
              <w:jc w:val="right"/>
              <w:rPr>
                <w:color w:val="000000"/>
                <w:sz w:val="18"/>
                <w:szCs w:val="18"/>
                <w:lang w:eastAsia="es-SV"/>
              </w:rPr>
            </w:pPr>
            <w:r w:rsidRPr="00924B66">
              <w:rPr>
                <w:color w:val="000000"/>
                <w:sz w:val="18"/>
                <w:szCs w:val="18"/>
                <w:lang w:eastAsia="es-SV"/>
              </w:rPr>
              <w:t xml:space="preserve">$14,095,110.64 </w:t>
            </w:r>
          </w:p>
        </w:tc>
      </w:tr>
      <w:tr w:rsidR="00EE2E83" w:rsidTr="00A4446D">
        <w:trPr>
          <w:trHeight w:val="342"/>
        </w:trPr>
        <w:tc>
          <w:tcPr>
            <w:tcW w:w="2112"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EE2E83" w:rsidRDefault="00EE2E83">
            <w:pPr>
              <w:rPr>
                <w:color w:val="000000"/>
                <w:sz w:val="20"/>
                <w:szCs w:val="20"/>
                <w:lang w:eastAsia="es-SV"/>
              </w:rPr>
            </w:pPr>
            <w:r>
              <w:rPr>
                <w:color w:val="000000"/>
                <w:sz w:val="20"/>
                <w:szCs w:val="20"/>
                <w:lang w:eastAsia="es-SV"/>
              </w:rPr>
              <w:t>Servicios de Laboratorios</w:t>
            </w:r>
          </w:p>
        </w:tc>
        <w:tc>
          <w:tcPr>
            <w:tcW w:w="1201"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rsidR="00EE2E83" w:rsidRDefault="00EE2E83">
            <w:pPr>
              <w:jc w:val="right"/>
              <w:rPr>
                <w:color w:val="000000"/>
                <w:sz w:val="18"/>
                <w:szCs w:val="18"/>
                <w:lang w:eastAsia="es-SV"/>
              </w:rPr>
            </w:pPr>
            <w:r>
              <w:rPr>
                <w:color w:val="000000"/>
                <w:sz w:val="18"/>
                <w:szCs w:val="18"/>
                <w:lang w:eastAsia="es-SV"/>
              </w:rPr>
              <w:t xml:space="preserve">$2,794,612.90 </w:t>
            </w:r>
          </w:p>
        </w:tc>
        <w:tc>
          <w:tcPr>
            <w:tcW w:w="1116"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rsidR="00EE2E83" w:rsidRDefault="00EE2E83">
            <w:pPr>
              <w:jc w:val="right"/>
              <w:rPr>
                <w:color w:val="000000"/>
                <w:sz w:val="18"/>
                <w:szCs w:val="18"/>
                <w:lang w:eastAsia="es-SV"/>
              </w:rPr>
            </w:pPr>
            <w:r>
              <w:rPr>
                <w:color w:val="000000"/>
                <w:sz w:val="18"/>
                <w:szCs w:val="18"/>
                <w:lang w:eastAsia="es-SV"/>
              </w:rPr>
              <w:t xml:space="preserve">$153,392.32 </w:t>
            </w:r>
          </w:p>
        </w:tc>
        <w:tc>
          <w:tcPr>
            <w:tcW w:w="120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E2E83" w:rsidRDefault="00EE2E83">
            <w:pPr>
              <w:jc w:val="right"/>
              <w:rPr>
                <w:color w:val="000000"/>
                <w:sz w:val="18"/>
                <w:szCs w:val="18"/>
                <w:lang w:eastAsia="es-SV"/>
              </w:rPr>
            </w:pPr>
            <w:r>
              <w:rPr>
                <w:color w:val="000000"/>
                <w:sz w:val="18"/>
                <w:szCs w:val="18"/>
                <w:lang w:eastAsia="es-SV"/>
              </w:rPr>
              <w:t xml:space="preserve">$2,948,005.22 </w:t>
            </w:r>
          </w:p>
        </w:tc>
        <w:tc>
          <w:tcPr>
            <w:tcW w:w="1201"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rsidR="00EE2E83" w:rsidRDefault="00EE2E83">
            <w:pPr>
              <w:jc w:val="right"/>
              <w:rPr>
                <w:color w:val="000000"/>
                <w:sz w:val="18"/>
                <w:szCs w:val="18"/>
                <w:lang w:eastAsia="es-SV"/>
              </w:rPr>
            </w:pPr>
            <w:r>
              <w:rPr>
                <w:color w:val="000000"/>
                <w:sz w:val="18"/>
                <w:szCs w:val="18"/>
                <w:lang w:eastAsia="es-SV"/>
              </w:rPr>
              <w:t xml:space="preserve">$2,079,208.72 </w:t>
            </w:r>
          </w:p>
        </w:tc>
        <w:tc>
          <w:tcPr>
            <w:tcW w:w="1201"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rsidR="00EE2E83" w:rsidRPr="00924B66" w:rsidRDefault="00EE2E83">
            <w:pPr>
              <w:jc w:val="right"/>
              <w:rPr>
                <w:color w:val="000000"/>
                <w:sz w:val="18"/>
                <w:szCs w:val="18"/>
                <w:lang w:eastAsia="es-SV"/>
              </w:rPr>
            </w:pPr>
            <w:r w:rsidRPr="00924B66">
              <w:rPr>
                <w:color w:val="000000"/>
                <w:sz w:val="18"/>
                <w:szCs w:val="18"/>
                <w:lang w:eastAsia="es-SV"/>
              </w:rPr>
              <w:t xml:space="preserve">$637,856.59 </w:t>
            </w:r>
          </w:p>
        </w:tc>
        <w:tc>
          <w:tcPr>
            <w:tcW w:w="127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E2E83" w:rsidRPr="00924B66" w:rsidRDefault="00EE2E83">
            <w:pPr>
              <w:jc w:val="right"/>
              <w:rPr>
                <w:b/>
                <w:bCs/>
                <w:color w:val="000000"/>
                <w:sz w:val="18"/>
                <w:szCs w:val="18"/>
                <w:lang w:eastAsia="es-SV"/>
              </w:rPr>
            </w:pPr>
            <w:r w:rsidRPr="00924B66">
              <w:rPr>
                <w:b/>
                <w:bCs/>
                <w:color w:val="000000"/>
                <w:sz w:val="18"/>
                <w:szCs w:val="18"/>
                <w:lang w:eastAsia="es-SV"/>
              </w:rPr>
              <w:t xml:space="preserve">$2,717,065.31 </w:t>
            </w:r>
          </w:p>
        </w:tc>
      </w:tr>
      <w:tr w:rsidR="00EE2E83" w:rsidTr="00A4446D">
        <w:trPr>
          <w:trHeight w:val="600"/>
        </w:trPr>
        <w:tc>
          <w:tcPr>
            <w:tcW w:w="2112"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EE2E83" w:rsidRDefault="00EE2E83">
            <w:pPr>
              <w:rPr>
                <w:color w:val="000000"/>
                <w:sz w:val="20"/>
                <w:szCs w:val="20"/>
                <w:lang w:eastAsia="es-SV"/>
              </w:rPr>
            </w:pPr>
            <w:r>
              <w:rPr>
                <w:color w:val="000000"/>
                <w:sz w:val="20"/>
                <w:szCs w:val="20"/>
                <w:lang w:eastAsia="es-SV"/>
              </w:rPr>
              <w:t>Costos Administrativos de Policlínicos</w:t>
            </w:r>
          </w:p>
        </w:tc>
        <w:tc>
          <w:tcPr>
            <w:tcW w:w="1201"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rsidR="00EE2E83" w:rsidRDefault="00EE2E83">
            <w:pPr>
              <w:jc w:val="right"/>
              <w:rPr>
                <w:color w:val="000000"/>
                <w:sz w:val="18"/>
                <w:szCs w:val="18"/>
                <w:lang w:eastAsia="es-SV"/>
              </w:rPr>
            </w:pPr>
            <w:r>
              <w:rPr>
                <w:color w:val="000000"/>
                <w:sz w:val="18"/>
                <w:szCs w:val="18"/>
                <w:lang w:eastAsia="es-SV"/>
              </w:rPr>
              <w:t xml:space="preserve">$585,513.05 </w:t>
            </w:r>
          </w:p>
        </w:tc>
        <w:tc>
          <w:tcPr>
            <w:tcW w:w="1116"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rsidR="00EE2E83" w:rsidRDefault="00EE2E83">
            <w:pPr>
              <w:jc w:val="right"/>
              <w:rPr>
                <w:color w:val="000000"/>
                <w:sz w:val="18"/>
                <w:szCs w:val="18"/>
                <w:lang w:eastAsia="es-SV"/>
              </w:rPr>
            </w:pPr>
            <w:r>
              <w:rPr>
                <w:color w:val="000000"/>
                <w:sz w:val="18"/>
                <w:szCs w:val="18"/>
                <w:lang w:eastAsia="es-SV"/>
              </w:rPr>
              <w:t xml:space="preserve">$447,210.75 </w:t>
            </w:r>
          </w:p>
        </w:tc>
        <w:tc>
          <w:tcPr>
            <w:tcW w:w="120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E2E83" w:rsidRDefault="00EE2E83">
            <w:pPr>
              <w:jc w:val="right"/>
              <w:rPr>
                <w:b/>
                <w:bCs/>
                <w:color w:val="000000"/>
                <w:sz w:val="18"/>
                <w:szCs w:val="18"/>
                <w:lang w:eastAsia="es-SV"/>
              </w:rPr>
            </w:pPr>
            <w:r>
              <w:rPr>
                <w:b/>
                <w:bCs/>
                <w:color w:val="000000"/>
                <w:sz w:val="18"/>
                <w:szCs w:val="18"/>
                <w:lang w:eastAsia="es-SV"/>
              </w:rPr>
              <w:t xml:space="preserve">$1,032,723.80 </w:t>
            </w:r>
          </w:p>
        </w:tc>
        <w:tc>
          <w:tcPr>
            <w:tcW w:w="1201"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rsidR="00EE2E83" w:rsidRDefault="00EE2E83">
            <w:pPr>
              <w:jc w:val="right"/>
              <w:rPr>
                <w:color w:val="000000"/>
                <w:sz w:val="18"/>
                <w:szCs w:val="18"/>
                <w:lang w:eastAsia="es-SV"/>
              </w:rPr>
            </w:pPr>
            <w:r>
              <w:rPr>
                <w:color w:val="000000"/>
                <w:sz w:val="18"/>
                <w:szCs w:val="18"/>
                <w:lang w:eastAsia="es-SV"/>
              </w:rPr>
              <w:t xml:space="preserve">$2,059,234.63 </w:t>
            </w:r>
          </w:p>
        </w:tc>
        <w:tc>
          <w:tcPr>
            <w:tcW w:w="1201"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rsidR="00EE2E83" w:rsidRPr="00924B66" w:rsidRDefault="00EE2E83">
            <w:pPr>
              <w:jc w:val="right"/>
              <w:rPr>
                <w:color w:val="000000"/>
                <w:sz w:val="18"/>
                <w:szCs w:val="18"/>
                <w:lang w:eastAsia="es-SV"/>
              </w:rPr>
            </w:pPr>
            <w:r w:rsidRPr="00924B66">
              <w:rPr>
                <w:color w:val="000000"/>
                <w:sz w:val="18"/>
                <w:szCs w:val="18"/>
                <w:lang w:eastAsia="es-SV"/>
              </w:rPr>
              <w:t xml:space="preserve">$1,402,210.64 </w:t>
            </w:r>
          </w:p>
        </w:tc>
        <w:tc>
          <w:tcPr>
            <w:tcW w:w="1277"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hideMark/>
          </w:tcPr>
          <w:p w:rsidR="00EE2E83" w:rsidRPr="00924B66" w:rsidRDefault="00EE2E83">
            <w:pPr>
              <w:jc w:val="right"/>
              <w:rPr>
                <w:b/>
                <w:bCs/>
                <w:color w:val="000000"/>
                <w:sz w:val="18"/>
                <w:szCs w:val="18"/>
                <w:lang w:eastAsia="es-SV"/>
              </w:rPr>
            </w:pPr>
            <w:r w:rsidRPr="00924B66">
              <w:rPr>
                <w:b/>
                <w:bCs/>
                <w:color w:val="000000"/>
                <w:sz w:val="18"/>
                <w:szCs w:val="18"/>
                <w:lang w:eastAsia="es-SV"/>
              </w:rPr>
              <w:t xml:space="preserve">$3,461,445.27 </w:t>
            </w:r>
          </w:p>
        </w:tc>
      </w:tr>
      <w:tr w:rsidR="00EE2E83" w:rsidTr="00A4446D">
        <w:trPr>
          <w:trHeight w:val="342"/>
        </w:trPr>
        <w:tc>
          <w:tcPr>
            <w:tcW w:w="2112" w:type="dxa"/>
            <w:tcBorders>
              <w:top w:val="nil"/>
              <w:left w:val="single" w:sz="8" w:space="0" w:color="000000"/>
              <w:bottom w:val="single" w:sz="8" w:space="0" w:color="000000"/>
              <w:right w:val="single" w:sz="8" w:space="0" w:color="000000"/>
            </w:tcBorders>
            <w:shd w:val="clear" w:color="auto" w:fill="C6D9F1"/>
            <w:tcMar>
              <w:top w:w="0" w:type="dxa"/>
              <w:left w:w="70" w:type="dxa"/>
              <w:bottom w:w="0" w:type="dxa"/>
              <w:right w:w="70" w:type="dxa"/>
            </w:tcMar>
            <w:vAlign w:val="bottom"/>
            <w:hideMark/>
          </w:tcPr>
          <w:p w:rsidR="00EE2E83" w:rsidRDefault="00EE2E83">
            <w:pPr>
              <w:rPr>
                <w:b/>
                <w:bCs/>
                <w:color w:val="000000"/>
                <w:sz w:val="20"/>
                <w:szCs w:val="20"/>
                <w:lang w:eastAsia="es-SV"/>
              </w:rPr>
            </w:pPr>
            <w:r>
              <w:rPr>
                <w:b/>
                <w:bCs/>
                <w:color w:val="000000"/>
                <w:sz w:val="20"/>
                <w:szCs w:val="20"/>
                <w:lang w:eastAsia="es-SV"/>
              </w:rPr>
              <w:t>TOTAL EN SERVICIOS DE SALUD</w:t>
            </w:r>
          </w:p>
        </w:tc>
        <w:tc>
          <w:tcPr>
            <w:tcW w:w="1201" w:type="dxa"/>
            <w:tcBorders>
              <w:top w:val="nil"/>
              <w:left w:val="nil"/>
              <w:bottom w:val="single" w:sz="8" w:space="0" w:color="000000"/>
              <w:right w:val="single" w:sz="8" w:space="0" w:color="000000"/>
            </w:tcBorders>
            <w:shd w:val="clear" w:color="auto" w:fill="E2EFDA"/>
            <w:tcMar>
              <w:top w:w="0" w:type="dxa"/>
              <w:left w:w="70" w:type="dxa"/>
              <w:bottom w:w="0" w:type="dxa"/>
              <w:right w:w="70" w:type="dxa"/>
            </w:tcMar>
            <w:vAlign w:val="bottom"/>
            <w:hideMark/>
          </w:tcPr>
          <w:p w:rsidR="00EE2E83" w:rsidRDefault="00EE2E83">
            <w:pPr>
              <w:jc w:val="right"/>
              <w:rPr>
                <w:b/>
                <w:bCs/>
                <w:color w:val="000000"/>
                <w:sz w:val="18"/>
                <w:szCs w:val="18"/>
                <w:lang w:eastAsia="es-SV"/>
              </w:rPr>
            </w:pPr>
            <w:r>
              <w:rPr>
                <w:b/>
                <w:bCs/>
                <w:color w:val="000000"/>
                <w:sz w:val="18"/>
                <w:szCs w:val="18"/>
                <w:lang w:eastAsia="es-SV"/>
              </w:rPr>
              <w:t xml:space="preserve">$48,734,789.31 </w:t>
            </w:r>
          </w:p>
        </w:tc>
        <w:tc>
          <w:tcPr>
            <w:tcW w:w="1116" w:type="dxa"/>
            <w:tcBorders>
              <w:top w:val="nil"/>
              <w:left w:val="nil"/>
              <w:bottom w:val="single" w:sz="8" w:space="0" w:color="000000"/>
              <w:right w:val="single" w:sz="8" w:space="0" w:color="000000"/>
            </w:tcBorders>
            <w:shd w:val="clear" w:color="auto" w:fill="E2EFDA"/>
            <w:tcMar>
              <w:top w:w="0" w:type="dxa"/>
              <w:left w:w="70" w:type="dxa"/>
              <w:bottom w:w="0" w:type="dxa"/>
              <w:right w:w="70" w:type="dxa"/>
            </w:tcMar>
            <w:vAlign w:val="bottom"/>
            <w:hideMark/>
          </w:tcPr>
          <w:p w:rsidR="00EE2E83" w:rsidRDefault="00EE2E83">
            <w:pPr>
              <w:jc w:val="right"/>
              <w:rPr>
                <w:b/>
                <w:bCs/>
                <w:color w:val="000000"/>
                <w:sz w:val="18"/>
                <w:szCs w:val="18"/>
                <w:lang w:eastAsia="es-SV"/>
              </w:rPr>
            </w:pPr>
            <w:r>
              <w:rPr>
                <w:b/>
                <w:bCs/>
                <w:color w:val="000000"/>
                <w:sz w:val="18"/>
                <w:szCs w:val="18"/>
                <w:lang w:eastAsia="es-SV"/>
              </w:rPr>
              <w:t xml:space="preserve">$6,191,056.78 </w:t>
            </w:r>
          </w:p>
        </w:tc>
        <w:tc>
          <w:tcPr>
            <w:tcW w:w="1201" w:type="dxa"/>
            <w:tcBorders>
              <w:top w:val="nil"/>
              <w:left w:val="nil"/>
              <w:bottom w:val="single" w:sz="8" w:space="0" w:color="000000"/>
              <w:right w:val="single" w:sz="8" w:space="0" w:color="000000"/>
            </w:tcBorders>
            <w:shd w:val="clear" w:color="auto" w:fill="E2EFDA"/>
            <w:tcMar>
              <w:top w:w="0" w:type="dxa"/>
              <w:left w:w="70" w:type="dxa"/>
              <w:bottom w:w="0" w:type="dxa"/>
              <w:right w:w="70" w:type="dxa"/>
            </w:tcMar>
            <w:vAlign w:val="bottom"/>
            <w:hideMark/>
          </w:tcPr>
          <w:p w:rsidR="00EE2E83" w:rsidRDefault="00EE2E83">
            <w:pPr>
              <w:jc w:val="right"/>
              <w:rPr>
                <w:b/>
                <w:bCs/>
                <w:color w:val="000000"/>
                <w:sz w:val="18"/>
                <w:szCs w:val="18"/>
                <w:lang w:eastAsia="es-SV"/>
              </w:rPr>
            </w:pPr>
            <w:r>
              <w:rPr>
                <w:b/>
                <w:bCs/>
                <w:color w:val="000000"/>
                <w:sz w:val="18"/>
                <w:szCs w:val="18"/>
                <w:lang w:eastAsia="es-SV"/>
              </w:rPr>
              <w:t xml:space="preserve">$54,925,846.09 </w:t>
            </w:r>
          </w:p>
        </w:tc>
        <w:tc>
          <w:tcPr>
            <w:tcW w:w="1201" w:type="dxa"/>
            <w:tcBorders>
              <w:top w:val="nil"/>
              <w:left w:val="nil"/>
              <w:bottom w:val="single" w:sz="8" w:space="0" w:color="000000"/>
              <w:right w:val="single" w:sz="8" w:space="0" w:color="000000"/>
            </w:tcBorders>
            <w:shd w:val="clear" w:color="auto" w:fill="DBDBDB"/>
            <w:tcMar>
              <w:top w:w="0" w:type="dxa"/>
              <w:left w:w="70" w:type="dxa"/>
              <w:bottom w:w="0" w:type="dxa"/>
              <w:right w:w="70" w:type="dxa"/>
            </w:tcMar>
            <w:vAlign w:val="bottom"/>
            <w:hideMark/>
          </w:tcPr>
          <w:p w:rsidR="00EE2E83" w:rsidRDefault="00EE2E83">
            <w:pPr>
              <w:jc w:val="right"/>
              <w:rPr>
                <w:b/>
                <w:bCs/>
                <w:color w:val="000000"/>
                <w:sz w:val="18"/>
                <w:szCs w:val="18"/>
                <w:lang w:eastAsia="es-SV"/>
              </w:rPr>
            </w:pPr>
            <w:r>
              <w:rPr>
                <w:b/>
                <w:bCs/>
                <w:color w:val="000000"/>
                <w:sz w:val="18"/>
                <w:szCs w:val="18"/>
                <w:lang w:eastAsia="es-SV"/>
              </w:rPr>
              <w:t xml:space="preserve">$43,598,243.93 </w:t>
            </w:r>
          </w:p>
        </w:tc>
        <w:tc>
          <w:tcPr>
            <w:tcW w:w="1201" w:type="dxa"/>
            <w:tcBorders>
              <w:top w:val="nil"/>
              <w:left w:val="nil"/>
              <w:bottom w:val="single" w:sz="8" w:space="0" w:color="000000"/>
              <w:right w:val="single" w:sz="8" w:space="0" w:color="000000"/>
            </w:tcBorders>
            <w:shd w:val="clear" w:color="auto" w:fill="DBDBDB"/>
            <w:tcMar>
              <w:top w:w="0" w:type="dxa"/>
              <w:left w:w="70" w:type="dxa"/>
              <w:bottom w:w="0" w:type="dxa"/>
              <w:right w:w="70" w:type="dxa"/>
            </w:tcMar>
            <w:vAlign w:val="bottom"/>
            <w:hideMark/>
          </w:tcPr>
          <w:p w:rsidR="00EE2E83" w:rsidRPr="00924B66" w:rsidRDefault="00EE2E83">
            <w:pPr>
              <w:jc w:val="right"/>
              <w:rPr>
                <w:b/>
                <w:bCs/>
                <w:color w:val="000000"/>
                <w:sz w:val="18"/>
                <w:szCs w:val="18"/>
                <w:lang w:eastAsia="es-SV"/>
              </w:rPr>
            </w:pPr>
            <w:r w:rsidRPr="00924B66">
              <w:rPr>
                <w:b/>
                <w:bCs/>
                <w:color w:val="000000"/>
                <w:sz w:val="18"/>
                <w:szCs w:val="18"/>
                <w:lang w:eastAsia="es-SV"/>
              </w:rPr>
              <w:t xml:space="preserve">$17,921,612.65 </w:t>
            </w:r>
          </w:p>
        </w:tc>
        <w:tc>
          <w:tcPr>
            <w:tcW w:w="1277" w:type="dxa"/>
            <w:tcBorders>
              <w:top w:val="nil"/>
              <w:left w:val="nil"/>
              <w:bottom w:val="single" w:sz="8" w:space="0" w:color="000000"/>
              <w:right w:val="single" w:sz="8" w:space="0" w:color="000000"/>
            </w:tcBorders>
            <w:shd w:val="clear" w:color="auto" w:fill="DBDBDB"/>
            <w:tcMar>
              <w:top w:w="0" w:type="dxa"/>
              <w:left w:w="70" w:type="dxa"/>
              <w:bottom w:w="0" w:type="dxa"/>
              <w:right w:w="70" w:type="dxa"/>
            </w:tcMar>
            <w:vAlign w:val="bottom"/>
            <w:hideMark/>
          </w:tcPr>
          <w:p w:rsidR="00EE2E83" w:rsidRPr="00924B66" w:rsidRDefault="00EE2E83">
            <w:pPr>
              <w:jc w:val="right"/>
              <w:rPr>
                <w:b/>
                <w:bCs/>
                <w:color w:val="000000"/>
                <w:sz w:val="18"/>
                <w:szCs w:val="18"/>
                <w:lang w:eastAsia="es-SV"/>
              </w:rPr>
            </w:pPr>
            <w:r w:rsidRPr="00924B66">
              <w:rPr>
                <w:b/>
                <w:bCs/>
                <w:color w:val="000000"/>
                <w:sz w:val="18"/>
                <w:szCs w:val="18"/>
                <w:lang w:eastAsia="es-SV"/>
              </w:rPr>
              <w:t xml:space="preserve">$61,519,856.58 </w:t>
            </w:r>
          </w:p>
        </w:tc>
      </w:tr>
    </w:tbl>
    <w:p w:rsidR="00EE2E83" w:rsidRDefault="00A4446D" w:rsidP="00EE2E83">
      <w:pPr>
        <w:spacing w:before="200" w:line="276" w:lineRule="auto"/>
        <w:jc w:val="both"/>
        <w:rPr>
          <w:rFonts w:ascii="Century Gothic" w:hAnsi="Century Gothic"/>
          <w:color w:val="1F497D"/>
        </w:rPr>
      </w:pPr>
      <w:r w:rsidRPr="00A4446D">
        <w:rPr>
          <w:rFonts w:eastAsia="Times New Roman"/>
          <w:color w:val="000000"/>
          <w:sz w:val="18"/>
          <w:szCs w:val="18"/>
          <w:lang w:eastAsia="es-SV"/>
        </w:rPr>
        <w:t xml:space="preserve">Nota: </w:t>
      </w:r>
      <w:r w:rsidRPr="006718E1">
        <w:rPr>
          <w:rFonts w:eastAsia="Times New Roman"/>
          <w:color w:val="000000"/>
          <w:sz w:val="18"/>
          <w:szCs w:val="18"/>
          <w:lang w:eastAsia="es-SV"/>
        </w:rPr>
        <w:t xml:space="preserve">con respecto al informe anterior se recalculó costos </w:t>
      </w:r>
      <w:r w:rsidRPr="00335C66">
        <w:rPr>
          <w:rFonts w:eastAsia="Times New Roman"/>
          <w:color w:val="000000"/>
          <w:sz w:val="18"/>
          <w:szCs w:val="18"/>
          <w:lang w:eastAsia="es-SV"/>
        </w:rPr>
        <w:t>administrativos 2015,</w:t>
      </w:r>
      <w:r w:rsidRPr="006718E1">
        <w:rPr>
          <w:rFonts w:eastAsia="Times New Roman"/>
          <w:color w:val="000000"/>
          <w:sz w:val="18"/>
          <w:szCs w:val="18"/>
          <w:lang w:eastAsia="es-SV"/>
        </w:rPr>
        <w:t xml:space="preserve"> para entregar bienes administrativos de Pol</w:t>
      </w:r>
      <w:r>
        <w:rPr>
          <w:rFonts w:eastAsia="Times New Roman"/>
          <w:color w:val="000000"/>
          <w:sz w:val="18"/>
          <w:szCs w:val="18"/>
          <w:lang w:eastAsia="es-SV"/>
        </w:rPr>
        <w:t>i</w:t>
      </w:r>
      <w:r w:rsidRPr="006718E1">
        <w:rPr>
          <w:rFonts w:eastAsia="Times New Roman"/>
          <w:color w:val="000000"/>
          <w:sz w:val="18"/>
          <w:szCs w:val="18"/>
          <w:lang w:eastAsia="es-SV"/>
        </w:rPr>
        <w:t>clínicos y se corrigió salarios, en 2016 únicamente se ajustó cálculos de período por efectos de Rendición de Cuentas</w:t>
      </w:r>
      <w:r>
        <w:rPr>
          <w:rFonts w:eastAsia="Times New Roman"/>
          <w:color w:val="000000"/>
          <w:sz w:val="18"/>
          <w:szCs w:val="18"/>
          <w:lang w:eastAsia="es-SV"/>
        </w:rPr>
        <w:t>.</w:t>
      </w:r>
    </w:p>
    <w:p w:rsidR="00EE2E83" w:rsidRDefault="00EE2E83" w:rsidP="00C67E4F">
      <w:pPr>
        <w:spacing w:before="200" w:line="276" w:lineRule="auto"/>
        <w:jc w:val="both"/>
        <w:rPr>
          <w:rFonts w:ascii="Century Gothic" w:eastAsia="Calibri" w:hAnsi="Century Gothic"/>
        </w:rPr>
      </w:pPr>
    </w:p>
    <w:p w:rsidR="007A321C" w:rsidRPr="006F7899" w:rsidRDefault="007A321C" w:rsidP="007A321C">
      <w:pPr>
        <w:pStyle w:val="Ttulo4"/>
        <w:numPr>
          <w:ilvl w:val="3"/>
          <w:numId w:val="30"/>
        </w:numPr>
        <w:spacing w:after="120"/>
        <w:rPr>
          <w:sz w:val="24"/>
        </w:rPr>
      </w:pPr>
      <w:bookmarkStart w:id="49" w:name="_Toc467228665"/>
      <w:bookmarkStart w:id="50" w:name="_Toc491684914"/>
      <w:r>
        <w:rPr>
          <w:sz w:val="24"/>
        </w:rPr>
        <w:t>PATRIMONIO INSTITUCIONAL ACUMULADO 2008</w:t>
      </w:r>
      <w:r w:rsidRPr="006F7899">
        <w:rPr>
          <w:sz w:val="24"/>
        </w:rPr>
        <w:t>-2016.</w:t>
      </w:r>
      <w:bookmarkEnd w:id="49"/>
      <w:bookmarkEnd w:id="50"/>
    </w:p>
    <w:p w:rsidR="007A321C" w:rsidRPr="007A321C" w:rsidRDefault="007A321C" w:rsidP="007A321C"/>
    <w:p w:rsidR="007A321C" w:rsidRPr="00C67E4F" w:rsidRDefault="007A321C" w:rsidP="00C67E4F">
      <w:pPr>
        <w:spacing w:before="200" w:line="276" w:lineRule="auto"/>
        <w:jc w:val="both"/>
        <w:rPr>
          <w:rFonts w:ascii="Century Gothic" w:eastAsia="Calibri" w:hAnsi="Century Gothic"/>
        </w:rPr>
      </w:pPr>
      <w:r w:rsidRPr="00C67E4F">
        <w:rPr>
          <w:rFonts w:ascii="Century Gothic" w:eastAsia="Calibri" w:hAnsi="Century Gothic"/>
        </w:rPr>
        <w:t>El detalle que muestra el Estado de Composición y Cambios del Patrimonio del ISBM,  expresa una gestión administrativa muy positiva, debido al crecimiento obtenido a partir de su creación como entidad autónoma; en su composición se aprecia que existe un afincamiento en la consolidación de la infraestructura para el funcionamiento</w:t>
      </w:r>
      <w:r w:rsidR="00B83F3A">
        <w:rPr>
          <w:rFonts w:ascii="Century Gothic" w:eastAsia="Calibri" w:hAnsi="Century Gothic"/>
        </w:rPr>
        <w:t>,</w:t>
      </w:r>
      <w:r w:rsidRPr="00C67E4F">
        <w:rPr>
          <w:rFonts w:ascii="Century Gothic" w:eastAsia="Calibri" w:hAnsi="Century Gothic"/>
        </w:rPr>
        <w:t xml:space="preserve"> tanto para otorgar el servicio de salud, como para las diferentes áreas de apoyo administrativo que coadyuvan a que el Instituto haga posible la prestación de los servicios que le señala la Ley. </w:t>
      </w:r>
      <w:r w:rsidR="00C67E4F">
        <w:rPr>
          <w:rFonts w:ascii="Century Gothic" w:eastAsia="Calibri" w:hAnsi="Century Gothic"/>
        </w:rPr>
        <w:t>Detalle a continuación:</w:t>
      </w:r>
    </w:p>
    <w:p w:rsidR="007A321C" w:rsidRPr="00F81EBF" w:rsidRDefault="007A321C" w:rsidP="00C67E4F">
      <w:pPr>
        <w:spacing w:before="200" w:line="276" w:lineRule="auto"/>
        <w:jc w:val="both"/>
      </w:pPr>
    </w:p>
    <w:p w:rsidR="007A321C" w:rsidRDefault="007A321C" w:rsidP="007A321C">
      <w:pPr>
        <w:spacing w:before="200" w:line="276" w:lineRule="auto"/>
        <w:jc w:val="both"/>
        <w:rPr>
          <w:noProof/>
          <w:lang w:eastAsia="es-SV"/>
        </w:rPr>
      </w:pPr>
      <w:r w:rsidRPr="00E012A0">
        <w:rPr>
          <w:noProof/>
          <w:lang w:eastAsia="es-SV"/>
        </w:rPr>
        <w:drawing>
          <wp:inline distT="0" distB="0" distL="0" distR="0">
            <wp:extent cx="6118607" cy="21717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33065" cy="2176832"/>
                    </a:xfrm>
                    <a:prstGeom prst="rect">
                      <a:avLst/>
                    </a:prstGeom>
                    <a:noFill/>
                    <a:ln>
                      <a:noFill/>
                    </a:ln>
                  </pic:spPr>
                </pic:pic>
              </a:graphicData>
            </a:graphic>
          </wp:inline>
        </w:drawing>
      </w:r>
    </w:p>
    <w:p w:rsidR="007A321C" w:rsidRPr="00740CEA" w:rsidRDefault="007A321C" w:rsidP="007A321C">
      <w:pPr>
        <w:pStyle w:val="Default"/>
        <w:rPr>
          <w:rFonts w:ascii="Century Gothic" w:hAnsi="Century Gothic"/>
          <w:sz w:val="16"/>
          <w:szCs w:val="16"/>
        </w:rPr>
      </w:pPr>
      <w:r w:rsidRPr="000A316B">
        <w:rPr>
          <w:rFonts w:ascii="Century Gothic" w:hAnsi="Century Gothic"/>
          <w:sz w:val="12"/>
          <w:szCs w:val="12"/>
        </w:rPr>
        <w:t>Fuente: Unidad Financiera Institucional</w:t>
      </w:r>
      <w:r>
        <w:rPr>
          <w:rFonts w:ascii="Century Gothic" w:hAnsi="Century Gothic"/>
          <w:sz w:val="16"/>
          <w:szCs w:val="16"/>
        </w:rPr>
        <w:t>.</w:t>
      </w:r>
    </w:p>
    <w:p w:rsidR="007A321C" w:rsidRDefault="007A321C" w:rsidP="007A321C">
      <w:pPr>
        <w:rPr>
          <w:rFonts w:ascii="Century Gothic" w:hAnsi="Century Gothic"/>
        </w:rPr>
      </w:pPr>
    </w:p>
    <w:p w:rsidR="007A321C" w:rsidRDefault="007A321C" w:rsidP="007A321C">
      <w:pPr>
        <w:rPr>
          <w:rFonts w:ascii="Century Gothic" w:hAnsi="Century Gothic"/>
        </w:rPr>
      </w:pPr>
    </w:p>
    <w:p w:rsidR="007A321C" w:rsidRDefault="007A321C" w:rsidP="007A321C">
      <w:pPr>
        <w:rPr>
          <w:rFonts w:ascii="Century Gothic" w:hAnsi="Century Gothic"/>
        </w:rPr>
      </w:pPr>
    </w:p>
    <w:p w:rsidR="007A321C" w:rsidRDefault="007A321C" w:rsidP="007A321C">
      <w:pPr>
        <w:pStyle w:val="Ttulo4"/>
        <w:numPr>
          <w:ilvl w:val="3"/>
          <w:numId w:val="30"/>
        </w:numPr>
        <w:spacing w:after="120"/>
        <w:rPr>
          <w:sz w:val="24"/>
        </w:rPr>
      </w:pPr>
      <w:bookmarkStart w:id="51" w:name="_Toc467228666"/>
      <w:bookmarkStart w:id="52" w:name="_Toc491684915"/>
      <w:r w:rsidRPr="007A3E06">
        <w:rPr>
          <w:sz w:val="24"/>
        </w:rPr>
        <w:t>PRODUCTOS FINANCIEROS OBTENIDOS POR INVERSIONES</w:t>
      </w:r>
      <w:bookmarkEnd w:id="51"/>
      <w:bookmarkEnd w:id="52"/>
    </w:p>
    <w:p w:rsidR="007A321C" w:rsidRPr="000A316B" w:rsidRDefault="007A321C" w:rsidP="008A6904">
      <w:pPr>
        <w:spacing w:before="200" w:line="276" w:lineRule="auto"/>
        <w:jc w:val="both"/>
        <w:rPr>
          <w:rFonts w:ascii="Century Gothic" w:eastAsia="Calibri" w:hAnsi="Century Gothic"/>
        </w:rPr>
      </w:pPr>
      <w:r w:rsidRPr="000A316B">
        <w:rPr>
          <w:rFonts w:ascii="Century Gothic" w:eastAsia="Calibri" w:hAnsi="Century Gothic"/>
        </w:rPr>
        <w:t>El ISBM ejecuta sus inversiones financieras de conformidad a un Reglamento de Inversiones, a través de un Comité creado para tal efecto y la Presidencia del Instituto, delegado éste último por el Consejo Directivo. Anualmente se define una Política de Inversión cuya vigencia es del 1 de enero al 31 de diciembre, la cual se plasma en el Plan Anual de Inversiones; la gestión es positiva debido a los niveles de rentabilidad obtenida</w:t>
      </w:r>
      <w:r w:rsidR="00B83F3A" w:rsidRPr="000A316B">
        <w:rPr>
          <w:rFonts w:ascii="Century Gothic" w:eastAsia="Calibri" w:hAnsi="Century Gothic"/>
        </w:rPr>
        <w:t>,</w:t>
      </w:r>
      <w:r w:rsidRPr="000A316B">
        <w:rPr>
          <w:rFonts w:ascii="Century Gothic" w:eastAsia="Calibri" w:hAnsi="Century Gothic"/>
        </w:rPr>
        <w:t xml:space="preserve"> según detalle:  </w:t>
      </w:r>
    </w:p>
    <w:p w:rsidR="007A321C" w:rsidRPr="008A6904" w:rsidRDefault="007A321C" w:rsidP="008A6904">
      <w:pPr>
        <w:spacing w:before="200" w:line="276" w:lineRule="auto"/>
        <w:jc w:val="both"/>
        <w:rPr>
          <w:rFonts w:ascii="Century Gothic" w:eastAsia="Calibri" w:hAnsi="Century Gothic"/>
        </w:rPr>
      </w:pPr>
    </w:p>
    <w:tbl>
      <w:tblPr>
        <w:tblW w:w="7655" w:type="dxa"/>
        <w:jc w:val="center"/>
        <w:tblCellMar>
          <w:left w:w="70" w:type="dxa"/>
          <w:right w:w="70" w:type="dxa"/>
        </w:tblCellMar>
        <w:tblLook w:val="04A0" w:firstRow="1" w:lastRow="0" w:firstColumn="1" w:lastColumn="0" w:noHBand="0" w:noVBand="1"/>
      </w:tblPr>
      <w:tblGrid>
        <w:gridCol w:w="4456"/>
        <w:gridCol w:w="3199"/>
      </w:tblGrid>
      <w:tr w:rsidR="007A321C" w:rsidRPr="0036587D" w:rsidTr="008E38C6">
        <w:trPr>
          <w:trHeight w:val="471"/>
          <w:jc w:val="center"/>
        </w:trPr>
        <w:tc>
          <w:tcPr>
            <w:tcW w:w="765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A321C" w:rsidRPr="0036587D" w:rsidRDefault="007A321C" w:rsidP="00896BCB">
            <w:pPr>
              <w:jc w:val="center"/>
              <w:rPr>
                <w:rFonts w:ascii="Cambria" w:eastAsia="Times New Roman" w:hAnsi="Cambria"/>
                <w:b/>
                <w:bCs/>
                <w:color w:val="000000"/>
                <w:lang w:eastAsia="es-SV"/>
              </w:rPr>
            </w:pPr>
            <w:r w:rsidRPr="0036587D">
              <w:rPr>
                <w:rFonts w:ascii="Cambria" w:eastAsia="Times New Roman" w:hAnsi="Cambria"/>
                <w:b/>
                <w:bCs/>
                <w:color w:val="000000"/>
                <w:lang w:eastAsia="es-SV"/>
              </w:rPr>
              <w:t xml:space="preserve">PRODUCTOS FINANCIEROS OBTENIDOS POR INVERSIONES PERIODO 2009 </w:t>
            </w:r>
            <w:r>
              <w:rPr>
                <w:rFonts w:ascii="Cambria" w:eastAsia="Times New Roman" w:hAnsi="Cambria"/>
                <w:b/>
                <w:bCs/>
                <w:color w:val="000000"/>
                <w:lang w:eastAsia="es-SV"/>
              </w:rPr>
              <w:t xml:space="preserve">– JULIO </w:t>
            </w:r>
            <w:r w:rsidRPr="0036587D">
              <w:rPr>
                <w:rFonts w:ascii="Cambria" w:eastAsia="Times New Roman" w:hAnsi="Cambria"/>
                <w:b/>
                <w:bCs/>
                <w:color w:val="000000"/>
                <w:lang w:eastAsia="es-SV"/>
              </w:rPr>
              <w:t xml:space="preserve"> 201</w:t>
            </w:r>
            <w:r>
              <w:rPr>
                <w:rFonts w:ascii="Cambria" w:eastAsia="Times New Roman" w:hAnsi="Cambria"/>
                <w:b/>
                <w:bCs/>
                <w:color w:val="000000"/>
                <w:lang w:eastAsia="es-SV"/>
              </w:rPr>
              <w:t>7</w:t>
            </w:r>
          </w:p>
        </w:tc>
      </w:tr>
      <w:tr w:rsidR="007A321C" w:rsidRPr="0036587D" w:rsidTr="008E38C6">
        <w:trPr>
          <w:trHeight w:val="509"/>
          <w:jc w:val="center"/>
        </w:trPr>
        <w:tc>
          <w:tcPr>
            <w:tcW w:w="7655" w:type="dxa"/>
            <w:gridSpan w:val="2"/>
            <w:vMerge/>
            <w:tcBorders>
              <w:top w:val="single" w:sz="4" w:space="0" w:color="auto"/>
              <w:left w:val="single" w:sz="4" w:space="0" w:color="auto"/>
              <w:bottom w:val="single" w:sz="4" w:space="0" w:color="000000"/>
              <w:right w:val="single" w:sz="4" w:space="0" w:color="000000"/>
            </w:tcBorders>
            <w:vAlign w:val="center"/>
            <w:hideMark/>
          </w:tcPr>
          <w:p w:rsidR="007A321C" w:rsidRPr="0036587D" w:rsidRDefault="007A321C" w:rsidP="00896BCB">
            <w:pPr>
              <w:rPr>
                <w:rFonts w:ascii="Cambria" w:eastAsia="Times New Roman" w:hAnsi="Cambria"/>
                <w:b/>
                <w:bCs/>
                <w:color w:val="000000"/>
                <w:lang w:eastAsia="es-SV"/>
              </w:rPr>
            </w:pPr>
          </w:p>
        </w:tc>
      </w:tr>
      <w:tr w:rsidR="007A321C" w:rsidRPr="0036587D" w:rsidTr="008E38C6">
        <w:trPr>
          <w:trHeight w:val="542"/>
          <w:jc w:val="center"/>
        </w:trPr>
        <w:tc>
          <w:tcPr>
            <w:tcW w:w="4456" w:type="dxa"/>
            <w:tcBorders>
              <w:top w:val="nil"/>
              <w:left w:val="single" w:sz="4" w:space="0" w:color="auto"/>
              <w:bottom w:val="single" w:sz="4" w:space="0" w:color="auto"/>
              <w:right w:val="single" w:sz="4" w:space="0" w:color="auto"/>
            </w:tcBorders>
            <w:shd w:val="clear" w:color="000000" w:fill="C6EFCE"/>
            <w:noWrap/>
            <w:vAlign w:val="center"/>
            <w:hideMark/>
          </w:tcPr>
          <w:p w:rsidR="007A321C" w:rsidRPr="0036587D" w:rsidRDefault="007A321C" w:rsidP="00896BCB">
            <w:pPr>
              <w:jc w:val="center"/>
              <w:rPr>
                <w:rFonts w:eastAsia="Times New Roman"/>
                <w:color w:val="006100"/>
                <w:lang w:eastAsia="es-SV"/>
              </w:rPr>
            </w:pPr>
            <w:r w:rsidRPr="0036587D">
              <w:rPr>
                <w:rFonts w:eastAsia="Times New Roman"/>
                <w:color w:val="006100"/>
                <w:lang w:eastAsia="es-SV"/>
              </w:rPr>
              <w:t>DETALLE</w:t>
            </w:r>
          </w:p>
        </w:tc>
        <w:tc>
          <w:tcPr>
            <w:tcW w:w="3198" w:type="dxa"/>
            <w:tcBorders>
              <w:top w:val="nil"/>
              <w:left w:val="nil"/>
              <w:bottom w:val="single" w:sz="4" w:space="0" w:color="auto"/>
              <w:right w:val="single" w:sz="4" w:space="0" w:color="auto"/>
            </w:tcBorders>
            <w:shd w:val="clear" w:color="000000" w:fill="C6EFCE"/>
            <w:noWrap/>
            <w:vAlign w:val="center"/>
            <w:hideMark/>
          </w:tcPr>
          <w:p w:rsidR="007A321C" w:rsidRPr="0036587D" w:rsidRDefault="007A321C" w:rsidP="00896BCB">
            <w:pPr>
              <w:jc w:val="center"/>
              <w:rPr>
                <w:rFonts w:eastAsia="Times New Roman"/>
                <w:color w:val="006100"/>
                <w:lang w:eastAsia="es-SV"/>
              </w:rPr>
            </w:pPr>
            <w:r w:rsidRPr="0036587D">
              <w:rPr>
                <w:rFonts w:eastAsia="Times New Roman"/>
                <w:color w:val="006100"/>
                <w:lang w:eastAsia="es-SV"/>
              </w:rPr>
              <w:t xml:space="preserve">2009 </w:t>
            </w:r>
            <w:r>
              <w:rPr>
                <w:rFonts w:eastAsia="Times New Roman"/>
                <w:color w:val="006100"/>
                <w:lang w:eastAsia="es-SV"/>
              </w:rPr>
              <w:t>–</w:t>
            </w:r>
            <w:r w:rsidRPr="0036587D">
              <w:rPr>
                <w:rFonts w:eastAsia="Times New Roman"/>
                <w:color w:val="006100"/>
                <w:lang w:eastAsia="es-SV"/>
              </w:rPr>
              <w:t xml:space="preserve"> </w:t>
            </w:r>
            <w:r>
              <w:rPr>
                <w:rFonts w:eastAsia="Times New Roman"/>
                <w:color w:val="006100"/>
                <w:lang w:eastAsia="es-SV"/>
              </w:rPr>
              <w:t>Julio 2017</w:t>
            </w:r>
          </w:p>
        </w:tc>
      </w:tr>
      <w:tr w:rsidR="007A321C" w:rsidRPr="0036587D" w:rsidTr="008E38C6">
        <w:trPr>
          <w:trHeight w:val="55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7A321C" w:rsidRPr="0036587D" w:rsidRDefault="007A321C" w:rsidP="00896BCB">
            <w:pPr>
              <w:rPr>
                <w:rFonts w:ascii="Cambria" w:eastAsia="Times New Roman" w:hAnsi="Cambria"/>
                <w:color w:val="000000"/>
                <w:lang w:eastAsia="es-SV"/>
              </w:rPr>
            </w:pPr>
            <w:r w:rsidRPr="0036587D">
              <w:rPr>
                <w:rFonts w:ascii="Cambria" w:eastAsia="Times New Roman" w:hAnsi="Cambria"/>
                <w:color w:val="000000"/>
                <w:lang w:eastAsia="es-SV"/>
              </w:rPr>
              <w:t>Intereses Cuentas Bancarias</w:t>
            </w:r>
          </w:p>
        </w:tc>
        <w:tc>
          <w:tcPr>
            <w:tcW w:w="3198" w:type="dxa"/>
            <w:tcBorders>
              <w:top w:val="nil"/>
              <w:left w:val="nil"/>
              <w:bottom w:val="single" w:sz="4" w:space="0" w:color="auto"/>
              <w:right w:val="single" w:sz="4" w:space="0" w:color="auto"/>
            </w:tcBorders>
            <w:shd w:val="clear" w:color="auto" w:fill="auto"/>
            <w:noWrap/>
            <w:vAlign w:val="bottom"/>
            <w:hideMark/>
          </w:tcPr>
          <w:p w:rsidR="007A321C" w:rsidRPr="0036587D" w:rsidRDefault="007A321C" w:rsidP="00896BCB">
            <w:pPr>
              <w:jc w:val="center"/>
              <w:rPr>
                <w:rFonts w:ascii="Arial" w:eastAsia="Times New Roman" w:hAnsi="Arial" w:cs="Arial"/>
                <w:color w:val="000000"/>
                <w:lang w:eastAsia="es-SV"/>
              </w:rPr>
            </w:pPr>
            <w:r w:rsidRPr="0036587D">
              <w:rPr>
                <w:rFonts w:ascii="Arial" w:eastAsia="Times New Roman" w:hAnsi="Arial" w:cs="Arial"/>
                <w:color w:val="000000"/>
                <w:lang w:eastAsia="es-SV"/>
              </w:rPr>
              <w:t>$                   1,</w:t>
            </w:r>
            <w:r>
              <w:rPr>
                <w:rFonts w:ascii="Arial" w:eastAsia="Times New Roman" w:hAnsi="Arial" w:cs="Arial"/>
                <w:color w:val="000000"/>
                <w:lang w:eastAsia="es-SV"/>
              </w:rPr>
              <w:t>331,888.06</w:t>
            </w:r>
          </w:p>
        </w:tc>
      </w:tr>
      <w:tr w:rsidR="007A321C" w:rsidRPr="0036587D" w:rsidTr="008E38C6">
        <w:trPr>
          <w:trHeight w:val="572"/>
          <w:jc w:val="center"/>
        </w:trPr>
        <w:tc>
          <w:tcPr>
            <w:tcW w:w="4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321C" w:rsidRPr="0036587D" w:rsidRDefault="007A321C" w:rsidP="00896BCB">
            <w:pPr>
              <w:rPr>
                <w:rFonts w:ascii="Cambria" w:eastAsia="Times New Roman" w:hAnsi="Cambria"/>
                <w:color w:val="000000"/>
                <w:lang w:eastAsia="es-SV"/>
              </w:rPr>
            </w:pPr>
            <w:r w:rsidRPr="0036587D">
              <w:rPr>
                <w:rFonts w:ascii="Cambria" w:eastAsia="Times New Roman" w:hAnsi="Cambria"/>
                <w:color w:val="000000"/>
                <w:lang w:eastAsia="es-SV"/>
              </w:rPr>
              <w:t>Rentabilidad Depósitos a Plazo</w:t>
            </w:r>
          </w:p>
        </w:tc>
        <w:tc>
          <w:tcPr>
            <w:tcW w:w="3198" w:type="dxa"/>
            <w:tcBorders>
              <w:top w:val="single" w:sz="4" w:space="0" w:color="auto"/>
              <w:left w:val="nil"/>
              <w:bottom w:val="single" w:sz="4" w:space="0" w:color="auto"/>
              <w:right w:val="single" w:sz="4" w:space="0" w:color="auto"/>
            </w:tcBorders>
            <w:shd w:val="clear" w:color="auto" w:fill="auto"/>
            <w:noWrap/>
            <w:vAlign w:val="bottom"/>
            <w:hideMark/>
          </w:tcPr>
          <w:p w:rsidR="007A321C" w:rsidRPr="0036587D" w:rsidRDefault="007A321C" w:rsidP="00896BCB">
            <w:pPr>
              <w:jc w:val="center"/>
              <w:rPr>
                <w:rFonts w:ascii="Arial" w:eastAsia="Times New Roman" w:hAnsi="Arial" w:cs="Arial"/>
                <w:color w:val="000000"/>
                <w:lang w:eastAsia="es-SV"/>
              </w:rPr>
            </w:pPr>
            <w:r>
              <w:rPr>
                <w:rFonts w:ascii="Arial" w:eastAsia="Times New Roman" w:hAnsi="Arial" w:cs="Arial"/>
                <w:color w:val="000000"/>
                <w:lang w:eastAsia="es-SV"/>
              </w:rPr>
              <w:t>$                   8,613,986.13</w:t>
            </w:r>
          </w:p>
        </w:tc>
      </w:tr>
      <w:tr w:rsidR="007A321C" w:rsidRPr="0036587D" w:rsidTr="008E38C6">
        <w:trPr>
          <w:trHeight w:val="553"/>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7A321C" w:rsidRPr="0036587D" w:rsidRDefault="007A321C" w:rsidP="00896BCB">
            <w:pPr>
              <w:rPr>
                <w:rFonts w:ascii="Cambria" w:eastAsia="Times New Roman" w:hAnsi="Cambria"/>
                <w:color w:val="000000"/>
                <w:lang w:eastAsia="es-SV"/>
              </w:rPr>
            </w:pPr>
            <w:r w:rsidRPr="0036587D">
              <w:rPr>
                <w:rFonts w:ascii="Cambria" w:eastAsia="Times New Roman" w:hAnsi="Cambria"/>
                <w:color w:val="000000"/>
                <w:lang w:eastAsia="es-SV"/>
              </w:rPr>
              <w:t>Rentabilidad Financiera de Bonos+LETES</w:t>
            </w:r>
          </w:p>
        </w:tc>
        <w:tc>
          <w:tcPr>
            <w:tcW w:w="3198" w:type="dxa"/>
            <w:tcBorders>
              <w:top w:val="nil"/>
              <w:left w:val="nil"/>
              <w:bottom w:val="single" w:sz="4" w:space="0" w:color="auto"/>
              <w:right w:val="single" w:sz="4" w:space="0" w:color="auto"/>
            </w:tcBorders>
            <w:shd w:val="clear" w:color="auto" w:fill="auto"/>
            <w:noWrap/>
            <w:vAlign w:val="bottom"/>
            <w:hideMark/>
          </w:tcPr>
          <w:p w:rsidR="007A321C" w:rsidRPr="0036587D" w:rsidRDefault="007A321C" w:rsidP="00896BCB">
            <w:pPr>
              <w:jc w:val="center"/>
              <w:rPr>
                <w:rFonts w:ascii="Arial" w:eastAsia="Times New Roman" w:hAnsi="Arial" w:cs="Arial"/>
                <w:color w:val="000000"/>
                <w:lang w:eastAsia="es-SV"/>
              </w:rPr>
            </w:pPr>
            <w:r w:rsidRPr="0036587D">
              <w:rPr>
                <w:rFonts w:ascii="Arial" w:eastAsia="Times New Roman" w:hAnsi="Arial" w:cs="Arial"/>
                <w:color w:val="000000"/>
                <w:lang w:eastAsia="es-SV"/>
              </w:rPr>
              <w:t xml:space="preserve">$                   </w:t>
            </w:r>
            <w:r>
              <w:rPr>
                <w:rFonts w:ascii="Arial" w:eastAsia="Times New Roman" w:hAnsi="Arial" w:cs="Arial"/>
                <w:color w:val="000000"/>
                <w:lang w:eastAsia="es-SV"/>
              </w:rPr>
              <w:t>10,359,394.32</w:t>
            </w:r>
          </w:p>
        </w:tc>
      </w:tr>
      <w:tr w:rsidR="007A321C" w:rsidRPr="0036587D" w:rsidTr="008E38C6">
        <w:trPr>
          <w:trHeight w:val="603"/>
          <w:jc w:val="center"/>
        </w:trPr>
        <w:tc>
          <w:tcPr>
            <w:tcW w:w="4456" w:type="dxa"/>
            <w:tcBorders>
              <w:top w:val="nil"/>
              <w:left w:val="single" w:sz="4" w:space="0" w:color="auto"/>
              <w:bottom w:val="double" w:sz="6" w:space="0" w:color="auto"/>
              <w:right w:val="single" w:sz="4" w:space="0" w:color="auto"/>
            </w:tcBorders>
            <w:shd w:val="clear" w:color="000000" w:fill="C6EFCE"/>
            <w:noWrap/>
            <w:vAlign w:val="bottom"/>
            <w:hideMark/>
          </w:tcPr>
          <w:p w:rsidR="007A321C" w:rsidRPr="0036587D" w:rsidRDefault="007A321C" w:rsidP="00896BCB">
            <w:pPr>
              <w:rPr>
                <w:rFonts w:eastAsia="Times New Roman"/>
                <w:color w:val="006100"/>
                <w:lang w:eastAsia="es-SV"/>
              </w:rPr>
            </w:pPr>
            <w:r w:rsidRPr="0036587D">
              <w:rPr>
                <w:rFonts w:eastAsia="Times New Roman"/>
                <w:color w:val="006100"/>
                <w:lang w:eastAsia="es-SV"/>
              </w:rPr>
              <w:t>TOTAL</w:t>
            </w:r>
          </w:p>
        </w:tc>
        <w:tc>
          <w:tcPr>
            <w:tcW w:w="3198" w:type="dxa"/>
            <w:tcBorders>
              <w:top w:val="nil"/>
              <w:left w:val="nil"/>
              <w:bottom w:val="double" w:sz="6" w:space="0" w:color="auto"/>
              <w:right w:val="single" w:sz="4" w:space="0" w:color="auto"/>
            </w:tcBorders>
            <w:shd w:val="clear" w:color="000000" w:fill="C6EFCE"/>
            <w:noWrap/>
            <w:vAlign w:val="bottom"/>
            <w:hideMark/>
          </w:tcPr>
          <w:p w:rsidR="007A321C" w:rsidRPr="0036587D" w:rsidRDefault="007A321C" w:rsidP="00896BCB">
            <w:pPr>
              <w:jc w:val="center"/>
              <w:rPr>
                <w:rFonts w:ascii="Arial" w:eastAsia="Times New Roman" w:hAnsi="Arial" w:cs="Arial"/>
                <w:color w:val="006100"/>
                <w:lang w:eastAsia="es-SV"/>
              </w:rPr>
            </w:pPr>
            <w:r w:rsidRPr="0036587D">
              <w:rPr>
                <w:rFonts w:ascii="Arial" w:eastAsia="Times New Roman" w:hAnsi="Arial" w:cs="Arial"/>
                <w:color w:val="006100"/>
                <w:lang w:eastAsia="es-SV"/>
              </w:rPr>
              <w:t>$</w:t>
            </w:r>
            <w:r>
              <w:rPr>
                <w:rFonts w:ascii="Arial" w:eastAsia="Times New Roman" w:hAnsi="Arial" w:cs="Arial"/>
                <w:color w:val="006100"/>
                <w:lang w:eastAsia="es-SV"/>
              </w:rPr>
              <w:t xml:space="preserve">      </w:t>
            </w:r>
            <w:r w:rsidRPr="0036587D">
              <w:rPr>
                <w:rFonts w:ascii="Arial" w:eastAsia="Times New Roman" w:hAnsi="Arial" w:cs="Arial"/>
                <w:color w:val="006100"/>
                <w:lang w:eastAsia="es-SV"/>
              </w:rPr>
              <w:t xml:space="preserve">           </w:t>
            </w:r>
            <w:r>
              <w:rPr>
                <w:rFonts w:ascii="Arial" w:eastAsia="Times New Roman" w:hAnsi="Arial" w:cs="Arial"/>
                <w:color w:val="006100"/>
                <w:lang w:eastAsia="es-SV"/>
              </w:rPr>
              <w:t>20,305,268.51</w:t>
            </w:r>
          </w:p>
        </w:tc>
      </w:tr>
      <w:tr w:rsidR="007A321C" w:rsidRPr="0036587D" w:rsidTr="008E38C6">
        <w:trPr>
          <w:trHeight w:val="309"/>
          <w:jc w:val="center"/>
        </w:trPr>
        <w:tc>
          <w:tcPr>
            <w:tcW w:w="7655" w:type="dxa"/>
            <w:gridSpan w:val="2"/>
            <w:tcBorders>
              <w:top w:val="double" w:sz="6" w:space="0" w:color="auto"/>
              <w:bottom w:val="nil"/>
              <w:right w:val="nil"/>
            </w:tcBorders>
            <w:shd w:val="clear" w:color="auto" w:fill="auto"/>
            <w:noWrap/>
            <w:vAlign w:val="center"/>
            <w:hideMark/>
          </w:tcPr>
          <w:p w:rsidR="007A321C" w:rsidRPr="0046730F" w:rsidRDefault="007A321C" w:rsidP="00896BCB">
            <w:pPr>
              <w:jc w:val="center"/>
              <w:rPr>
                <w:rFonts w:ascii="Cambria" w:eastAsia="Times New Roman" w:hAnsi="Cambria"/>
                <w:color w:val="000000"/>
                <w:sz w:val="20"/>
                <w:szCs w:val="20"/>
                <w:lang w:eastAsia="es-SV"/>
              </w:rPr>
            </w:pPr>
            <w:r w:rsidRPr="0046730F">
              <w:rPr>
                <w:rFonts w:ascii="Cambria" w:eastAsia="Times New Roman" w:hAnsi="Cambria"/>
                <w:color w:val="000000"/>
                <w:sz w:val="20"/>
                <w:szCs w:val="20"/>
                <w:lang w:eastAsia="es-SV"/>
              </w:rPr>
              <w:t>Fuente: Estados de Ejecución Presupuestaria de Ingresos  SAFI 2009-JULIO 2017</w:t>
            </w:r>
          </w:p>
        </w:tc>
      </w:tr>
    </w:tbl>
    <w:p w:rsidR="007A321C" w:rsidRPr="0070397C" w:rsidRDefault="007A321C" w:rsidP="007A321C">
      <w:pPr>
        <w:rPr>
          <w:rFonts w:ascii="Century Gothic" w:hAnsi="Century Gothic"/>
          <w:b/>
          <w:i/>
          <w:color w:val="355BA9"/>
          <w:sz w:val="24"/>
          <w:szCs w:val="24"/>
        </w:rPr>
      </w:pPr>
    </w:p>
    <w:p w:rsidR="007A321C" w:rsidRDefault="007A321C" w:rsidP="007A321C">
      <w:pPr>
        <w:rPr>
          <w:rFonts w:ascii="Century Gothic" w:hAnsi="Century Gothic"/>
          <w:b/>
          <w:i/>
          <w:color w:val="355BA9"/>
          <w:sz w:val="24"/>
          <w:szCs w:val="24"/>
        </w:rPr>
      </w:pPr>
    </w:p>
    <w:p w:rsidR="007A321C" w:rsidRDefault="007A321C" w:rsidP="007A321C">
      <w:pPr>
        <w:pStyle w:val="Ttulo4"/>
        <w:numPr>
          <w:ilvl w:val="3"/>
          <w:numId w:val="30"/>
        </w:numPr>
        <w:spacing w:after="120"/>
        <w:rPr>
          <w:sz w:val="24"/>
        </w:rPr>
      </w:pPr>
      <w:bookmarkStart w:id="53" w:name="_Toc467228667"/>
      <w:bookmarkStart w:id="54" w:name="_Toc491684916"/>
      <w:r w:rsidRPr="00B04513">
        <w:rPr>
          <w:sz w:val="24"/>
        </w:rPr>
        <w:t xml:space="preserve">TRANSFERENCIAS </w:t>
      </w:r>
      <w:r>
        <w:rPr>
          <w:sz w:val="24"/>
        </w:rPr>
        <w:t xml:space="preserve">DE IMPUESTOS AL MINISTERIO DE </w:t>
      </w:r>
      <w:r w:rsidRPr="00B04513">
        <w:rPr>
          <w:sz w:val="24"/>
        </w:rPr>
        <w:t>HACIENDA</w:t>
      </w:r>
      <w:bookmarkEnd w:id="53"/>
      <w:bookmarkEnd w:id="54"/>
    </w:p>
    <w:p w:rsidR="00C67E4F" w:rsidRDefault="00C67E4F" w:rsidP="00C67E4F"/>
    <w:p w:rsidR="00C67E4F" w:rsidRPr="000A316B" w:rsidRDefault="00B83F3A" w:rsidP="008A6904">
      <w:pPr>
        <w:spacing w:before="200" w:line="276" w:lineRule="auto"/>
        <w:jc w:val="both"/>
        <w:rPr>
          <w:rFonts w:ascii="Century Gothic" w:eastAsia="Calibri" w:hAnsi="Century Gothic"/>
        </w:rPr>
      </w:pPr>
      <w:r w:rsidRPr="000A316B">
        <w:rPr>
          <w:rFonts w:ascii="Century Gothic" w:eastAsia="Calibri" w:hAnsi="Century Gothic"/>
        </w:rPr>
        <w:t>E</w:t>
      </w:r>
      <w:r w:rsidR="00C67E4F" w:rsidRPr="000A316B">
        <w:rPr>
          <w:rFonts w:ascii="Century Gothic" w:eastAsia="Calibri" w:hAnsi="Century Gothic"/>
        </w:rPr>
        <w:t>n su calidad de agente de retención,</w:t>
      </w:r>
      <w:r w:rsidRPr="000A316B">
        <w:rPr>
          <w:rFonts w:ascii="Century Gothic" w:eastAsia="Calibri" w:hAnsi="Century Gothic"/>
        </w:rPr>
        <w:t xml:space="preserve"> el ISBM</w:t>
      </w:r>
      <w:r w:rsidR="00C67E4F" w:rsidRPr="000A316B">
        <w:rPr>
          <w:rFonts w:ascii="Century Gothic" w:eastAsia="Calibri" w:hAnsi="Century Gothic"/>
        </w:rPr>
        <w:t xml:space="preserve"> ha remitido al Ministerio de Hacienda, en el período que cuenta del mes de junio de 2016 a julio de 2017, la cantidad de </w:t>
      </w:r>
      <w:r w:rsidR="00B738C0" w:rsidRPr="000A316B">
        <w:rPr>
          <w:rFonts w:ascii="Century Gothic" w:eastAsia="Calibri" w:hAnsi="Century Gothic"/>
        </w:rPr>
        <w:t xml:space="preserve">US </w:t>
      </w:r>
      <w:r w:rsidRPr="000A316B">
        <w:rPr>
          <w:rFonts w:ascii="Century Gothic" w:eastAsia="Calibri" w:hAnsi="Century Gothic"/>
        </w:rPr>
        <w:t>$1,473,364.20</w:t>
      </w:r>
      <w:r w:rsidR="00C67E4F" w:rsidRPr="000A316B">
        <w:rPr>
          <w:rFonts w:ascii="Century Gothic" w:eastAsia="Calibri" w:hAnsi="Century Gothic"/>
        </w:rPr>
        <w:t>, en los conceptos de Retenciones del 1% de IVA e Impuesto sobre la Renta de proveedores de Bienes y Servicios, así como de empleados, según detalle:</w:t>
      </w:r>
    </w:p>
    <w:tbl>
      <w:tblPr>
        <w:tblW w:w="6691" w:type="dxa"/>
        <w:jc w:val="center"/>
        <w:tblCellMar>
          <w:left w:w="70" w:type="dxa"/>
          <w:right w:w="70" w:type="dxa"/>
        </w:tblCellMar>
        <w:tblLook w:val="04A0" w:firstRow="1" w:lastRow="0" w:firstColumn="1" w:lastColumn="0" w:noHBand="0" w:noVBand="1"/>
      </w:tblPr>
      <w:tblGrid>
        <w:gridCol w:w="7544"/>
      </w:tblGrid>
      <w:tr w:rsidR="007A321C" w:rsidRPr="00706990" w:rsidTr="00896BCB">
        <w:trPr>
          <w:trHeight w:val="623"/>
          <w:jc w:val="center"/>
        </w:trPr>
        <w:tc>
          <w:tcPr>
            <w:tcW w:w="6691" w:type="dxa"/>
            <w:tcBorders>
              <w:top w:val="nil"/>
              <w:left w:val="nil"/>
              <w:bottom w:val="nil"/>
              <w:right w:val="nil"/>
            </w:tcBorders>
            <w:shd w:val="clear" w:color="auto" w:fill="auto"/>
            <w:vAlign w:val="bottom"/>
            <w:hideMark/>
          </w:tcPr>
          <w:p w:rsidR="007A321C" w:rsidRDefault="007A321C" w:rsidP="00896BCB">
            <w:pPr>
              <w:jc w:val="both"/>
            </w:pPr>
          </w:p>
          <w:p w:rsidR="00C67E4F" w:rsidRPr="00686F33" w:rsidRDefault="00C67E4F" w:rsidP="00896BCB">
            <w:pPr>
              <w:jc w:val="both"/>
            </w:pPr>
          </w:p>
          <w:tbl>
            <w:tblPr>
              <w:tblW w:w="7404" w:type="dxa"/>
              <w:tblCellMar>
                <w:left w:w="70" w:type="dxa"/>
                <w:right w:w="70" w:type="dxa"/>
              </w:tblCellMar>
              <w:tblLook w:val="04A0" w:firstRow="1" w:lastRow="0" w:firstColumn="1" w:lastColumn="0" w:noHBand="0" w:noVBand="1"/>
            </w:tblPr>
            <w:tblGrid>
              <w:gridCol w:w="5376"/>
              <w:gridCol w:w="2028"/>
            </w:tblGrid>
            <w:tr w:rsidR="007A321C" w:rsidRPr="00686F33" w:rsidTr="00896BCB">
              <w:trPr>
                <w:trHeight w:val="623"/>
              </w:trPr>
              <w:tc>
                <w:tcPr>
                  <w:tcW w:w="7404" w:type="dxa"/>
                  <w:gridSpan w:val="2"/>
                  <w:tcBorders>
                    <w:top w:val="nil"/>
                    <w:left w:val="nil"/>
                    <w:bottom w:val="nil"/>
                    <w:right w:val="nil"/>
                  </w:tcBorders>
                  <w:shd w:val="clear" w:color="auto" w:fill="auto"/>
                  <w:vAlign w:val="bottom"/>
                  <w:hideMark/>
                </w:tcPr>
                <w:p w:rsidR="005A6442" w:rsidRDefault="007A321C" w:rsidP="00896BCB">
                  <w:pPr>
                    <w:jc w:val="center"/>
                  </w:pPr>
                  <w:r w:rsidRPr="00686F33">
                    <w:t xml:space="preserve">IMPUESTOS REMITIDOS AL MINISTERIO DE HACIENDA </w:t>
                  </w:r>
                </w:p>
                <w:p w:rsidR="007A321C" w:rsidRPr="00686F33" w:rsidRDefault="007A321C" w:rsidP="00896BCB">
                  <w:pPr>
                    <w:jc w:val="center"/>
                  </w:pPr>
                  <w:r w:rsidRPr="00686F33">
                    <w:t>DE JUNIO 2016 A JULIO 2017</w:t>
                  </w:r>
                </w:p>
              </w:tc>
            </w:tr>
            <w:tr w:rsidR="007A321C" w:rsidRPr="00686F33" w:rsidTr="004D658F">
              <w:trPr>
                <w:trHeight w:val="255"/>
              </w:trPr>
              <w:tc>
                <w:tcPr>
                  <w:tcW w:w="5376" w:type="dxa"/>
                  <w:tcBorders>
                    <w:top w:val="nil"/>
                    <w:left w:val="nil"/>
                    <w:bottom w:val="nil"/>
                    <w:right w:val="nil"/>
                  </w:tcBorders>
                  <w:shd w:val="clear" w:color="auto" w:fill="auto"/>
                  <w:noWrap/>
                  <w:vAlign w:val="bottom"/>
                  <w:hideMark/>
                </w:tcPr>
                <w:p w:rsidR="007A321C" w:rsidRPr="00686F33" w:rsidRDefault="007A321C" w:rsidP="00896BCB">
                  <w:pPr>
                    <w:jc w:val="center"/>
                  </w:pPr>
                </w:p>
              </w:tc>
              <w:tc>
                <w:tcPr>
                  <w:tcW w:w="2028" w:type="dxa"/>
                  <w:tcBorders>
                    <w:top w:val="nil"/>
                    <w:left w:val="nil"/>
                    <w:bottom w:val="nil"/>
                    <w:right w:val="nil"/>
                  </w:tcBorders>
                  <w:shd w:val="clear" w:color="auto" w:fill="auto"/>
                  <w:noWrap/>
                  <w:vAlign w:val="bottom"/>
                  <w:hideMark/>
                </w:tcPr>
                <w:p w:rsidR="007A321C" w:rsidRPr="00686F33" w:rsidRDefault="007A321C" w:rsidP="00896BCB"/>
              </w:tc>
            </w:tr>
            <w:tr w:rsidR="007A321C" w:rsidRPr="00686F33" w:rsidTr="00896BCB">
              <w:trPr>
                <w:trHeight w:val="255"/>
              </w:trPr>
              <w:tc>
                <w:tcPr>
                  <w:tcW w:w="7404" w:type="dxa"/>
                  <w:gridSpan w:val="2"/>
                  <w:tcBorders>
                    <w:top w:val="single" w:sz="4" w:space="0" w:color="auto"/>
                    <w:left w:val="single" w:sz="4" w:space="0" w:color="auto"/>
                    <w:bottom w:val="single" w:sz="4" w:space="0" w:color="auto"/>
                    <w:right w:val="single" w:sz="4" w:space="0" w:color="000000"/>
                  </w:tcBorders>
                  <w:shd w:val="clear" w:color="000000" w:fill="FCD5B4"/>
                  <w:noWrap/>
                  <w:vAlign w:val="bottom"/>
                  <w:hideMark/>
                </w:tcPr>
                <w:p w:rsidR="007A321C" w:rsidRPr="00686F33" w:rsidRDefault="007A321C" w:rsidP="00896BCB">
                  <w:pPr>
                    <w:jc w:val="center"/>
                  </w:pPr>
                  <w:r w:rsidRPr="00686F33">
                    <w:t xml:space="preserve">RETENCIONES IVA </w:t>
                  </w:r>
                </w:p>
              </w:tc>
            </w:tr>
            <w:tr w:rsidR="007A321C" w:rsidRPr="00686F33" w:rsidTr="004D658F">
              <w:trPr>
                <w:trHeight w:val="420"/>
              </w:trPr>
              <w:tc>
                <w:tcPr>
                  <w:tcW w:w="5376" w:type="dxa"/>
                  <w:tcBorders>
                    <w:top w:val="nil"/>
                    <w:left w:val="single" w:sz="4" w:space="0" w:color="auto"/>
                    <w:bottom w:val="single" w:sz="4" w:space="0" w:color="auto"/>
                    <w:right w:val="single" w:sz="4" w:space="0" w:color="auto"/>
                  </w:tcBorders>
                  <w:shd w:val="clear" w:color="auto" w:fill="auto"/>
                  <w:noWrap/>
                  <w:vAlign w:val="bottom"/>
                  <w:hideMark/>
                </w:tcPr>
                <w:p w:rsidR="007A321C" w:rsidRPr="00686F33" w:rsidRDefault="007A321C" w:rsidP="00896BCB">
                  <w:r w:rsidRPr="00686F33">
                    <w:t>RETENCIÓN 1% IVA</w:t>
                  </w:r>
                </w:p>
              </w:tc>
              <w:tc>
                <w:tcPr>
                  <w:tcW w:w="2028" w:type="dxa"/>
                  <w:tcBorders>
                    <w:top w:val="nil"/>
                    <w:left w:val="nil"/>
                    <w:bottom w:val="single" w:sz="4" w:space="0" w:color="auto"/>
                    <w:right w:val="single" w:sz="4" w:space="0" w:color="auto"/>
                  </w:tcBorders>
                  <w:shd w:val="clear" w:color="auto" w:fill="auto"/>
                  <w:noWrap/>
                  <w:vAlign w:val="bottom"/>
                  <w:hideMark/>
                </w:tcPr>
                <w:p w:rsidR="007A321C" w:rsidRPr="00686F33" w:rsidRDefault="007A321C" w:rsidP="00896BCB">
                  <w:pPr>
                    <w:jc w:val="right"/>
                  </w:pPr>
                  <w:r w:rsidRPr="00686F33">
                    <w:t>$306,729.22</w:t>
                  </w:r>
                </w:p>
              </w:tc>
            </w:tr>
            <w:tr w:rsidR="007A321C" w:rsidRPr="00686F33" w:rsidTr="004D658F">
              <w:trPr>
                <w:trHeight w:val="443"/>
              </w:trPr>
              <w:tc>
                <w:tcPr>
                  <w:tcW w:w="5376" w:type="dxa"/>
                  <w:tcBorders>
                    <w:top w:val="nil"/>
                    <w:left w:val="single" w:sz="4" w:space="0" w:color="auto"/>
                    <w:bottom w:val="single" w:sz="4" w:space="0" w:color="auto"/>
                    <w:right w:val="single" w:sz="4" w:space="0" w:color="auto"/>
                  </w:tcBorders>
                  <w:shd w:val="clear" w:color="000000" w:fill="F2DCDB"/>
                  <w:noWrap/>
                  <w:vAlign w:val="bottom"/>
                  <w:hideMark/>
                </w:tcPr>
                <w:p w:rsidR="007A321C" w:rsidRPr="00686F33" w:rsidRDefault="007A321C" w:rsidP="00896BCB">
                  <w:r w:rsidRPr="00686F33">
                    <w:t>TOTAL RETENCIÓN 1% IVA</w:t>
                  </w:r>
                </w:p>
              </w:tc>
              <w:tc>
                <w:tcPr>
                  <w:tcW w:w="2028" w:type="dxa"/>
                  <w:tcBorders>
                    <w:top w:val="nil"/>
                    <w:left w:val="nil"/>
                    <w:bottom w:val="single" w:sz="4" w:space="0" w:color="auto"/>
                    <w:right w:val="single" w:sz="4" w:space="0" w:color="auto"/>
                  </w:tcBorders>
                  <w:shd w:val="clear" w:color="000000" w:fill="F2DCDB"/>
                  <w:noWrap/>
                  <w:vAlign w:val="bottom"/>
                  <w:hideMark/>
                </w:tcPr>
                <w:p w:rsidR="007A321C" w:rsidRPr="00686F33" w:rsidRDefault="007A321C" w:rsidP="00896BCB">
                  <w:pPr>
                    <w:jc w:val="right"/>
                  </w:pPr>
                  <w:r w:rsidRPr="00686F33">
                    <w:t>$306,729.22</w:t>
                  </w:r>
                </w:p>
              </w:tc>
            </w:tr>
            <w:tr w:rsidR="007A321C" w:rsidRPr="00686F33" w:rsidTr="00896BCB">
              <w:trPr>
                <w:trHeight w:val="398"/>
              </w:trPr>
              <w:tc>
                <w:tcPr>
                  <w:tcW w:w="7404" w:type="dxa"/>
                  <w:gridSpan w:val="2"/>
                  <w:tcBorders>
                    <w:top w:val="single" w:sz="4" w:space="0" w:color="auto"/>
                    <w:left w:val="single" w:sz="4" w:space="0" w:color="auto"/>
                    <w:bottom w:val="single" w:sz="4" w:space="0" w:color="auto"/>
                    <w:right w:val="single" w:sz="4" w:space="0" w:color="000000"/>
                  </w:tcBorders>
                  <w:shd w:val="clear" w:color="000000" w:fill="FCD5B4"/>
                  <w:noWrap/>
                  <w:vAlign w:val="bottom"/>
                  <w:hideMark/>
                </w:tcPr>
                <w:p w:rsidR="007A321C" w:rsidRPr="00686F33" w:rsidRDefault="007A321C" w:rsidP="00896BCB">
                  <w:pPr>
                    <w:jc w:val="center"/>
                  </w:pPr>
                  <w:r w:rsidRPr="00686F33">
                    <w:t>RETENCIONES IMPUESTO SOBRE LA RENTA</w:t>
                  </w:r>
                </w:p>
              </w:tc>
            </w:tr>
            <w:tr w:rsidR="007A321C" w:rsidRPr="00686F33" w:rsidTr="004D658F">
              <w:trPr>
                <w:trHeight w:val="409"/>
              </w:trPr>
              <w:tc>
                <w:tcPr>
                  <w:tcW w:w="5376" w:type="dxa"/>
                  <w:tcBorders>
                    <w:top w:val="nil"/>
                    <w:left w:val="single" w:sz="4" w:space="0" w:color="auto"/>
                    <w:bottom w:val="single" w:sz="4" w:space="0" w:color="auto"/>
                    <w:right w:val="single" w:sz="4" w:space="0" w:color="auto"/>
                  </w:tcBorders>
                  <w:shd w:val="clear" w:color="auto" w:fill="auto"/>
                  <w:noWrap/>
                  <w:vAlign w:val="bottom"/>
                  <w:hideMark/>
                </w:tcPr>
                <w:p w:rsidR="007A321C" w:rsidRPr="00686F33" w:rsidRDefault="007A321C" w:rsidP="00896BCB">
                  <w:r w:rsidRPr="00686F33">
                    <w:t>RETENCIONES EMPLEADOS</w:t>
                  </w:r>
                </w:p>
              </w:tc>
              <w:tc>
                <w:tcPr>
                  <w:tcW w:w="2028" w:type="dxa"/>
                  <w:tcBorders>
                    <w:top w:val="nil"/>
                    <w:left w:val="nil"/>
                    <w:bottom w:val="single" w:sz="4" w:space="0" w:color="auto"/>
                    <w:right w:val="single" w:sz="4" w:space="0" w:color="auto"/>
                  </w:tcBorders>
                  <w:shd w:val="clear" w:color="auto" w:fill="auto"/>
                  <w:noWrap/>
                  <w:vAlign w:val="bottom"/>
                  <w:hideMark/>
                </w:tcPr>
                <w:p w:rsidR="007A321C" w:rsidRPr="00686F33" w:rsidRDefault="007A321C" w:rsidP="00896BCB">
                  <w:pPr>
                    <w:jc w:val="right"/>
                  </w:pPr>
                  <w:r w:rsidRPr="00686F33">
                    <w:t>$660,604.20</w:t>
                  </w:r>
                </w:p>
              </w:tc>
            </w:tr>
            <w:tr w:rsidR="007A321C" w:rsidRPr="00686F33" w:rsidTr="004D658F">
              <w:trPr>
                <w:trHeight w:val="409"/>
              </w:trPr>
              <w:tc>
                <w:tcPr>
                  <w:tcW w:w="5376" w:type="dxa"/>
                  <w:tcBorders>
                    <w:top w:val="nil"/>
                    <w:left w:val="single" w:sz="4" w:space="0" w:color="auto"/>
                    <w:bottom w:val="single" w:sz="4" w:space="0" w:color="auto"/>
                    <w:right w:val="single" w:sz="4" w:space="0" w:color="auto"/>
                  </w:tcBorders>
                  <w:shd w:val="clear" w:color="auto" w:fill="auto"/>
                  <w:noWrap/>
                  <w:vAlign w:val="bottom"/>
                  <w:hideMark/>
                </w:tcPr>
                <w:p w:rsidR="007A321C" w:rsidRPr="00686F33" w:rsidRDefault="007A321C" w:rsidP="00896BCB">
                  <w:r w:rsidRPr="00686F33">
                    <w:t>RETENCIONES SIN DEPENDENCIA LABORAL</w:t>
                  </w:r>
                </w:p>
              </w:tc>
              <w:tc>
                <w:tcPr>
                  <w:tcW w:w="2028" w:type="dxa"/>
                  <w:tcBorders>
                    <w:top w:val="nil"/>
                    <w:left w:val="nil"/>
                    <w:bottom w:val="single" w:sz="4" w:space="0" w:color="auto"/>
                    <w:right w:val="single" w:sz="4" w:space="0" w:color="auto"/>
                  </w:tcBorders>
                  <w:shd w:val="clear" w:color="auto" w:fill="auto"/>
                  <w:noWrap/>
                  <w:vAlign w:val="bottom"/>
                  <w:hideMark/>
                </w:tcPr>
                <w:p w:rsidR="007A321C" w:rsidRPr="00686F33" w:rsidRDefault="007A321C" w:rsidP="00896BCB">
                  <w:pPr>
                    <w:jc w:val="right"/>
                  </w:pPr>
                  <w:r w:rsidRPr="00686F33">
                    <w:t>$506,030.78</w:t>
                  </w:r>
                </w:p>
              </w:tc>
            </w:tr>
            <w:tr w:rsidR="007A321C" w:rsidRPr="00686F33" w:rsidTr="004D658F">
              <w:trPr>
                <w:trHeight w:val="420"/>
              </w:trPr>
              <w:tc>
                <w:tcPr>
                  <w:tcW w:w="5376" w:type="dxa"/>
                  <w:tcBorders>
                    <w:top w:val="nil"/>
                    <w:left w:val="single" w:sz="4" w:space="0" w:color="auto"/>
                    <w:bottom w:val="single" w:sz="4" w:space="0" w:color="auto"/>
                    <w:right w:val="single" w:sz="4" w:space="0" w:color="auto"/>
                  </w:tcBorders>
                  <w:shd w:val="clear" w:color="000000" w:fill="F2DCDB"/>
                  <w:noWrap/>
                  <w:vAlign w:val="bottom"/>
                  <w:hideMark/>
                </w:tcPr>
                <w:p w:rsidR="007A321C" w:rsidRPr="00686F33" w:rsidRDefault="007A321C" w:rsidP="00896BCB">
                  <w:r w:rsidRPr="00686F33">
                    <w:t>TOTAL RETENCIÓN IMPUESTO SOBRE LA RENTA</w:t>
                  </w:r>
                </w:p>
              </w:tc>
              <w:tc>
                <w:tcPr>
                  <w:tcW w:w="2028" w:type="dxa"/>
                  <w:tcBorders>
                    <w:top w:val="nil"/>
                    <w:left w:val="nil"/>
                    <w:bottom w:val="single" w:sz="4" w:space="0" w:color="auto"/>
                    <w:right w:val="single" w:sz="4" w:space="0" w:color="auto"/>
                  </w:tcBorders>
                  <w:shd w:val="clear" w:color="000000" w:fill="F2DCDB"/>
                  <w:noWrap/>
                  <w:vAlign w:val="bottom"/>
                  <w:hideMark/>
                </w:tcPr>
                <w:p w:rsidR="007A321C" w:rsidRPr="00686F33" w:rsidRDefault="007A321C" w:rsidP="00896BCB">
                  <w:pPr>
                    <w:jc w:val="right"/>
                  </w:pPr>
                  <w:r w:rsidRPr="00686F33">
                    <w:t>$1,166,634.98</w:t>
                  </w:r>
                </w:p>
              </w:tc>
            </w:tr>
            <w:tr w:rsidR="007A321C" w:rsidRPr="00686F33" w:rsidTr="004D658F">
              <w:trPr>
                <w:trHeight w:val="458"/>
              </w:trPr>
              <w:tc>
                <w:tcPr>
                  <w:tcW w:w="5376" w:type="dxa"/>
                  <w:tcBorders>
                    <w:top w:val="nil"/>
                    <w:left w:val="single" w:sz="4" w:space="0" w:color="auto"/>
                    <w:bottom w:val="single" w:sz="4" w:space="0" w:color="auto"/>
                    <w:right w:val="single" w:sz="4" w:space="0" w:color="auto"/>
                  </w:tcBorders>
                  <w:shd w:val="clear" w:color="000000" w:fill="FCD5B4"/>
                  <w:noWrap/>
                  <w:vAlign w:val="bottom"/>
                  <w:hideMark/>
                </w:tcPr>
                <w:p w:rsidR="007A321C" w:rsidRPr="00686F33" w:rsidRDefault="007A321C" w:rsidP="00896BCB">
                  <w:r w:rsidRPr="00686F33">
                    <w:t>TOTAL RETENIDO DE JUNIO 2016 A JULIO 2017</w:t>
                  </w:r>
                </w:p>
              </w:tc>
              <w:tc>
                <w:tcPr>
                  <w:tcW w:w="2028" w:type="dxa"/>
                  <w:tcBorders>
                    <w:top w:val="nil"/>
                    <w:left w:val="nil"/>
                    <w:bottom w:val="single" w:sz="4" w:space="0" w:color="auto"/>
                    <w:right w:val="single" w:sz="4" w:space="0" w:color="auto"/>
                  </w:tcBorders>
                  <w:shd w:val="clear" w:color="000000" w:fill="FCD5B4"/>
                  <w:noWrap/>
                  <w:vAlign w:val="bottom"/>
                  <w:hideMark/>
                </w:tcPr>
                <w:p w:rsidR="007A321C" w:rsidRPr="00686F33" w:rsidRDefault="007A321C" w:rsidP="00896BCB">
                  <w:pPr>
                    <w:jc w:val="right"/>
                  </w:pPr>
                  <w:r w:rsidRPr="00686F33">
                    <w:t>$1,473,364.20</w:t>
                  </w:r>
                  <w:r w:rsidR="00335C66">
                    <w:t>*</w:t>
                  </w:r>
                </w:p>
              </w:tc>
            </w:tr>
            <w:tr w:rsidR="007A321C" w:rsidRPr="00686F33" w:rsidTr="004D658F">
              <w:trPr>
                <w:trHeight w:val="255"/>
              </w:trPr>
              <w:tc>
                <w:tcPr>
                  <w:tcW w:w="5376" w:type="dxa"/>
                  <w:tcBorders>
                    <w:top w:val="nil"/>
                    <w:left w:val="nil"/>
                    <w:bottom w:val="nil"/>
                    <w:right w:val="nil"/>
                  </w:tcBorders>
                  <w:shd w:val="clear" w:color="auto" w:fill="auto"/>
                  <w:noWrap/>
                  <w:vAlign w:val="bottom"/>
                  <w:hideMark/>
                </w:tcPr>
                <w:p w:rsidR="007A321C" w:rsidRPr="00686F33" w:rsidRDefault="007A321C" w:rsidP="00896BCB">
                  <w:r w:rsidRPr="00686F33">
                    <w:t>Fuente: Departamento de Tesorería</w:t>
                  </w:r>
                </w:p>
              </w:tc>
              <w:tc>
                <w:tcPr>
                  <w:tcW w:w="2028" w:type="dxa"/>
                  <w:tcBorders>
                    <w:top w:val="nil"/>
                    <w:left w:val="nil"/>
                    <w:bottom w:val="nil"/>
                    <w:right w:val="nil"/>
                  </w:tcBorders>
                  <w:shd w:val="clear" w:color="auto" w:fill="auto"/>
                  <w:noWrap/>
                  <w:vAlign w:val="bottom"/>
                  <w:hideMark/>
                </w:tcPr>
                <w:p w:rsidR="007A321C" w:rsidRPr="00686F33" w:rsidRDefault="007A321C" w:rsidP="00896BCB"/>
              </w:tc>
            </w:tr>
            <w:tr w:rsidR="007A321C" w:rsidRPr="00686F33" w:rsidTr="004D658F">
              <w:trPr>
                <w:trHeight w:val="255"/>
              </w:trPr>
              <w:tc>
                <w:tcPr>
                  <w:tcW w:w="5376" w:type="dxa"/>
                  <w:tcBorders>
                    <w:top w:val="nil"/>
                    <w:left w:val="nil"/>
                    <w:bottom w:val="nil"/>
                    <w:right w:val="nil"/>
                  </w:tcBorders>
                  <w:shd w:val="clear" w:color="auto" w:fill="auto"/>
                  <w:noWrap/>
                  <w:vAlign w:val="bottom"/>
                  <w:hideMark/>
                </w:tcPr>
                <w:p w:rsidR="007A321C" w:rsidRPr="00686F33" w:rsidRDefault="007A321C" w:rsidP="00684FAF">
                  <w:r w:rsidRPr="00335C66">
                    <w:t>*</w:t>
                  </w:r>
                  <w:r w:rsidR="004D658F">
                    <w:t>I</w:t>
                  </w:r>
                  <w:r w:rsidRPr="00686F33">
                    <w:t xml:space="preserve">mpuestos retenidos en junio 2017 pagados a </w:t>
                  </w:r>
                  <w:r w:rsidR="00684FAF">
                    <w:t>j</w:t>
                  </w:r>
                  <w:r w:rsidRPr="00686F33">
                    <w:t>ulio</w:t>
                  </w:r>
                  <w:r w:rsidR="00335C66">
                    <w:t xml:space="preserve"> </w:t>
                  </w:r>
                  <w:r w:rsidRPr="00686F33">
                    <w:t>2017</w:t>
                  </w:r>
                </w:p>
              </w:tc>
              <w:tc>
                <w:tcPr>
                  <w:tcW w:w="2028" w:type="dxa"/>
                  <w:tcBorders>
                    <w:top w:val="nil"/>
                    <w:left w:val="nil"/>
                    <w:bottom w:val="nil"/>
                    <w:right w:val="nil"/>
                  </w:tcBorders>
                  <w:shd w:val="clear" w:color="auto" w:fill="auto"/>
                  <w:noWrap/>
                  <w:vAlign w:val="bottom"/>
                  <w:hideMark/>
                </w:tcPr>
                <w:p w:rsidR="007A321C" w:rsidRPr="00686F33" w:rsidRDefault="007A321C" w:rsidP="00896BCB"/>
              </w:tc>
            </w:tr>
          </w:tbl>
          <w:p w:rsidR="007A321C" w:rsidRPr="00686F33" w:rsidRDefault="007A321C" w:rsidP="00896BCB">
            <w:pPr>
              <w:jc w:val="center"/>
            </w:pPr>
          </w:p>
        </w:tc>
      </w:tr>
    </w:tbl>
    <w:p w:rsidR="007A321C" w:rsidRDefault="007A321C" w:rsidP="007A321C">
      <w:pPr>
        <w:rPr>
          <w:rFonts w:ascii="Century Gothic" w:hAnsi="Century Gothic"/>
          <w:sz w:val="16"/>
          <w:szCs w:val="16"/>
        </w:rPr>
      </w:pPr>
    </w:p>
    <w:p w:rsidR="007A321C" w:rsidRDefault="007A321C" w:rsidP="007A321C">
      <w:pPr>
        <w:jc w:val="center"/>
        <w:rPr>
          <w:rFonts w:ascii="Century Gothic" w:hAnsi="Century Gothic"/>
          <w:sz w:val="16"/>
          <w:szCs w:val="16"/>
        </w:rPr>
      </w:pPr>
    </w:p>
    <w:p w:rsidR="003D6CCC" w:rsidRDefault="003D6CCC" w:rsidP="007A321C">
      <w:pPr>
        <w:jc w:val="center"/>
        <w:rPr>
          <w:rFonts w:ascii="Century Gothic" w:hAnsi="Century Gothic"/>
          <w:sz w:val="16"/>
          <w:szCs w:val="16"/>
        </w:rPr>
      </w:pPr>
    </w:p>
    <w:p w:rsidR="003D6CCC" w:rsidRDefault="003D6CCC" w:rsidP="007A321C">
      <w:pPr>
        <w:jc w:val="center"/>
        <w:rPr>
          <w:rFonts w:ascii="Century Gothic" w:hAnsi="Century Gothic"/>
          <w:sz w:val="16"/>
          <w:szCs w:val="16"/>
        </w:rPr>
      </w:pPr>
    </w:p>
    <w:p w:rsidR="003D6CCC" w:rsidRDefault="003D6CCC" w:rsidP="007A321C">
      <w:pPr>
        <w:jc w:val="center"/>
        <w:rPr>
          <w:rFonts w:ascii="Century Gothic" w:hAnsi="Century Gothic"/>
          <w:sz w:val="16"/>
          <w:szCs w:val="16"/>
        </w:rPr>
      </w:pPr>
    </w:p>
    <w:p w:rsidR="007A321C" w:rsidRDefault="007A321C" w:rsidP="007A321C">
      <w:pPr>
        <w:keepNext/>
        <w:keepLines/>
        <w:numPr>
          <w:ilvl w:val="3"/>
          <w:numId w:val="30"/>
        </w:numPr>
        <w:spacing w:before="200" w:after="120"/>
        <w:outlineLvl w:val="3"/>
        <w:rPr>
          <w:rFonts w:ascii="Cambria" w:eastAsia="Times New Roman" w:hAnsi="Cambria"/>
          <w:b/>
          <w:bCs/>
          <w:i/>
          <w:iCs/>
          <w:color w:val="4F81BD"/>
          <w:sz w:val="24"/>
        </w:rPr>
      </w:pPr>
      <w:bookmarkStart w:id="55" w:name="_Toc467228668"/>
      <w:bookmarkStart w:id="56" w:name="_Toc491684917"/>
      <w:r w:rsidRPr="00964F78">
        <w:rPr>
          <w:rFonts w:ascii="Cambria" w:eastAsia="Times New Roman" w:hAnsi="Cambria"/>
          <w:b/>
          <w:bCs/>
          <w:i/>
          <w:iCs/>
          <w:color w:val="4F81BD"/>
          <w:sz w:val="24"/>
        </w:rPr>
        <w:t>R</w:t>
      </w:r>
      <w:r>
        <w:rPr>
          <w:rFonts w:ascii="Cambria" w:eastAsia="Times New Roman" w:hAnsi="Cambria"/>
          <w:b/>
          <w:bCs/>
          <w:i/>
          <w:iCs/>
          <w:color w:val="4F81BD"/>
          <w:sz w:val="24"/>
        </w:rPr>
        <w:t>ESERVAS INSTITUCIONALES</w:t>
      </w:r>
      <w:bookmarkEnd w:id="55"/>
      <w:bookmarkEnd w:id="56"/>
    </w:p>
    <w:p w:rsidR="007A321C" w:rsidRPr="000A316B" w:rsidRDefault="007A321C" w:rsidP="003D6CCC">
      <w:pPr>
        <w:spacing w:before="200" w:line="276" w:lineRule="auto"/>
        <w:jc w:val="both"/>
        <w:rPr>
          <w:rFonts w:ascii="Century Gothic" w:eastAsia="Calibri" w:hAnsi="Century Gothic"/>
        </w:rPr>
      </w:pPr>
      <w:r w:rsidRPr="000A316B">
        <w:rPr>
          <w:rFonts w:ascii="Century Gothic" w:eastAsia="Calibri" w:hAnsi="Century Gothic"/>
        </w:rPr>
        <w:t>Las Reservas Institucionales han sido constituidas atendiendo la Ley del ISBM, así como el Reglamento de Inversiones de los Fondos y las Reservas del mismo</w:t>
      </w:r>
      <w:r w:rsidR="007B1622" w:rsidRPr="000A316B">
        <w:rPr>
          <w:rFonts w:ascii="Century Gothic" w:eastAsia="Calibri" w:hAnsi="Century Gothic"/>
        </w:rPr>
        <w:t>;</w:t>
      </w:r>
      <w:r w:rsidRPr="000A316B">
        <w:rPr>
          <w:rFonts w:ascii="Century Gothic" w:eastAsia="Calibri" w:hAnsi="Century Gothic"/>
        </w:rPr>
        <w:t xml:space="preserve"> éstas son actualizadas de conformidad a la normativa y los resultados financieros del año en curso.</w:t>
      </w:r>
    </w:p>
    <w:p w:rsidR="007A321C" w:rsidRPr="000A316B" w:rsidRDefault="007A321C" w:rsidP="003D6CCC">
      <w:pPr>
        <w:spacing w:before="200" w:line="276" w:lineRule="auto"/>
        <w:jc w:val="both"/>
        <w:rPr>
          <w:rFonts w:ascii="Century Gothic" w:eastAsia="Calibri" w:hAnsi="Century Gothic"/>
        </w:rPr>
      </w:pPr>
      <w:r w:rsidRPr="000A316B">
        <w:rPr>
          <w:rFonts w:ascii="Century Gothic" w:eastAsia="Calibri" w:hAnsi="Century Gothic"/>
        </w:rPr>
        <w:t>Los montos de las Reservas al 31 de diciembre de 2016, se encuentran invertidas en Instrumentos de Largo Plazo</w:t>
      </w:r>
      <w:r w:rsidR="00DF1054" w:rsidRPr="000A316B">
        <w:rPr>
          <w:rFonts w:ascii="Century Gothic" w:eastAsia="Calibri" w:hAnsi="Century Gothic"/>
        </w:rPr>
        <w:t>;</w:t>
      </w:r>
      <w:r w:rsidRPr="000A316B">
        <w:rPr>
          <w:rFonts w:ascii="Century Gothic" w:eastAsia="Calibri" w:hAnsi="Century Gothic"/>
        </w:rPr>
        <w:t xml:space="preserve"> su conformación anual, según los Balances de Comp</w:t>
      </w:r>
      <w:r w:rsidR="003D6CCC" w:rsidRPr="000A316B">
        <w:rPr>
          <w:rFonts w:ascii="Century Gothic" w:eastAsia="Calibri" w:hAnsi="Century Gothic"/>
        </w:rPr>
        <w:t>robación, se muestra en detalle:</w:t>
      </w:r>
    </w:p>
    <w:p w:rsidR="003D6CCC" w:rsidRPr="003D6CCC" w:rsidRDefault="003D6CCC" w:rsidP="003D6CCC">
      <w:pPr>
        <w:spacing w:before="200" w:line="276" w:lineRule="auto"/>
        <w:jc w:val="both"/>
        <w:rPr>
          <w:rFonts w:ascii="Century Gothic" w:eastAsia="Calibri" w:hAnsi="Century Gothic"/>
        </w:rPr>
      </w:pPr>
    </w:p>
    <w:p w:rsidR="007A321C" w:rsidRPr="006A7575" w:rsidRDefault="007A321C" w:rsidP="007A321C">
      <w:pPr>
        <w:jc w:val="center"/>
        <w:rPr>
          <w:rFonts w:ascii="Century Gothic" w:hAnsi="Century Gothic"/>
          <w:b/>
          <w:i/>
          <w:color w:val="355BA9"/>
          <w:sz w:val="24"/>
          <w:szCs w:val="24"/>
        </w:rPr>
      </w:pPr>
      <w:r w:rsidRPr="004C6269">
        <w:rPr>
          <w:noProof/>
          <w:lang w:eastAsia="es-SV"/>
        </w:rPr>
        <w:drawing>
          <wp:inline distT="0" distB="0" distL="0" distR="0">
            <wp:extent cx="6265226" cy="180975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94467" cy="1818197"/>
                    </a:xfrm>
                    <a:prstGeom prst="rect">
                      <a:avLst/>
                    </a:prstGeom>
                    <a:noFill/>
                    <a:ln>
                      <a:noFill/>
                    </a:ln>
                  </pic:spPr>
                </pic:pic>
              </a:graphicData>
            </a:graphic>
          </wp:inline>
        </w:drawing>
      </w:r>
    </w:p>
    <w:p w:rsidR="007A321C" w:rsidRDefault="007A321C" w:rsidP="007A321C">
      <w:pPr>
        <w:rPr>
          <w:rFonts w:ascii="Century Gothic" w:hAnsi="Century Gothic"/>
          <w:sz w:val="18"/>
          <w:szCs w:val="18"/>
        </w:rPr>
      </w:pPr>
      <w:r>
        <w:rPr>
          <w:rFonts w:ascii="Century Gothic" w:hAnsi="Century Gothic"/>
          <w:sz w:val="18"/>
          <w:szCs w:val="18"/>
        </w:rPr>
        <w:t xml:space="preserve"> </w:t>
      </w:r>
    </w:p>
    <w:p w:rsidR="007A321C" w:rsidRPr="00B538F5" w:rsidRDefault="007A321C" w:rsidP="007A321C">
      <w:pPr>
        <w:rPr>
          <w:rFonts w:ascii="Century Gothic" w:hAnsi="Century Gothic"/>
        </w:rPr>
      </w:pPr>
      <w:r w:rsidRPr="006A7575">
        <w:rPr>
          <w:rFonts w:ascii="Century Gothic" w:hAnsi="Century Gothic"/>
          <w:sz w:val="18"/>
          <w:szCs w:val="18"/>
        </w:rPr>
        <w:t>FUENTE</w:t>
      </w:r>
      <w:r>
        <w:rPr>
          <w:rFonts w:ascii="Century Gothic" w:hAnsi="Century Gothic"/>
          <w:sz w:val="18"/>
          <w:szCs w:val="18"/>
        </w:rPr>
        <w:t>: Balances de Comprobación SAFI.</w:t>
      </w:r>
    </w:p>
    <w:p w:rsidR="007A321C" w:rsidRPr="00AC7425" w:rsidRDefault="007A321C" w:rsidP="007A321C">
      <w:pPr>
        <w:spacing w:before="200" w:line="276" w:lineRule="auto"/>
        <w:jc w:val="both"/>
        <w:rPr>
          <w:rFonts w:ascii="Century Gothic" w:hAnsi="Century Gothic"/>
          <w:color w:val="002060"/>
        </w:rPr>
      </w:pPr>
    </w:p>
    <w:p w:rsidR="007A321C" w:rsidRDefault="007A321C" w:rsidP="0039373C">
      <w:pPr>
        <w:rPr>
          <w:rFonts w:ascii="Century Gothic" w:hAnsi="Century Gothic"/>
          <w:sz w:val="16"/>
          <w:szCs w:val="16"/>
        </w:rPr>
      </w:pPr>
    </w:p>
    <w:p w:rsidR="007A321C" w:rsidRDefault="007A321C" w:rsidP="0039373C">
      <w:pPr>
        <w:rPr>
          <w:rFonts w:ascii="Century Gothic" w:hAnsi="Century Gothic"/>
          <w:sz w:val="16"/>
          <w:szCs w:val="16"/>
        </w:rPr>
      </w:pPr>
    </w:p>
    <w:p w:rsidR="007A321C" w:rsidRDefault="007A321C" w:rsidP="0039373C">
      <w:pPr>
        <w:rPr>
          <w:rFonts w:ascii="Century Gothic" w:hAnsi="Century Gothic"/>
          <w:sz w:val="16"/>
          <w:szCs w:val="16"/>
        </w:rPr>
      </w:pPr>
    </w:p>
    <w:p w:rsidR="006A7575" w:rsidRPr="001564EB" w:rsidRDefault="006A7575" w:rsidP="00AC7425">
      <w:pPr>
        <w:keepNext/>
        <w:keepLines/>
        <w:numPr>
          <w:ilvl w:val="0"/>
          <w:numId w:val="10"/>
        </w:numPr>
        <w:spacing w:before="120"/>
        <w:outlineLvl w:val="1"/>
        <w:rPr>
          <w:rFonts w:eastAsia="Calibri"/>
          <w:lang w:eastAsia="es-SV"/>
        </w:rPr>
      </w:pPr>
      <w:bookmarkStart w:id="57" w:name="_Toc491684918"/>
      <w:r w:rsidRPr="001564EB">
        <w:rPr>
          <w:rFonts w:ascii="Cambria" w:eastAsia="Times New Roman" w:hAnsi="Cambria"/>
          <w:b/>
          <w:bCs/>
          <w:color w:val="1F497D"/>
          <w:sz w:val="28"/>
          <w:szCs w:val="28"/>
          <w:lang w:eastAsia="es-SV"/>
        </w:rPr>
        <w:t>CONCLUSIONES</w:t>
      </w:r>
      <w:bookmarkEnd w:id="57"/>
      <w:r w:rsidRPr="001564EB">
        <w:rPr>
          <w:rFonts w:ascii="Cambria" w:eastAsia="Times New Roman" w:hAnsi="Cambria"/>
          <w:b/>
          <w:bCs/>
          <w:color w:val="1F497D"/>
          <w:sz w:val="28"/>
          <w:szCs w:val="28"/>
          <w:lang w:eastAsia="es-SV"/>
        </w:rPr>
        <w:t xml:space="preserve"> </w:t>
      </w:r>
    </w:p>
    <w:p w:rsidR="006A7575" w:rsidRPr="00435420" w:rsidRDefault="006A7575" w:rsidP="006A7575">
      <w:pPr>
        <w:spacing w:before="200" w:line="276" w:lineRule="auto"/>
        <w:jc w:val="both"/>
        <w:rPr>
          <w:rFonts w:ascii="Century Gothic" w:eastAsia="Calibri" w:hAnsi="Century Gothic"/>
        </w:rPr>
      </w:pPr>
      <w:r w:rsidRPr="00435420">
        <w:rPr>
          <w:rFonts w:ascii="Century Gothic" w:eastAsia="Calibri" w:hAnsi="Century Gothic"/>
        </w:rPr>
        <w:t xml:space="preserve">El Instituto Salvadoreño de Bienestar Magisterial </w:t>
      </w:r>
      <w:r w:rsidR="005A0E6C" w:rsidRPr="00435420">
        <w:rPr>
          <w:rFonts w:ascii="Century Gothic" w:eastAsia="Calibri" w:hAnsi="Century Gothic"/>
        </w:rPr>
        <w:t>continuará</w:t>
      </w:r>
      <w:r w:rsidR="001564EB" w:rsidRPr="00435420">
        <w:rPr>
          <w:rFonts w:ascii="Century Gothic" w:eastAsia="Calibri" w:hAnsi="Century Gothic"/>
        </w:rPr>
        <w:t xml:space="preserve"> dando pasos firmes en aras de su </w:t>
      </w:r>
      <w:r w:rsidR="00DC1250" w:rsidRPr="00435420">
        <w:rPr>
          <w:rFonts w:ascii="Century Gothic" w:eastAsia="Calibri" w:hAnsi="Century Gothic"/>
        </w:rPr>
        <w:t>transformación institucional</w:t>
      </w:r>
      <w:r w:rsidRPr="00435420">
        <w:rPr>
          <w:rFonts w:ascii="Century Gothic" w:eastAsia="Calibri" w:hAnsi="Century Gothic"/>
        </w:rPr>
        <w:t xml:space="preserve">, </w:t>
      </w:r>
      <w:r w:rsidR="001564EB" w:rsidRPr="00435420">
        <w:rPr>
          <w:rFonts w:ascii="Century Gothic" w:eastAsia="Calibri" w:hAnsi="Century Gothic"/>
        </w:rPr>
        <w:t xml:space="preserve">acercando y ampliando gradualmente </w:t>
      </w:r>
      <w:r w:rsidRPr="00435420">
        <w:rPr>
          <w:rFonts w:ascii="Century Gothic" w:eastAsia="Calibri" w:hAnsi="Century Gothic"/>
        </w:rPr>
        <w:t>los servicios de salud</w:t>
      </w:r>
      <w:r w:rsidR="001564EB" w:rsidRPr="00435420">
        <w:rPr>
          <w:rFonts w:ascii="Century Gothic" w:eastAsia="Calibri" w:hAnsi="Century Gothic"/>
        </w:rPr>
        <w:t>, fortaleciendo</w:t>
      </w:r>
      <w:r w:rsidRPr="00435420">
        <w:rPr>
          <w:rFonts w:ascii="Century Gothic" w:eastAsia="Calibri" w:hAnsi="Century Gothic"/>
        </w:rPr>
        <w:t xml:space="preserve"> su patrimonio institucional, </w:t>
      </w:r>
      <w:r w:rsidR="001564EB" w:rsidRPr="00435420">
        <w:rPr>
          <w:rFonts w:ascii="Century Gothic" w:eastAsia="Calibri" w:hAnsi="Century Gothic"/>
        </w:rPr>
        <w:t>el</w:t>
      </w:r>
      <w:r w:rsidRPr="00435420">
        <w:rPr>
          <w:rFonts w:ascii="Century Gothic" w:eastAsia="Calibri" w:hAnsi="Century Gothic"/>
        </w:rPr>
        <w:t xml:space="preserve"> capital financiero e infraestructura para el funcionamiento de los centros de atención de salud y del área administrativa.</w:t>
      </w:r>
      <w:r w:rsidR="001564EB" w:rsidRPr="00435420">
        <w:rPr>
          <w:rFonts w:ascii="Century Gothic" w:eastAsia="Calibri" w:hAnsi="Century Gothic"/>
        </w:rPr>
        <w:t xml:space="preserve"> Asimismo, </w:t>
      </w:r>
      <w:r w:rsidR="00546701" w:rsidRPr="00435420">
        <w:rPr>
          <w:rFonts w:ascii="Century Gothic" w:eastAsia="Calibri" w:hAnsi="Century Gothic"/>
        </w:rPr>
        <w:t>continuará fomentando el</w:t>
      </w:r>
      <w:r w:rsidR="001564EB" w:rsidRPr="00435420">
        <w:rPr>
          <w:rFonts w:ascii="Century Gothic" w:eastAsia="Calibri" w:hAnsi="Century Gothic"/>
        </w:rPr>
        <w:t xml:space="preserve"> fortalecimiento paulatino de las capacidades de su personal</w:t>
      </w:r>
      <w:r w:rsidR="00D449CB" w:rsidRPr="00435420">
        <w:rPr>
          <w:rFonts w:ascii="Century Gothic" w:eastAsia="Calibri" w:hAnsi="Century Gothic"/>
        </w:rPr>
        <w:t xml:space="preserve"> y también preocupándose por su bienestar, siendo </w:t>
      </w:r>
      <w:r w:rsidR="00A74A69" w:rsidRPr="00435420">
        <w:rPr>
          <w:rFonts w:ascii="Century Gothic" w:eastAsia="Calibri" w:hAnsi="Century Gothic"/>
        </w:rPr>
        <w:t>así</w:t>
      </w:r>
      <w:r w:rsidR="00D449CB" w:rsidRPr="00435420">
        <w:rPr>
          <w:rFonts w:ascii="Century Gothic" w:eastAsia="Calibri" w:hAnsi="Century Gothic"/>
        </w:rPr>
        <w:t xml:space="preserve"> que</w:t>
      </w:r>
      <w:r w:rsidR="00D27C4A" w:rsidRPr="00435420">
        <w:rPr>
          <w:rFonts w:ascii="Century Gothic" w:eastAsia="Calibri" w:hAnsi="Century Gothic"/>
        </w:rPr>
        <w:t>,</w:t>
      </w:r>
      <w:r w:rsidR="00D449CB" w:rsidRPr="00435420">
        <w:rPr>
          <w:rFonts w:ascii="Century Gothic" w:eastAsia="Calibri" w:hAnsi="Century Gothic"/>
        </w:rPr>
        <w:t xml:space="preserve"> </w:t>
      </w:r>
      <w:r w:rsidR="001564EB" w:rsidRPr="00435420">
        <w:rPr>
          <w:rFonts w:ascii="Century Gothic" w:eastAsia="Calibri" w:hAnsi="Century Gothic"/>
        </w:rPr>
        <w:t>a partir de 2017</w:t>
      </w:r>
      <w:r w:rsidR="00D27C4A" w:rsidRPr="00435420">
        <w:rPr>
          <w:rFonts w:ascii="Century Gothic" w:eastAsia="Calibri" w:hAnsi="Century Gothic"/>
        </w:rPr>
        <w:t>,</w:t>
      </w:r>
      <w:r w:rsidR="001564EB" w:rsidRPr="00435420">
        <w:rPr>
          <w:rFonts w:ascii="Century Gothic" w:eastAsia="Calibri" w:hAnsi="Century Gothic"/>
        </w:rPr>
        <w:t xml:space="preserve"> se cuenta ya con el primer Contrato Colectivo de Trabajo.</w:t>
      </w:r>
    </w:p>
    <w:p w:rsidR="00D25A0D" w:rsidRPr="00435420" w:rsidRDefault="00D25A0D" w:rsidP="00D25A0D">
      <w:pPr>
        <w:pStyle w:val="Default"/>
        <w:rPr>
          <w:rFonts w:ascii="Century Gothic" w:eastAsia="Calibri" w:hAnsi="Century Gothic"/>
          <w:color w:val="auto"/>
        </w:rPr>
      </w:pPr>
    </w:p>
    <w:p w:rsidR="00D25A0D" w:rsidRPr="00435420" w:rsidRDefault="001564EB" w:rsidP="00D25A0D">
      <w:pPr>
        <w:pStyle w:val="Default"/>
        <w:spacing w:before="200" w:line="276" w:lineRule="auto"/>
        <w:jc w:val="both"/>
        <w:rPr>
          <w:rFonts w:ascii="Century Gothic" w:eastAsia="Calibri" w:hAnsi="Century Gothic" w:cs="Times New Roman"/>
          <w:color w:val="auto"/>
          <w:sz w:val="22"/>
          <w:szCs w:val="22"/>
        </w:rPr>
      </w:pPr>
      <w:r w:rsidRPr="00435420">
        <w:rPr>
          <w:rFonts w:ascii="Century Gothic" w:eastAsia="Calibri" w:hAnsi="Century Gothic" w:cs="Times New Roman"/>
          <w:color w:val="auto"/>
          <w:sz w:val="22"/>
          <w:szCs w:val="22"/>
        </w:rPr>
        <w:t xml:space="preserve">A pesar </w:t>
      </w:r>
      <w:r w:rsidR="00D25A0D" w:rsidRPr="00435420">
        <w:rPr>
          <w:rFonts w:ascii="Century Gothic" w:eastAsia="Calibri" w:hAnsi="Century Gothic" w:cs="Times New Roman"/>
          <w:color w:val="auto"/>
          <w:sz w:val="22"/>
          <w:szCs w:val="22"/>
        </w:rPr>
        <w:t xml:space="preserve">de las dificultades que se presentaron a raíz de la conclusión del proyecto de fortalecimiento de las capacidades del ISBM, suscrito con el Programa de las Naciones Unidas para el Desarrollo (PNUD), </w:t>
      </w:r>
      <w:r w:rsidR="00D449CB" w:rsidRPr="00435420">
        <w:rPr>
          <w:rFonts w:ascii="Century Gothic" w:eastAsia="Calibri" w:hAnsi="Century Gothic" w:cs="Times New Roman"/>
          <w:color w:val="auto"/>
          <w:sz w:val="22"/>
          <w:szCs w:val="22"/>
        </w:rPr>
        <w:t>que hizo posible hacer</w:t>
      </w:r>
      <w:r w:rsidR="00D25A0D" w:rsidRPr="00435420">
        <w:rPr>
          <w:rFonts w:ascii="Century Gothic" w:eastAsia="Calibri" w:hAnsi="Century Gothic" w:cs="Times New Roman"/>
          <w:color w:val="auto"/>
          <w:sz w:val="22"/>
          <w:szCs w:val="22"/>
        </w:rPr>
        <w:t xml:space="preserve"> compras </w:t>
      </w:r>
      <w:r w:rsidR="00D449CB" w:rsidRPr="00435420">
        <w:rPr>
          <w:rFonts w:ascii="Century Gothic" w:eastAsia="Calibri" w:hAnsi="Century Gothic" w:cs="Times New Roman"/>
          <w:color w:val="auto"/>
          <w:sz w:val="22"/>
          <w:szCs w:val="22"/>
        </w:rPr>
        <w:t xml:space="preserve">de medicamentos de calidad, </w:t>
      </w:r>
      <w:r w:rsidR="00D25A0D" w:rsidRPr="00435420">
        <w:rPr>
          <w:rFonts w:ascii="Century Gothic" w:eastAsia="Calibri" w:hAnsi="Century Gothic" w:cs="Times New Roman"/>
          <w:color w:val="auto"/>
          <w:sz w:val="22"/>
          <w:szCs w:val="22"/>
        </w:rPr>
        <w:t>a nivel internacional</w:t>
      </w:r>
      <w:r w:rsidR="00D449CB" w:rsidRPr="00435420">
        <w:rPr>
          <w:rFonts w:ascii="Century Gothic" w:eastAsia="Calibri" w:hAnsi="Century Gothic" w:cs="Times New Roman"/>
          <w:color w:val="auto"/>
          <w:sz w:val="22"/>
          <w:szCs w:val="22"/>
        </w:rPr>
        <w:t>,</w:t>
      </w:r>
      <w:r w:rsidR="00D25A0D" w:rsidRPr="00435420">
        <w:rPr>
          <w:rFonts w:ascii="Century Gothic" w:eastAsia="Calibri" w:hAnsi="Century Gothic" w:cs="Times New Roman"/>
          <w:color w:val="auto"/>
          <w:sz w:val="22"/>
          <w:szCs w:val="22"/>
        </w:rPr>
        <w:t xml:space="preserve"> y con importantes economías, aún antes de la aprobación de la Ley de </w:t>
      </w:r>
      <w:r w:rsidR="00270E9F" w:rsidRPr="00435420">
        <w:rPr>
          <w:rFonts w:ascii="Century Gothic" w:eastAsia="Calibri" w:hAnsi="Century Gothic" w:cs="Times New Roman"/>
          <w:color w:val="auto"/>
          <w:sz w:val="22"/>
          <w:szCs w:val="22"/>
        </w:rPr>
        <w:t>M</w:t>
      </w:r>
      <w:r w:rsidR="00D25A0D" w:rsidRPr="00435420">
        <w:rPr>
          <w:rFonts w:ascii="Century Gothic" w:eastAsia="Calibri" w:hAnsi="Century Gothic" w:cs="Times New Roman"/>
          <w:color w:val="auto"/>
          <w:sz w:val="22"/>
          <w:szCs w:val="22"/>
        </w:rPr>
        <w:t xml:space="preserve">edicamentos, el ISBM continuó brindando la entrega de medicamentos en los botiquines magisteriales y se tomaron decisiones estratégicas tales como utilizar con mucha frecuencia la liberación de medicamentos para las enfermedades crónicas, que consiste en el despacho de estas por farmacias privadas y de la red CEFAFA, así como </w:t>
      </w:r>
      <w:r w:rsidR="00FA215A" w:rsidRPr="00435420">
        <w:rPr>
          <w:rFonts w:ascii="Century Gothic" w:eastAsia="Calibri" w:hAnsi="Century Gothic" w:cs="Times New Roman"/>
          <w:color w:val="auto"/>
          <w:sz w:val="22"/>
          <w:szCs w:val="22"/>
        </w:rPr>
        <w:t>los</w:t>
      </w:r>
      <w:r w:rsidR="00D25A0D" w:rsidRPr="00435420">
        <w:rPr>
          <w:rFonts w:ascii="Century Gothic" w:eastAsia="Calibri" w:hAnsi="Century Gothic" w:cs="Times New Roman"/>
          <w:color w:val="auto"/>
          <w:sz w:val="22"/>
          <w:szCs w:val="22"/>
        </w:rPr>
        <w:t xml:space="preserve"> reembolso</w:t>
      </w:r>
      <w:r w:rsidR="00FA215A" w:rsidRPr="00435420">
        <w:rPr>
          <w:rFonts w:ascii="Century Gothic" w:eastAsia="Calibri" w:hAnsi="Century Gothic" w:cs="Times New Roman"/>
          <w:color w:val="auto"/>
          <w:sz w:val="22"/>
          <w:szCs w:val="22"/>
        </w:rPr>
        <w:t>s</w:t>
      </w:r>
      <w:r w:rsidR="00D25A0D" w:rsidRPr="00435420">
        <w:rPr>
          <w:rFonts w:ascii="Century Gothic" w:eastAsia="Calibri" w:hAnsi="Century Gothic" w:cs="Times New Roman"/>
          <w:color w:val="auto"/>
          <w:sz w:val="22"/>
          <w:szCs w:val="22"/>
        </w:rPr>
        <w:t xml:space="preserve"> por gastos médicos </w:t>
      </w:r>
      <w:r w:rsidR="00FA215A" w:rsidRPr="00435420">
        <w:rPr>
          <w:rFonts w:ascii="Century Gothic" w:eastAsia="Calibri" w:hAnsi="Century Gothic" w:cs="Times New Roman"/>
          <w:color w:val="auto"/>
          <w:sz w:val="22"/>
          <w:szCs w:val="22"/>
        </w:rPr>
        <w:t>que tramitaron</w:t>
      </w:r>
      <w:r w:rsidR="00D25A0D" w:rsidRPr="00435420">
        <w:rPr>
          <w:rFonts w:ascii="Century Gothic" w:eastAsia="Calibri" w:hAnsi="Century Gothic" w:cs="Times New Roman"/>
          <w:color w:val="auto"/>
          <w:sz w:val="22"/>
          <w:szCs w:val="22"/>
        </w:rPr>
        <w:t xml:space="preserve"> los usuarios.</w:t>
      </w:r>
    </w:p>
    <w:p w:rsidR="00D25A0D" w:rsidRPr="00435420" w:rsidRDefault="00EC307A" w:rsidP="00D25A0D">
      <w:pPr>
        <w:pStyle w:val="Default"/>
        <w:spacing w:before="200" w:line="276" w:lineRule="auto"/>
        <w:jc w:val="both"/>
        <w:rPr>
          <w:rFonts w:ascii="Century Gothic" w:eastAsia="Calibri" w:hAnsi="Century Gothic" w:cs="Times New Roman"/>
          <w:color w:val="auto"/>
          <w:sz w:val="22"/>
          <w:szCs w:val="22"/>
        </w:rPr>
      </w:pPr>
      <w:r w:rsidRPr="00435420">
        <w:rPr>
          <w:rFonts w:ascii="Century Gothic" w:eastAsia="Calibri" w:hAnsi="Century Gothic" w:cs="Times New Roman"/>
          <w:color w:val="auto"/>
          <w:sz w:val="22"/>
          <w:szCs w:val="22"/>
        </w:rPr>
        <w:t>Para lograr los objetivos trazados en el tema de medicamentos, se hicieron y se continúan haciendo gestiones administrativas, siendo así que</w:t>
      </w:r>
      <w:r w:rsidR="00D25A0D" w:rsidRPr="00435420">
        <w:rPr>
          <w:rFonts w:ascii="Century Gothic" w:eastAsia="Calibri" w:hAnsi="Century Gothic" w:cs="Times New Roman"/>
          <w:color w:val="auto"/>
          <w:sz w:val="22"/>
          <w:szCs w:val="22"/>
        </w:rPr>
        <w:t xml:space="preserve"> en julio pasado el Consejo Directivo aprobó la suscripción de un nuevo Conve</w:t>
      </w:r>
      <w:r w:rsidR="00D449CB" w:rsidRPr="00435420">
        <w:rPr>
          <w:rFonts w:ascii="Century Gothic" w:eastAsia="Calibri" w:hAnsi="Century Gothic" w:cs="Times New Roman"/>
          <w:color w:val="auto"/>
          <w:sz w:val="22"/>
          <w:szCs w:val="22"/>
        </w:rPr>
        <w:t xml:space="preserve">nio con el PNUD con vigencia hasta 2019, con una inversión preliminar que ronda los </w:t>
      </w:r>
      <w:r w:rsidR="00832C64" w:rsidRPr="00435420">
        <w:rPr>
          <w:rFonts w:ascii="Century Gothic" w:eastAsia="Calibri" w:hAnsi="Century Gothic" w:cs="Times New Roman"/>
          <w:color w:val="auto"/>
          <w:sz w:val="22"/>
          <w:szCs w:val="22"/>
        </w:rPr>
        <w:t>tres</w:t>
      </w:r>
      <w:r w:rsidR="00D449CB" w:rsidRPr="00435420">
        <w:rPr>
          <w:rFonts w:ascii="Century Gothic" w:eastAsia="Calibri" w:hAnsi="Century Gothic" w:cs="Times New Roman"/>
          <w:color w:val="auto"/>
          <w:sz w:val="22"/>
          <w:szCs w:val="22"/>
        </w:rPr>
        <w:t xml:space="preserve"> millones de dólares.</w:t>
      </w:r>
    </w:p>
    <w:p w:rsidR="00D25A0D" w:rsidRPr="00435420" w:rsidRDefault="00EC307A" w:rsidP="00D25A0D">
      <w:pPr>
        <w:spacing w:before="200" w:line="276" w:lineRule="auto"/>
        <w:jc w:val="both"/>
        <w:rPr>
          <w:rFonts w:ascii="Century Gothic" w:eastAsia="Calibri" w:hAnsi="Century Gothic"/>
        </w:rPr>
      </w:pPr>
      <w:r w:rsidRPr="00435420">
        <w:rPr>
          <w:rFonts w:ascii="Century Gothic" w:eastAsia="Calibri" w:hAnsi="Century Gothic"/>
        </w:rPr>
        <w:t xml:space="preserve">Es un hecho que </w:t>
      </w:r>
      <w:r w:rsidR="00832C64" w:rsidRPr="00435420">
        <w:rPr>
          <w:rFonts w:ascii="Century Gothic" w:eastAsia="Calibri" w:hAnsi="Century Gothic"/>
        </w:rPr>
        <w:t xml:space="preserve">formar parte y trabajar de la mano con el </w:t>
      </w:r>
      <w:r w:rsidR="00D25A0D" w:rsidRPr="00435420">
        <w:rPr>
          <w:rFonts w:ascii="Century Gothic" w:eastAsia="Calibri" w:hAnsi="Century Gothic"/>
        </w:rPr>
        <w:t>Sistema Nacional de Salud</w:t>
      </w:r>
      <w:r w:rsidR="00832C64" w:rsidRPr="00435420">
        <w:rPr>
          <w:rFonts w:ascii="Century Gothic" w:eastAsia="Calibri" w:hAnsi="Century Gothic"/>
        </w:rPr>
        <w:t>,</w:t>
      </w:r>
      <w:r w:rsidR="00D25A0D" w:rsidRPr="00435420">
        <w:rPr>
          <w:rFonts w:ascii="Century Gothic" w:eastAsia="Calibri" w:hAnsi="Century Gothic"/>
        </w:rPr>
        <w:t xml:space="preserve"> </w:t>
      </w:r>
      <w:r w:rsidR="00832C64" w:rsidRPr="00435420">
        <w:rPr>
          <w:rFonts w:ascii="Century Gothic" w:eastAsia="Calibri" w:hAnsi="Century Gothic"/>
        </w:rPr>
        <w:t xml:space="preserve">así como tener alianzas estratégicas con entidades como </w:t>
      </w:r>
      <w:r w:rsidR="00D25A0D" w:rsidRPr="00435420">
        <w:rPr>
          <w:rFonts w:ascii="Century Gothic" w:eastAsia="Calibri" w:hAnsi="Century Gothic"/>
        </w:rPr>
        <w:t>la Conferencia Interamericana de Seguridad Social (CISS)</w:t>
      </w:r>
      <w:r w:rsidRPr="00435420">
        <w:rPr>
          <w:rFonts w:ascii="Century Gothic" w:eastAsia="Calibri" w:hAnsi="Century Gothic"/>
        </w:rPr>
        <w:t>, proporciona ventajas al ISBM</w:t>
      </w:r>
      <w:r w:rsidR="00832C64" w:rsidRPr="00435420">
        <w:rPr>
          <w:rFonts w:ascii="Century Gothic" w:eastAsia="Calibri" w:hAnsi="Century Gothic"/>
        </w:rPr>
        <w:t>,</w:t>
      </w:r>
      <w:r w:rsidRPr="00435420">
        <w:rPr>
          <w:rFonts w:ascii="Century Gothic" w:eastAsia="Calibri" w:hAnsi="Century Gothic"/>
        </w:rPr>
        <w:t xml:space="preserve"> como lo es el trabajo integrado y con metas comunes de los miembros del SNS, </w:t>
      </w:r>
      <w:r w:rsidR="00832C64" w:rsidRPr="00435420">
        <w:rPr>
          <w:rFonts w:ascii="Century Gothic" w:eastAsia="Calibri" w:hAnsi="Century Gothic"/>
        </w:rPr>
        <w:t>y</w:t>
      </w:r>
      <w:r w:rsidRPr="00435420">
        <w:rPr>
          <w:rFonts w:ascii="Century Gothic" w:eastAsia="Calibri" w:hAnsi="Century Gothic"/>
        </w:rPr>
        <w:t xml:space="preserve"> la actualización de conocimientos e intercambio de experiencias a nivel internacional que se obtienen a través de la CISS. Por otra parte, el convenio vigente con el Centro Interamericano de Estudios </w:t>
      </w:r>
      <w:r w:rsidR="00270E9F" w:rsidRPr="00435420">
        <w:rPr>
          <w:rFonts w:ascii="Century Gothic" w:eastAsia="Calibri" w:hAnsi="Century Gothic"/>
        </w:rPr>
        <w:t>de</w:t>
      </w:r>
      <w:r w:rsidRPr="00435420">
        <w:rPr>
          <w:rFonts w:ascii="Century Gothic" w:eastAsia="Calibri" w:hAnsi="Century Gothic"/>
        </w:rPr>
        <w:t xml:space="preserve"> Seguridad Social </w:t>
      </w:r>
      <w:r w:rsidR="00B738C0" w:rsidRPr="00435420">
        <w:rPr>
          <w:rFonts w:ascii="Century Gothic" w:eastAsia="Calibri" w:hAnsi="Century Gothic"/>
        </w:rPr>
        <w:t>(</w:t>
      </w:r>
      <w:r w:rsidRPr="00435420">
        <w:rPr>
          <w:rFonts w:ascii="Century Gothic" w:eastAsia="Calibri" w:hAnsi="Century Gothic"/>
        </w:rPr>
        <w:t>CIESS</w:t>
      </w:r>
      <w:r w:rsidR="00B738C0" w:rsidRPr="00435420">
        <w:rPr>
          <w:rFonts w:ascii="Century Gothic" w:eastAsia="Calibri" w:hAnsi="Century Gothic"/>
        </w:rPr>
        <w:t>)</w:t>
      </w:r>
      <w:r w:rsidRPr="00435420">
        <w:rPr>
          <w:rFonts w:ascii="Century Gothic" w:eastAsia="Calibri" w:hAnsi="Century Gothic"/>
        </w:rPr>
        <w:t>, mantiene las puertas abiertas para la capacitación en materia de seguridad social</w:t>
      </w:r>
      <w:r w:rsidR="00D25A0D" w:rsidRPr="00435420">
        <w:rPr>
          <w:rFonts w:ascii="Century Gothic" w:eastAsia="Calibri" w:hAnsi="Century Gothic"/>
        </w:rPr>
        <w:t>.</w:t>
      </w:r>
    </w:p>
    <w:p w:rsidR="00892BD5" w:rsidRPr="00435420" w:rsidRDefault="004F34E5" w:rsidP="006A7575">
      <w:pPr>
        <w:spacing w:before="200" w:line="276" w:lineRule="auto"/>
        <w:jc w:val="both"/>
        <w:rPr>
          <w:rFonts w:ascii="Century Gothic" w:hAnsi="Century Gothic"/>
        </w:rPr>
      </w:pPr>
      <w:r w:rsidRPr="00435420">
        <w:rPr>
          <w:rFonts w:ascii="Century Gothic" w:hAnsi="Century Gothic"/>
        </w:rPr>
        <w:t>Hemos mantenido y seguiremos</w:t>
      </w:r>
      <w:r w:rsidR="00CB2B0F" w:rsidRPr="00435420">
        <w:rPr>
          <w:rFonts w:ascii="Century Gothic" w:hAnsi="Century Gothic"/>
        </w:rPr>
        <w:t xml:space="preserve"> </w:t>
      </w:r>
      <w:r w:rsidR="007F1954" w:rsidRPr="00435420">
        <w:rPr>
          <w:rFonts w:ascii="Century Gothic" w:hAnsi="Century Gothic"/>
        </w:rPr>
        <w:t xml:space="preserve">con </w:t>
      </w:r>
      <w:r w:rsidR="00CB2B0F" w:rsidRPr="00435420">
        <w:rPr>
          <w:rFonts w:ascii="Century Gothic" w:hAnsi="Century Gothic"/>
        </w:rPr>
        <w:t>la</w:t>
      </w:r>
      <w:r w:rsidR="00892BD5" w:rsidRPr="00435420">
        <w:rPr>
          <w:rFonts w:ascii="Century Gothic" w:hAnsi="Century Gothic"/>
        </w:rPr>
        <w:t xml:space="preserve"> visión de ser una institución de seguridad social eficiente, con cobertura nacional en la prestación de los servicios de asistencia médico hospitalaria, con énfasis en la prevención, atención a la salud mental, cobertura de riesgos profesionales, prestaciones y beneficios, con calidad y calidez a maestras y maestros cotizantes y sus grupos familiares. Con ello esperamos fortalecer la educación de la niñez salvadoreña.</w:t>
      </w:r>
    </w:p>
    <w:p w:rsidR="00CB2B0F" w:rsidRPr="00435420" w:rsidRDefault="00CB2B0F" w:rsidP="006A7575">
      <w:pPr>
        <w:spacing w:before="200" w:line="276" w:lineRule="auto"/>
        <w:jc w:val="both"/>
        <w:rPr>
          <w:rFonts w:ascii="Century Gothic" w:hAnsi="Century Gothic"/>
        </w:rPr>
      </w:pPr>
      <w:r w:rsidRPr="00435420">
        <w:rPr>
          <w:rFonts w:ascii="Century Gothic" w:hAnsi="Century Gothic"/>
        </w:rPr>
        <w:t>Es</w:t>
      </w:r>
      <w:r w:rsidR="00BA6B69" w:rsidRPr="00435420">
        <w:rPr>
          <w:rFonts w:ascii="Century Gothic" w:hAnsi="Century Gothic"/>
        </w:rPr>
        <w:t xml:space="preserve">taremos pendientes del rumbo que pueda tomar el proyecto de reformas que aprobó el Consejo Directivo para la Ley del ISBM, especialmente en lo que se refiere a la </w:t>
      </w:r>
      <w:r w:rsidR="00A05B01" w:rsidRPr="00435420">
        <w:rPr>
          <w:rFonts w:ascii="Century Gothic" w:hAnsi="Century Gothic"/>
        </w:rPr>
        <w:t xml:space="preserve">aportación familiar del docente </w:t>
      </w:r>
      <w:r w:rsidR="00270D07" w:rsidRPr="00435420">
        <w:rPr>
          <w:rFonts w:ascii="Century Gothic" w:hAnsi="Century Gothic"/>
        </w:rPr>
        <w:t>para la</w:t>
      </w:r>
      <w:r w:rsidR="00A71172" w:rsidRPr="00435420">
        <w:rPr>
          <w:rFonts w:ascii="Century Gothic" w:hAnsi="Century Gothic"/>
        </w:rPr>
        <w:t xml:space="preserve"> cobertura de salud </w:t>
      </w:r>
      <w:r w:rsidR="001B014E" w:rsidRPr="00435420">
        <w:rPr>
          <w:rFonts w:ascii="Century Gothic" w:hAnsi="Century Gothic"/>
        </w:rPr>
        <w:t xml:space="preserve">de </w:t>
      </w:r>
      <w:r w:rsidR="00A71172" w:rsidRPr="00435420">
        <w:rPr>
          <w:rFonts w:ascii="Century Gothic" w:hAnsi="Century Gothic"/>
        </w:rPr>
        <w:t>su grupo familiar</w:t>
      </w:r>
      <w:r w:rsidR="00BA6B69" w:rsidRPr="00435420">
        <w:rPr>
          <w:rFonts w:ascii="Century Gothic" w:hAnsi="Century Gothic"/>
        </w:rPr>
        <w:t>.</w:t>
      </w:r>
      <w:r w:rsidR="00A71172" w:rsidRPr="00435420">
        <w:rPr>
          <w:rFonts w:ascii="Century Gothic" w:hAnsi="Century Gothic"/>
        </w:rPr>
        <w:t xml:space="preserve"> </w:t>
      </w:r>
    </w:p>
    <w:p w:rsidR="006A7575" w:rsidRPr="00435420" w:rsidRDefault="00896BA7" w:rsidP="001564EB">
      <w:pPr>
        <w:spacing w:before="200" w:line="276" w:lineRule="auto"/>
        <w:jc w:val="both"/>
        <w:rPr>
          <w:rFonts w:ascii="Century Gothic" w:hAnsi="Century Gothic"/>
        </w:rPr>
      </w:pPr>
      <w:r w:rsidRPr="00435420">
        <w:rPr>
          <w:rFonts w:ascii="Century Gothic" w:eastAsia="Calibri" w:hAnsi="Century Gothic"/>
        </w:rPr>
        <w:t xml:space="preserve">El ISBM ha dado muestras también de su compromiso social a través de dos hechos destacados: </w:t>
      </w:r>
      <w:r w:rsidRPr="00435420">
        <w:rPr>
          <w:rFonts w:ascii="Century Gothic" w:hAnsi="Century Gothic"/>
          <w:b/>
        </w:rPr>
        <w:t>1)</w:t>
      </w:r>
      <w:r w:rsidRPr="00435420">
        <w:rPr>
          <w:rFonts w:ascii="Century Gothic" w:hAnsi="Century Gothic"/>
        </w:rPr>
        <w:t xml:space="preserve"> </w:t>
      </w:r>
      <w:r w:rsidR="001B014E" w:rsidRPr="00435420">
        <w:rPr>
          <w:rFonts w:ascii="Century Gothic" w:hAnsi="Century Gothic"/>
        </w:rPr>
        <w:t>se ha</w:t>
      </w:r>
      <w:r w:rsidRPr="00435420">
        <w:rPr>
          <w:rFonts w:ascii="Century Gothic" w:hAnsi="Century Gothic"/>
        </w:rPr>
        <w:t xml:space="preserve"> tenido una importante participación en los eventos del programa “Gobernando con la Gente” del Presidente de la República, don Salvador Sánchez Cerén, y en los Festivales para el Buen Vivir realizados en los municipios de nuestro país. Y </w:t>
      </w:r>
      <w:r w:rsidRPr="00435420">
        <w:rPr>
          <w:rFonts w:ascii="Century Gothic" w:hAnsi="Century Gothic"/>
          <w:b/>
        </w:rPr>
        <w:t>2)</w:t>
      </w:r>
      <w:r w:rsidRPr="00435420">
        <w:rPr>
          <w:rFonts w:ascii="Century Gothic" w:hAnsi="Century Gothic"/>
        </w:rPr>
        <w:t xml:space="preserve"> </w:t>
      </w:r>
      <w:r w:rsidR="001B014E" w:rsidRPr="00435420">
        <w:rPr>
          <w:rFonts w:ascii="Century Gothic" w:hAnsi="Century Gothic"/>
        </w:rPr>
        <w:t>s</w:t>
      </w:r>
      <w:r w:rsidR="00FB7A45" w:rsidRPr="00435420">
        <w:rPr>
          <w:rFonts w:ascii="Century Gothic" w:hAnsi="Century Gothic"/>
        </w:rPr>
        <w:t>e c</w:t>
      </w:r>
      <w:r w:rsidR="001564EB" w:rsidRPr="00435420">
        <w:rPr>
          <w:rFonts w:ascii="Century Gothic" w:hAnsi="Century Gothic"/>
        </w:rPr>
        <w:t>ontinúa realizando anualmente el proyecto de incubación y liberación de tortugas marinas en el Centro Recreativo Magisterial ubicado en Metalío, Sonsonate, donde se tiene la oportunidad de interactuar con la comunidad</w:t>
      </w:r>
      <w:r w:rsidR="009E2672" w:rsidRPr="00435420">
        <w:rPr>
          <w:rFonts w:ascii="Century Gothic" w:hAnsi="Century Gothic"/>
        </w:rPr>
        <w:t>,</w:t>
      </w:r>
      <w:r w:rsidR="001564EB" w:rsidRPr="00435420">
        <w:rPr>
          <w:rFonts w:ascii="Century Gothic" w:hAnsi="Century Gothic"/>
        </w:rPr>
        <w:t xml:space="preserve"> con d</w:t>
      </w:r>
      <w:r w:rsidR="001B014E" w:rsidRPr="00435420">
        <w:rPr>
          <w:rFonts w:ascii="Century Gothic" w:hAnsi="Century Gothic"/>
        </w:rPr>
        <w:t>ocentes y estudiantes de otros centros e</w:t>
      </w:r>
      <w:r w:rsidR="001564EB" w:rsidRPr="00435420">
        <w:rPr>
          <w:rFonts w:ascii="Century Gothic" w:hAnsi="Century Gothic"/>
        </w:rPr>
        <w:t>ducativos de diferentes lugares del país, actividades que</w:t>
      </w:r>
      <w:r w:rsidR="00626A00" w:rsidRPr="00435420">
        <w:rPr>
          <w:rFonts w:ascii="Century Gothic" w:hAnsi="Century Gothic"/>
        </w:rPr>
        <w:t>,</w:t>
      </w:r>
      <w:r w:rsidR="001564EB" w:rsidRPr="00435420">
        <w:rPr>
          <w:rFonts w:ascii="Century Gothic" w:hAnsi="Century Gothic"/>
        </w:rPr>
        <w:t xml:space="preserve"> en algunas ocasiones</w:t>
      </w:r>
      <w:r w:rsidR="00626A00" w:rsidRPr="00435420">
        <w:rPr>
          <w:rFonts w:ascii="Century Gothic" w:hAnsi="Century Gothic"/>
        </w:rPr>
        <w:t>,</w:t>
      </w:r>
      <w:r w:rsidR="001564EB" w:rsidRPr="00435420">
        <w:rPr>
          <w:rFonts w:ascii="Century Gothic" w:hAnsi="Century Gothic"/>
        </w:rPr>
        <w:t xml:space="preserve"> han sido apoyadas por </w:t>
      </w:r>
      <w:r w:rsidR="009E2672" w:rsidRPr="00435420">
        <w:rPr>
          <w:rFonts w:ascii="Century Gothic" w:hAnsi="Century Gothic"/>
        </w:rPr>
        <w:t>los titulares del Ministerio de Educación.</w:t>
      </w:r>
    </w:p>
    <w:sectPr w:rsidR="006A7575" w:rsidRPr="00435420" w:rsidSect="009A1B80">
      <w:headerReference w:type="default" r:id="rId18"/>
      <w:footerReference w:type="default" r:id="rId19"/>
      <w:pgSz w:w="12240" w:h="15840"/>
      <w:pgMar w:top="2005" w:right="1701" w:bottom="1417"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4C8" w:rsidRDefault="00A554C8" w:rsidP="00E11D81">
      <w:r>
        <w:separator/>
      </w:r>
    </w:p>
  </w:endnote>
  <w:endnote w:type="continuationSeparator" w:id="0">
    <w:p w:rsidR="00A554C8" w:rsidRDefault="00A554C8" w:rsidP="00E11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yriad Pro">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227496"/>
      <w:docPartObj>
        <w:docPartGallery w:val="Page Numbers (Bottom of Page)"/>
        <w:docPartUnique/>
      </w:docPartObj>
    </w:sdtPr>
    <w:sdtEndPr>
      <w:rPr>
        <w:rStyle w:val="CitadestacadaCar"/>
        <w:b/>
        <w:bCs/>
        <w:i/>
        <w:iCs/>
        <w:color w:val="4F81BD" w:themeColor="accent1"/>
        <w:sz w:val="20"/>
      </w:rPr>
    </w:sdtEndPr>
    <w:sdtContent>
      <w:p w:rsidR="000A316B" w:rsidRDefault="000A316B">
        <w:pPr>
          <w:pStyle w:val="Piedepgina"/>
          <w:rPr>
            <w:rStyle w:val="CitadestacadaCar"/>
            <w:sz w:val="20"/>
          </w:rPr>
        </w:pPr>
        <w:r w:rsidRPr="002E4D0B">
          <w:rPr>
            <w:rStyle w:val="CitadestacadaCar"/>
            <w:noProof/>
            <w:sz w:val="20"/>
            <w:lang w:eastAsia="es-SV"/>
          </w:rPr>
          <mc:AlternateContent>
            <mc:Choice Requires="wps">
              <w:drawing>
                <wp:anchor distT="0" distB="0" distL="114300" distR="114300" simplePos="0" relativeHeight="251659264" behindDoc="0" locked="0" layoutInCell="1" allowOverlap="1" wp14:anchorId="31E3B437" wp14:editId="0785656B">
                  <wp:simplePos x="0" y="0"/>
                  <wp:positionH relativeFrom="rightMargin">
                    <wp:align>center</wp:align>
                  </wp:positionH>
                  <wp:positionV relativeFrom="bottomMargin">
                    <wp:align>center</wp:align>
                  </wp:positionV>
                  <wp:extent cx="298628" cy="285293"/>
                  <wp:effectExtent l="0" t="0" r="25400" b="19685"/>
                  <wp:wrapNone/>
                  <wp:docPr id="605" name="Óva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298628" cy="285293"/>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rsidR="000A316B" w:rsidRDefault="000A316B" w:rsidP="00142000">
                              <w:pPr>
                                <w:pStyle w:val="Piedepgina"/>
                                <w:jc w:val="center"/>
                                <w:rPr>
                                  <w:color w:val="4F81BD" w:themeColor="accent1"/>
                                </w:rPr>
                              </w:pPr>
                              <w:r>
                                <w:fldChar w:fldCharType="begin"/>
                              </w:r>
                              <w:r>
                                <w:instrText>PAGE  \* MERGEFORMAT</w:instrText>
                              </w:r>
                              <w:r>
                                <w:fldChar w:fldCharType="separate"/>
                              </w:r>
                              <w:r w:rsidR="006F0A17" w:rsidRPr="006F0A17">
                                <w:rPr>
                                  <w:noProof/>
                                  <w:color w:val="4F81BD" w:themeColor="accent1"/>
                                  <w:lang w:val="es-ES"/>
                                </w:rPr>
                                <w:t>27</w:t>
                              </w:r>
                              <w:r>
                                <w:rPr>
                                  <w:color w:val="4F81BD" w:themeColor="accent1"/>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31E3B437" id="Óvalo 6" o:spid="_x0000_s1026" style="position:absolute;margin-left:0;margin-top:0;width:23.5pt;height:22.45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" filled="f" fillcolor="#c0504d" strokecolor="#adc1d9" strokeweight="1pt">
                  <v:textbox inset="0,0,0,0">
                    <w:txbxContent>
                      <w:p w:rsidR="000A316B" w:rsidRDefault="000A316B" w:rsidP="00142000">
                        <w:pPr>
                          <w:pStyle w:val="Piedepgina"/>
                          <w:jc w:val="center"/>
                          <w:rPr>
                            <w:color w:val="4F81BD" w:themeColor="accent1"/>
                          </w:rPr>
                        </w:pPr>
                        <w:r>
                          <w:fldChar w:fldCharType="begin"/>
                        </w:r>
                        <w:r>
                          <w:instrText>PAGE  \* MERGEFORMAT</w:instrText>
                        </w:r>
                        <w:r>
                          <w:fldChar w:fldCharType="separate"/>
                        </w:r>
                        <w:r w:rsidR="006F0A17" w:rsidRPr="006F0A17">
                          <w:rPr>
                            <w:noProof/>
                            <w:color w:val="4F81BD" w:themeColor="accent1"/>
                            <w:lang w:val="es-ES"/>
                          </w:rPr>
                          <w:t>27</w:t>
                        </w:r>
                        <w:r>
                          <w:rPr>
                            <w:color w:val="4F81BD" w:themeColor="accent1"/>
                          </w:rPr>
                          <w:fldChar w:fldCharType="end"/>
                        </w:r>
                      </w:p>
                    </w:txbxContent>
                  </v:textbox>
                  <w10:wrap anchorx="margin" anchory="margin"/>
                </v:oval>
              </w:pict>
            </mc:Fallback>
          </mc:AlternateContent>
        </w:r>
        <w:r w:rsidRPr="002E4D0B">
          <w:rPr>
            <w:rStyle w:val="CitadestacadaCar"/>
            <w:sz w:val="20"/>
          </w:rPr>
          <w:t>INFORME ANUAL DE GESTIÓN. JUNIO 201</w:t>
        </w:r>
        <w:r>
          <w:rPr>
            <w:rStyle w:val="CitadestacadaCar"/>
            <w:sz w:val="20"/>
          </w:rPr>
          <w:t>6</w:t>
        </w:r>
        <w:r w:rsidRPr="002E4D0B">
          <w:rPr>
            <w:rStyle w:val="CitadestacadaCar"/>
            <w:sz w:val="20"/>
          </w:rPr>
          <w:t xml:space="preserve"> – </w:t>
        </w:r>
        <w:r>
          <w:rPr>
            <w:rStyle w:val="CitadestacadaCar"/>
            <w:sz w:val="20"/>
          </w:rPr>
          <w:t>JULIO</w:t>
        </w:r>
        <w:r w:rsidRPr="002E4D0B">
          <w:rPr>
            <w:rStyle w:val="CitadestacadaCar"/>
            <w:sz w:val="20"/>
          </w:rPr>
          <w:t xml:space="preserve"> 201</w:t>
        </w:r>
        <w:r>
          <w:rPr>
            <w:rStyle w:val="CitadestacadaCar"/>
            <w:sz w:val="20"/>
          </w:rPr>
          <w:t>7</w:t>
        </w:r>
      </w:p>
      <w:p w:rsidR="000A316B" w:rsidRPr="002E4D0B" w:rsidRDefault="000A316B">
        <w:pPr>
          <w:pStyle w:val="Piedepgina"/>
          <w:rPr>
            <w:rStyle w:val="CitadestacadaCar"/>
            <w:sz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4C8" w:rsidRDefault="00A554C8" w:rsidP="00E11D81">
      <w:r>
        <w:separator/>
      </w:r>
    </w:p>
  </w:footnote>
  <w:footnote w:type="continuationSeparator" w:id="0">
    <w:p w:rsidR="00A554C8" w:rsidRDefault="00A554C8" w:rsidP="00E11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6B" w:rsidRDefault="000A316B" w:rsidP="009A1B80">
    <w:pPr>
      <w:pStyle w:val="Encabezado"/>
      <w:jc w:val="center"/>
    </w:pPr>
    <w:r>
      <w:rPr>
        <w:noProof/>
        <w:lang w:eastAsia="es-SV"/>
      </w:rPr>
      <w:drawing>
        <wp:inline distT="0" distB="0" distL="0" distR="0" wp14:anchorId="3D3BC9DD" wp14:editId="39BBF4F5">
          <wp:extent cx="3600450" cy="762000"/>
          <wp:effectExtent l="0" t="0" r="0" b="0"/>
          <wp:docPr id="4" name="Imagen 4" descr="FIRMA"/>
          <wp:cNvGraphicFramePr/>
          <a:graphic xmlns:a="http://schemas.openxmlformats.org/drawingml/2006/main">
            <a:graphicData uri="http://schemas.openxmlformats.org/drawingml/2006/picture">
              <pic:pic xmlns:pic="http://schemas.openxmlformats.org/drawingml/2006/picture">
                <pic:nvPicPr>
                  <pic:cNvPr id="1" name="Imagen 1" descr="FIRMA"/>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5AF1"/>
    <w:multiLevelType w:val="hybridMultilevel"/>
    <w:tmpl w:val="E18E9C32"/>
    <w:lvl w:ilvl="0" w:tplc="B89846C0">
      <w:start w:val="1"/>
      <w:numFmt w:val="bullet"/>
      <w:lvlText w:val="•"/>
      <w:lvlJc w:val="left"/>
    </w:lvl>
    <w:lvl w:ilvl="1" w:tplc="8CFE8010">
      <w:numFmt w:val="decimal"/>
      <w:lvlText w:val=""/>
      <w:lvlJc w:val="left"/>
    </w:lvl>
    <w:lvl w:ilvl="2" w:tplc="7A244BB6">
      <w:numFmt w:val="decimal"/>
      <w:lvlText w:val=""/>
      <w:lvlJc w:val="left"/>
    </w:lvl>
    <w:lvl w:ilvl="3" w:tplc="1BA27446">
      <w:numFmt w:val="decimal"/>
      <w:lvlText w:val=""/>
      <w:lvlJc w:val="left"/>
    </w:lvl>
    <w:lvl w:ilvl="4" w:tplc="203AACD0">
      <w:numFmt w:val="decimal"/>
      <w:lvlText w:val=""/>
      <w:lvlJc w:val="left"/>
    </w:lvl>
    <w:lvl w:ilvl="5" w:tplc="212601A0">
      <w:numFmt w:val="decimal"/>
      <w:lvlText w:val=""/>
      <w:lvlJc w:val="left"/>
    </w:lvl>
    <w:lvl w:ilvl="6" w:tplc="928A1CFE">
      <w:numFmt w:val="decimal"/>
      <w:lvlText w:val=""/>
      <w:lvlJc w:val="left"/>
    </w:lvl>
    <w:lvl w:ilvl="7" w:tplc="B63252C2">
      <w:numFmt w:val="decimal"/>
      <w:lvlText w:val=""/>
      <w:lvlJc w:val="left"/>
    </w:lvl>
    <w:lvl w:ilvl="8" w:tplc="5DE8213A">
      <w:numFmt w:val="decimal"/>
      <w:lvlText w:val=""/>
      <w:lvlJc w:val="left"/>
    </w:lvl>
  </w:abstractNum>
  <w:abstractNum w:abstractNumId="1" w15:restartNumberingAfterBreak="0">
    <w:nsid w:val="00006DF1"/>
    <w:multiLevelType w:val="hybridMultilevel"/>
    <w:tmpl w:val="46803116"/>
    <w:lvl w:ilvl="0" w:tplc="61A42DAC">
      <w:start w:val="1"/>
      <w:numFmt w:val="bullet"/>
      <w:lvlText w:val="•"/>
      <w:lvlJc w:val="left"/>
    </w:lvl>
    <w:lvl w:ilvl="1" w:tplc="704455B6">
      <w:numFmt w:val="decimal"/>
      <w:lvlText w:val=""/>
      <w:lvlJc w:val="left"/>
    </w:lvl>
    <w:lvl w:ilvl="2" w:tplc="9A7C31C8">
      <w:numFmt w:val="decimal"/>
      <w:lvlText w:val=""/>
      <w:lvlJc w:val="left"/>
    </w:lvl>
    <w:lvl w:ilvl="3" w:tplc="174AC38E">
      <w:numFmt w:val="decimal"/>
      <w:lvlText w:val=""/>
      <w:lvlJc w:val="left"/>
    </w:lvl>
    <w:lvl w:ilvl="4" w:tplc="9E56EC2A">
      <w:numFmt w:val="decimal"/>
      <w:lvlText w:val=""/>
      <w:lvlJc w:val="left"/>
    </w:lvl>
    <w:lvl w:ilvl="5" w:tplc="A38A7568">
      <w:numFmt w:val="decimal"/>
      <w:lvlText w:val=""/>
      <w:lvlJc w:val="left"/>
    </w:lvl>
    <w:lvl w:ilvl="6" w:tplc="A6604018">
      <w:numFmt w:val="decimal"/>
      <w:lvlText w:val=""/>
      <w:lvlJc w:val="left"/>
    </w:lvl>
    <w:lvl w:ilvl="7" w:tplc="5836A82A">
      <w:numFmt w:val="decimal"/>
      <w:lvlText w:val=""/>
      <w:lvlJc w:val="left"/>
    </w:lvl>
    <w:lvl w:ilvl="8" w:tplc="C4ACA48A">
      <w:numFmt w:val="decimal"/>
      <w:lvlText w:val=""/>
      <w:lvlJc w:val="left"/>
    </w:lvl>
  </w:abstractNum>
  <w:abstractNum w:abstractNumId="2" w15:restartNumberingAfterBreak="0">
    <w:nsid w:val="06DF4B4B"/>
    <w:multiLevelType w:val="hybridMultilevel"/>
    <w:tmpl w:val="B9428EB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96443E82">
      <w:start w:val="1"/>
      <w:numFmt w:val="decimal"/>
      <w:lvlText w:val="%4."/>
      <w:lvlJc w:val="left"/>
      <w:pPr>
        <w:ind w:left="4188" w:hanging="360"/>
      </w:pPr>
      <w:rPr>
        <w:b/>
        <w:color w:val="002060"/>
      </w:r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089613EC"/>
    <w:multiLevelType w:val="multilevel"/>
    <w:tmpl w:val="02AAAB40"/>
    <w:lvl w:ilvl="0">
      <w:start w:val="1"/>
      <w:numFmt w:val="decimal"/>
      <w:lvlText w:val="%1"/>
      <w:lvlJc w:val="left"/>
      <w:pPr>
        <w:ind w:left="360" w:hanging="360"/>
      </w:pPr>
      <w:rPr>
        <w:rFonts w:hint="default"/>
      </w:rPr>
    </w:lvl>
    <w:lvl w:ilvl="1">
      <w:start w:val="1"/>
      <w:numFmt w:val="decimal"/>
      <w:lvlText w:val="%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B9E6789"/>
    <w:multiLevelType w:val="hybridMultilevel"/>
    <w:tmpl w:val="7602B77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0AC4B41"/>
    <w:multiLevelType w:val="multilevel"/>
    <w:tmpl w:val="95E26D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C827095"/>
    <w:multiLevelType w:val="multilevel"/>
    <w:tmpl w:val="1DA6D1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AD2A06"/>
    <w:multiLevelType w:val="multilevel"/>
    <w:tmpl w:val="D0E4431E"/>
    <w:lvl w:ilvl="0">
      <w:start w:val="1"/>
      <w:numFmt w:val="decimal"/>
      <w:suff w:val="space"/>
      <w:lvlText w:val="Capítulo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lowerLetter"/>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7552539"/>
    <w:multiLevelType w:val="hybridMultilevel"/>
    <w:tmpl w:val="6AF4A62A"/>
    <w:lvl w:ilvl="0" w:tplc="3B74525C">
      <w:start w:val="1"/>
      <w:numFmt w:val="bullet"/>
      <w:lvlText w:val=""/>
      <w:lvlJc w:val="left"/>
      <w:pPr>
        <w:tabs>
          <w:tab w:val="num" w:pos="720"/>
        </w:tabs>
        <w:ind w:left="720" w:hanging="360"/>
      </w:pPr>
      <w:rPr>
        <w:rFonts w:ascii="Wingdings" w:hAnsi="Wingdings" w:hint="default"/>
      </w:rPr>
    </w:lvl>
    <w:lvl w:ilvl="1" w:tplc="10A02BD4" w:tentative="1">
      <w:start w:val="1"/>
      <w:numFmt w:val="bullet"/>
      <w:lvlText w:val=""/>
      <w:lvlJc w:val="left"/>
      <w:pPr>
        <w:tabs>
          <w:tab w:val="num" w:pos="1440"/>
        </w:tabs>
        <w:ind w:left="1440" w:hanging="360"/>
      </w:pPr>
      <w:rPr>
        <w:rFonts w:ascii="Wingdings" w:hAnsi="Wingdings" w:hint="default"/>
      </w:rPr>
    </w:lvl>
    <w:lvl w:ilvl="2" w:tplc="E4CE2E32" w:tentative="1">
      <w:start w:val="1"/>
      <w:numFmt w:val="bullet"/>
      <w:lvlText w:val=""/>
      <w:lvlJc w:val="left"/>
      <w:pPr>
        <w:tabs>
          <w:tab w:val="num" w:pos="2160"/>
        </w:tabs>
        <w:ind w:left="2160" w:hanging="360"/>
      </w:pPr>
      <w:rPr>
        <w:rFonts w:ascii="Wingdings" w:hAnsi="Wingdings" w:hint="default"/>
      </w:rPr>
    </w:lvl>
    <w:lvl w:ilvl="3" w:tplc="B06CCF08" w:tentative="1">
      <w:start w:val="1"/>
      <w:numFmt w:val="bullet"/>
      <w:lvlText w:val=""/>
      <w:lvlJc w:val="left"/>
      <w:pPr>
        <w:tabs>
          <w:tab w:val="num" w:pos="2880"/>
        </w:tabs>
        <w:ind w:left="2880" w:hanging="360"/>
      </w:pPr>
      <w:rPr>
        <w:rFonts w:ascii="Wingdings" w:hAnsi="Wingdings" w:hint="default"/>
      </w:rPr>
    </w:lvl>
    <w:lvl w:ilvl="4" w:tplc="0A445008" w:tentative="1">
      <w:start w:val="1"/>
      <w:numFmt w:val="bullet"/>
      <w:lvlText w:val=""/>
      <w:lvlJc w:val="left"/>
      <w:pPr>
        <w:tabs>
          <w:tab w:val="num" w:pos="3600"/>
        </w:tabs>
        <w:ind w:left="3600" w:hanging="360"/>
      </w:pPr>
      <w:rPr>
        <w:rFonts w:ascii="Wingdings" w:hAnsi="Wingdings" w:hint="default"/>
      </w:rPr>
    </w:lvl>
    <w:lvl w:ilvl="5" w:tplc="B582AA24" w:tentative="1">
      <w:start w:val="1"/>
      <w:numFmt w:val="bullet"/>
      <w:lvlText w:val=""/>
      <w:lvlJc w:val="left"/>
      <w:pPr>
        <w:tabs>
          <w:tab w:val="num" w:pos="4320"/>
        </w:tabs>
        <w:ind w:left="4320" w:hanging="360"/>
      </w:pPr>
      <w:rPr>
        <w:rFonts w:ascii="Wingdings" w:hAnsi="Wingdings" w:hint="default"/>
      </w:rPr>
    </w:lvl>
    <w:lvl w:ilvl="6" w:tplc="96AE0EF2" w:tentative="1">
      <w:start w:val="1"/>
      <w:numFmt w:val="bullet"/>
      <w:lvlText w:val=""/>
      <w:lvlJc w:val="left"/>
      <w:pPr>
        <w:tabs>
          <w:tab w:val="num" w:pos="5040"/>
        </w:tabs>
        <w:ind w:left="5040" w:hanging="360"/>
      </w:pPr>
      <w:rPr>
        <w:rFonts w:ascii="Wingdings" w:hAnsi="Wingdings" w:hint="default"/>
      </w:rPr>
    </w:lvl>
    <w:lvl w:ilvl="7" w:tplc="D70A2FCA" w:tentative="1">
      <w:start w:val="1"/>
      <w:numFmt w:val="bullet"/>
      <w:lvlText w:val=""/>
      <w:lvlJc w:val="left"/>
      <w:pPr>
        <w:tabs>
          <w:tab w:val="num" w:pos="5760"/>
        </w:tabs>
        <w:ind w:left="5760" w:hanging="360"/>
      </w:pPr>
      <w:rPr>
        <w:rFonts w:ascii="Wingdings" w:hAnsi="Wingdings" w:hint="default"/>
      </w:rPr>
    </w:lvl>
    <w:lvl w:ilvl="8" w:tplc="B11630D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3F1F1D"/>
    <w:multiLevelType w:val="multilevel"/>
    <w:tmpl w:val="BA4A42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F30A78"/>
    <w:multiLevelType w:val="multilevel"/>
    <w:tmpl w:val="916A3110"/>
    <w:lvl w:ilvl="0">
      <w:start w:val="1"/>
      <w:numFmt w:val="decimal"/>
      <w:lvlText w:val="%1."/>
      <w:lvlJc w:val="left"/>
      <w:pPr>
        <w:ind w:left="720" w:hanging="360"/>
      </w:pPr>
      <w:rPr>
        <w:rFonts w:hint="default"/>
      </w:rPr>
    </w:lvl>
    <w:lvl w:ilvl="1">
      <w:start w:val="1"/>
      <w:numFmt w:val="lowerRoman"/>
      <w:lvlText w:val="%2."/>
      <w:lvlJc w:val="righ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CE460AD"/>
    <w:multiLevelType w:val="hybridMultilevel"/>
    <w:tmpl w:val="3A8A403A"/>
    <w:lvl w:ilvl="0" w:tplc="440A000F">
      <w:start w:val="1"/>
      <w:numFmt w:val="decimal"/>
      <w:lvlText w:val="%1."/>
      <w:lvlJc w:val="left"/>
      <w:pPr>
        <w:ind w:left="720" w:hanging="360"/>
      </w:pPr>
    </w:lvl>
    <w:lvl w:ilvl="1" w:tplc="440A000F">
      <w:start w:val="1"/>
      <w:numFmt w:val="decimal"/>
      <w:lvlText w:val="%2."/>
      <w:lvlJc w:val="left"/>
      <w:pPr>
        <w:ind w:left="1440" w:hanging="360"/>
      </w:pPr>
    </w:lvl>
    <w:lvl w:ilvl="2" w:tplc="440A001B">
      <w:start w:val="1"/>
      <w:numFmt w:val="lowerRoman"/>
      <w:lvlText w:val="%3."/>
      <w:lvlJc w:val="right"/>
      <w:pPr>
        <w:ind w:left="2160" w:hanging="180"/>
      </w:pPr>
    </w:lvl>
    <w:lvl w:ilvl="3" w:tplc="440A0019">
      <w:start w:val="1"/>
      <w:numFmt w:val="lowerLetter"/>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32B80A57"/>
    <w:multiLevelType w:val="multilevel"/>
    <w:tmpl w:val="AB30EB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65535E"/>
    <w:multiLevelType w:val="hybridMultilevel"/>
    <w:tmpl w:val="0C267D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81F41AF"/>
    <w:multiLevelType w:val="hybridMultilevel"/>
    <w:tmpl w:val="4308FEAA"/>
    <w:lvl w:ilvl="0" w:tplc="42A29F7A">
      <w:start w:val="1"/>
      <w:numFmt w:val="bullet"/>
      <w:lvlText w:val=""/>
      <w:lvlJc w:val="left"/>
      <w:pPr>
        <w:tabs>
          <w:tab w:val="num" w:pos="720"/>
        </w:tabs>
        <w:ind w:left="720" w:hanging="360"/>
      </w:pPr>
      <w:rPr>
        <w:rFonts w:ascii="Wingdings" w:hAnsi="Wingdings" w:hint="default"/>
      </w:rPr>
    </w:lvl>
    <w:lvl w:ilvl="1" w:tplc="BBD2E042" w:tentative="1">
      <w:start w:val="1"/>
      <w:numFmt w:val="bullet"/>
      <w:lvlText w:val=""/>
      <w:lvlJc w:val="left"/>
      <w:pPr>
        <w:tabs>
          <w:tab w:val="num" w:pos="1440"/>
        </w:tabs>
        <w:ind w:left="1440" w:hanging="360"/>
      </w:pPr>
      <w:rPr>
        <w:rFonts w:ascii="Wingdings" w:hAnsi="Wingdings" w:hint="default"/>
      </w:rPr>
    </w:lvl>
    <w:lvl w:ilvl="2" w:tplc="DEF4BD44" w:tentative="1">
      <w:start w:val="1"/>
      <w:numFmt w:val="bullet"/>
      <w:lvlText w:val=""/>
      <w:lvlJc w:val="left"/>
      <w:pPr>
        <w:tabs>
          <w:tab w:val="num" w:pos="2160"/>
        </w:tabs>
        <w:ind w:left="2160" w:hanging="360"/>
      </w:pPr>
      <w:rPr>
        <w:rFonts w:ascii="Wingdings" w:hAnsi="Wingdings" w:hint="default"/>
      </w:rPr>
    </w:lvl>
    <w:lvl w:ilvl="3" w:tplc="52EC85B0" w:tentative="1">
      <w:start w:val="1"/>
      <w:numFmt w:val="bullet"/>
      <w:lvlText w:val=""/>
      <w:lvlJc w:val="left"/>
      <w:pPr>
        <w:tabs>
          <w:tab w:val="num" w:pos="2880"/>
        </w:tabs>
        <w:ind w:left="2880" w:hanging="360"/>
      </w:pPr>
      <w:rPr>
        <w:rFonts w:ascii="Wingdings" w:hAnsi="Wingdings" w:hint="default"/>
      </w:rPr>
    </w:lvl>
    <w:lvl w:ilvl="4" w:tplc="558C6E00" w:tentative="1">
      <w:start w:val="1"/>
      <w:numFmt w:val="bullet"/>
      <w:lvlText w:val=""/>
      <w:lvlJc w:val="left"/>
      <w:pPr>
        <w:tabs>
          <w:tab w:val="num" w:pos="3600"/>
        </w:tabs>
        <w:ind w:left="3600" w:hanging="360"/>
      </w:pPr>
      <w:rPr>
        <w:rFonts w:ascii="Wingdings" w:hAnsi="Wingdings" w:hint="default"/>
      </w:rPr>
    </w:lvl>
    <w:lvl w:ilvl="5" w:tplc="6C6E54DA" w:tentative="1">
      <w:start w:val="1"/>
      <w:numFmt w:val="bullet"/>
      <w:lvlText w:val=""/>
      <w:lvlJc w:val="left"/>
      <w:pPr>
        <w:tabs>
          <w:tab w:val="num" w:pos="4320"/>
        </w:tabs>
        <w:ind w:left="4320" w:hanging="360"/>
      </w:pPr>
      <w:rPr>
        <w:rFonts w:ascii="Wingdings" w:hAnsi="Wingdings" w:hint="default"/>
      </w:rPr>
    </w:lvl>
    <w:lvl w:ilvl="6" w:tplc="9B629C52" w:tentative="1">
      <w:start w:val="1"/>
      <w:numFmt w:val="bullet"/>
      <w:lvlText w:val=""/>
      <w:lvlJc w:val="left"/>
      <w:pPr>
        <w:tabs>
          <w:tab w:val="num" w:pos="5040"/>
        </w:tabs>
        <w:ind w:left="5040" w:hanging="360"/>
      </w:pPr>
      <w:rPr>
        <w:rFonts w:ascii="Wingdings" w:hAnsi="Wingdings" w:hint="default"/>
      </w:rPr>
    </w:lvl>
    <w:lvl w:ilvl="7" w:tplc="8932DA26" w:tentative="1">
      <w:start w:val="1"/>
      <w:numFmt w:val="bullet"/>
      <w:lvlText w:val=""/>
      <w:lvlJc w:val="left"/>
      <w:pPr>
        <w:tabs>
          <w:tab w:val="num" w:pos="5760"/>
        </w:tabs>
        <w:ind w:left="5760" w:hanging="360"/>
      </w:pPr>
      <w:rPr>
        <w:rFonts w:ascii="Wingdings" w:hAnsi="Wingdings" w:hint="default"/>
      </w:rPr>
    </w:lvl>
    <w:lvl w:ilvl="8" w:tplc="9648D45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C9333C"/>
    <w:multiLevelType w:val="hybridMultilevel"/>
    <w:tmpl w:val="BE9AAC10"/>
    <w:lvl w:ilvl="0" w:tplc="440A000F">
      <w:start w:val="1"/>
      <w:numFmt w:val="decimal"/>
      <w:lvlText w:val="%1."/>
      <w:lvlJc w:val="left"/>
      <w:pPr>
        <w:ind w:left="720" w:hanging="360"/>
      </w:pPr>
    </w:lvl>
    <w:lvl w:ilvl="1" w:tplc="440A000F">
      <w:start w:val="1"/>
      <w:numFmt w:val="decimal"/>
      <w:lvlText w:val="%2."/>
      <w:lvlJc w:val="left"/>
      <w:pPr>
        <w:ind w:left="1440" w:hanging="360"/>
      </w:pPr>
    </w:lvl>
    <w:lvl w:ilvl="2" w:tplc="981CE008">
      <w:start w:val="1"/>
      <w:numFmt w:val="upperLetter"/>
      <w:lvlText w:val="%3."/>
      <w:lvlJc w:val="right"/>
      <w:pPr>
        <w:ind w:left="2160" w:hanging="180"/>
      </w:pPr>
      <w:rPr>
        <w:rFonts w:ascii="Century Gothic" w:eastAsiaTheme="minorHAnsi" w:hAnsi="Century Gothic" w:cs="Times New Roman"/>
      </w:r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38F604E5"/>
    <w:multiLevelType w:val="multilevel"/>
    <w:tmpl w:val="DE60BF08"/>
    <w:lvl w:ilvl="0">
      <w:start w:val="1"/>
      <w:numFmt w:val="bullet"/>
      <w:lvlText w:val=""/>
      <w:lvlJc w:val="left"/>
      <w:pPr>
        <w:ind w:left="720" w:hanging="360"/>
      </w:pPr>
      <w:rPr>
        <w:rFonts w:ascii="Symbol" w:hAnsi="Symbol" w:hint="default"/>
      </w:rPr>
    </w:lvl>
    <w:lvl w:ilvl="1">
      <w:start w:val="1"/>
      <w:numFmt w:val="lowerRoman"/>
      <w:lvlText w:val="%2."/>
      <w:lvlJc w:val="righ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DE36514"/>
    <w:multiLevelType w:val="multilevel"/>
    <w:tmpl w:val="440A0029"/>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8" w15:restartNumberingAfterBreak="0">
    <w:nsid w:val="40A23D8B"/>
    <w:multiLevelType w:val="multilevel"/>
    <w:tmpl w:val="5BFEA27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46771E4"/>
    <w:multiLevelType w:val="multilevel"/>
    <w:tmpl w:val="FF74BF04"/>
    <w:lvl w:ilvl="0">
      <w:start w:val="1"/>
      <w:numFmt w:val="decimal"/>
      <w:lvlText w:val="%1."/>
      <w:lvlJc w:val="left"/>
      <w:pPr>
        <w:ind w:left="720" w:hanging="360"/>
      </w:pPr>
      <w:rPr>
        <w:rFonts w:hint="default"/>
      </w:rPr>
    </w:lvl>
    <w:lvl w:ilvl="1">
      <w:start w:val="1"/>
      <w:numFmt w:val="lowerRoman"/>
      <w:lvlText w:val="%2."/>
      <w:lvlJc w:val="righ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869182A"/>
    <w:multiLevelType w:val="hybridMultilevel"/>
    <w:tmpl w:val="8D300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502075D"/>
    <w:multiLevelType w:val="hybridMultilevel"/>
    <w:tmpl w:val="5F2EDBBA"/>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15:restartNumberingAfterBreak="0">
    <w:nsid w:val="58C53A61"/>
    <w:multiLevelType w:val="hybridMultilevel"/>
    <w:tmpl w:val="A1B8BA2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15:restartNumberingAfterBreak="0">
    <w:nsid w:val="5F5F025A"/>
    <w:multiLevelType w:val="hybridMultilevel"/>
    <w:tmpl w:val="D576A5E4"/>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71D25EE9"/>
    <w:multiLevelType w:val="multilevel"/>
    <w:tmpl w:val="AC1E7A4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3BC4D81"/>
    <w:multiLevelType w:val="hybridMultilevel"/>
    <w:tmpl w:val="73B2183A"/>
    <w:lvl w:ilvl="0" w:tplc="AA88CD4E">
      <w:start w:val="1"/>
      <w:numFmt w:val="upperRoman"/>
      <w:lvlText w:val="%1."/>
      <w:lvlJc w:val="right"/>
      <w:pPr>
        <w:ind w:left="720" w:hanging="360"/>
      </w:pPr>
      <w:rPr>
        <w:rFonts w:asciiTheme="majorHAnsi" w:hAnsiTheme="majorHAnsi" w:hint="default"/>
        <w:color w:val="00206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51B4E44"/>
    <w:multiLevelType w:val="hybridMultilevel"/>
    <w:tmpl w:val="9C68D56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7346AC4"/>
    <w:multiLevelType w:val="hybridMultilevel"/>
    <w:tmpl w:val="7C345EB2"/>
    <w:lvl w:ilvl="0" w:tplc="440A0017">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15:restartNumberingAfterBreak="0">
    <w:nsid w:val="7A112360"/>
    <w:multiLevelType w:val="hybridMultilevel"/>
    <w:tmpl w:val="EA4C0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A893BB2"/>
    <w:multiLevelType w:val="multilevel"/>
    <w:tmpl w:val="BA4A42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B8F7704"/>
    <w:multiLevelType w:val="multilevel"/>
    <w:tmpl w:val="46D23A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3"/>
  </w:num>
  <w:num w:numId="4">
    <w:abstractNumId w:val="11"/>
  </w:num>
  <w:num w:numId="5">
    <w:abstractNumId w:val="14"/>
  </w:num>
  <w:num w:numId="6">
    <w:abstractNumId w:val="10"/>
  </w:num>
  <w:num w:numId="7">
    <w:abstractNumId w:val="16"/>
  </w:num>
  <w:num w:numId="8">
    <w:abstractNumId w:val="19"/>
  </w:num>
  <w:num w:numId="9">
    <w:abstractNumId w:val="3"/>
  </w:num>
  <w:num w:numId="10">
    <w:abstractNumId w:val="25"/>
  </w:num>
  <w:num w:numId="11">
    <w:abstractNumId w:val="17"/>
  </w:num>
  <w:num w:numId="12">
    <w:abstractNumId w:val="6"/>
  </w:num>
  <w:num w:numId="13">
    <w:abstractNumId w:val="4"/>
  </w:num>
  <w:num w:numId="14">
    <w:abstractNumId w:val="7"/>
  </w:num>
  <w:num w:numId="15">
    <w:abstractNumId w:val="2"/>
  </w:num>
  <w:num w:numId="16">
    <w:abstractNumId w:val="30"/>
  </w:num>
  <w:num w:numId="17">
    <w:abstractNumId w:val="12"/>
  </w:num>
  <w:num w:numId="18">
    <w:abstractNumId w:val="5"/>
  </w:num>
  <w:num w:numId="19">
    <w:abstractNumId w:val="17"/>
  </w:num>
  <w:num w:numId="20">
    <w:abstractNumId w:val="17"/>
  </w:num>
  <w:num w:numId="21">
    <w:abstractNumId w:val="17"/>
  </w:num>
  <w:num w:numId="22">
    <w:abstractNumId w:val="17"/>
  </w:num>
  <w:num w:numId="23">
    <w:abstractNumId w:val="24"/>
  </w:num>
  <w:num w:numId="24">
    <w:abstractNumId w:val="17"/>
  </w:num>
  <w:num w:numId="25">
    <w:abstractNumId w:val="18"/>
  </w:num>
  <w:num w:numId="26">
    <w:abstractNumId w:val="17"/>
  </w:num>
  <w:num w:numId="27">
    <w:abstractNumId w:val="17"/>
  </w:num>
  <w:num w:numId="28">
    <w:abstractNumId w:val="17"/>
  </w:num>
  <w:num w:numId="29">
    <w:abstractNumId w:val="17"/>
  </w:num>
  <w:num w:numId="30">
    <w:abstractNumId w:val="29"/>
  </w:num>
  <w:num w:numId="31">
    <w:abstractNumId w:val="17"/>
  </w:num>
  <w:num w:numId="32">
    <w:abstractNumId w:val="17"/>
  </w:num>
  <w:num w:numId="33">
    <w:abstractNumId w:val="17"/>
  </w:num>
  <w:num w:numId="34">
    <w:abstractNumId w:val="17"/>
  </w:num>
  <w:num w:numId="35">
    <w:abstractNumId w:val="9"/>
  </w:num>
  <w:num w:numId="36">
    <w:abstractNumId w:val="13"/>
  </w:num>
  <w:num w:numId="37">
    <w:abstractNumId w:val="20"/>
  </w:num>
  <w:num w:numId="38">
    <w:abstractNumId w:val="26"/>
  </w:num>
  <w:num w:numId="39">
    <w:abstractNumId w:val="1"/>
  </w:num>
  <w:num w:numId="40">
    <w:abstractNumId w:val="0"/>
  </w:num>
  <w:num w:numId="41">
    <w:abstractNumId w:val="21"/>
  </w:num>
  <w:num w:numId="42">
    <w:abstractNumId w:val="22"/>
  </w:num>
  <w:num w:numId="43">
    <w:abstractNumId w:val="28"/>
  </w:num>
  <w:num w:numId="44">
    <w:abstractNumId w:val="8"/>
  </w:num>
  <w:num w:numId="45">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A02"/>
    <w:rsid w:val="00004DBB"/>
    <w:rsid w:val="00024156"/>
    <w:rsid w:val="00042A69"/>
    <w:rsid w:val="00043441"/>
    <w:rsid w:val="000503B1"/>
    <w:rsid w:val="000544F6"/>
    <w:rsid w:val="000627FF"/>
    <w:rsid w:val="00066DB2"/>
    <w:rsid w:val="00073BAC"/>
    <w:rsid w:val="00084002"/>
    <w:rsid w:val="0009289A"/>
    <w:rsid w:val="00092AC0"/>
    <w:rsid w:val="0009492E"/>
    <w:rsid w:val="000956B5"/>
    <w:rsid w:val="00096391"/>
    <w:rsid w:val="000A2951"/>
    <w:rsid w:val="000A316B"/>
    <w:rsid w:val="000A6A3C"/>
    <w:rsid w:val="000B38E6"/>
    <w:rsid w:val="000B6408"/>
    <w:rsid w:val="000B73E0"/>
    <w:rsid w:val="000C3443"/>
    <w:rsid w:val="000D212F"/>
    <w:rsid w:val="000D7755"/>
    <w:rsid w:val="000E507C"/>
    <w:rsid w:val="000F5D60"/>
    <w:rsid w:val="00104AD9"/>
    <w:rsid w:val="00105397"/>
    <w:rsid w:val="00105836"/>
    <w:rsid w:val="00106619"/>
    <w:rsid w:val="001114FE"/>
    <w:rsid w:val="001156AA"/>
    <w:rsid w:val="00116A1C"/>
    <w:rsid w:val="00120774"/>
    <w:rsid w:val="001221A5"/>
    <w:rsid w:val="001262BC"/>
    <w:rsid w:val="00126D00"/>
    <w:rsid w:val="00126F82"/>
    <w:rsid w:val="00142000"/>
    <w:rsid w:val="00143DFF"/>
    <w:rsid w:val="0015549A"/>
    <w:rsid w:val="001564EB"/>
    <w:rsid w:val="001565AB"/>
    <w:rsid w:val="00156BE2"/>
    <w:rsid w:val="00157855"/>
    <w:rsid w:val="0016498F"/>
    <w:rsid w:val="0017306D"/>
    <w:rsid w:val="00175A78"/>
    <w:rsid w:val="001842CD"/>
    <w:rsid w:val="00186D9A"/>
    <w:rsid w:val="001940A0"/>
    <w:rsid w:val="001A59B1"/>
    <w:rsid w:val="001B014E"/>
    <w:rsid w:val="001B239F"/>
    <w:rsid w:val="001C1F5F"/>
    <w:rsid w:val="001C3609"/>
    <w:rsid w:val="001C6526"/>
    <w:rsid w:val="001C695B"/>
    <w:rsid w:val="001C7550"/>
    <w:rsid w:val="001D2183"/>
    <w:rsid w:val="001D643D"/>
    <w:rsid w:val="001E4319"/>
    <w:rsid w:val="001E47F7"/>
    <w:rsid w:val="001F4524"/>
    <w:rsid w:val="00213253"/>
    <w:rsid w:val="002172CF"/>
    <w:rsid w:val="00222D23"/>
    <w:rsid w:val="002300E9"/>
    <w:rsid w:val="00232194"/>
    <w:rsid w:val="00233AE7"/>
    <w:rsid w:val="002425EA"/>
    <w:rsid w:val="00244AF8"/>
    <w:rsid w:val="00245683"/>
    <w:rsid w:val="0025030A"/>
    <w:rsid w:val="00252867"/>
    <w:rsid w:val="0025721D"/>
    <w:rsid w:val="00257420"/>
    <w:rsid w:val="00262A0F"/>
    <w:rsid w:val="002703A3"/>
    <w:rsid w:val="00270D07"/>
    <w:rsid w:val="00270E9F"/>
    <w:rsid w:val="00271CCA"/>
    <w:rsid w:val="002744AE"/>
    <w:rsid w:val="002818FC"/>
    <w:rsid w:val="0028449A"/>
    <w:rsid w:val="00284A4F"/>
    <w:rsid w:val="00286402"/>
    <w:rsid w:val="00290ED7"/>
    <w:rsid w:val="0029233A"/>
    <w:rsid w:val="002A25C4"/>
    <w:rsid w:val="002A2F8C"/>
    <w:rsid w:val="002B0817"/>
    <w:rsid w:val="002B3330"/>
    <w:rsid w:val="002B6DA4"/>
    <w:rsid w:val="002C064D"/>
    <w:rsid w:val="002D21CA"/>
    <w:rsid w:val="002D6B37"/>
    <w:rsid w:val="002D7B12"/>
    <w:rsid w:val="002E4436"/>
    <w:rsid w:val="002E4D0B"/>
    <w:rsid w:val="002E7AC5"/>
    <w:rsid w:val="002F0B8A"/>
    <w:rsid w:val="002F2D90"/>
    <w:rsid w:val="002F7381"/>
    <w:rsid w:val="00304D15"/>
    <w:rsid w:val="00324636"/>
    <w:rsid w:val="00335C66"/>
    <w:rsid w:val="00335F0A"/>
    <w:rsid w:val="00350273"/>
    <w:rsid w:val="00352176"/>
    <w:rsid w:val="00352A9F"/>
    <w:rsid w:val="0035412A"/>
    <w:rsid w:val="003640F3"/>
    <w:rsid w:val="00370B40"/>
    <w:rsid w:val="00376610"/>
    <w:rsid w:val="00377978"/>
    <w:rsid w:val="00381593"/>
    <w:rsid w:val="00381D10"/>
    <w:rsid w:val="00384423"/>
    <w:rsid w:val="00385529"/>
    <w:rsid w:val="0039373C"/>
    <w:rsid w:val="003A407B"/>
    <w:rsid w:val="003A4FBD"/>
    <w:rsid w:val="003A5B9A"/>
    <w:rsid w:val="003B1CC4"/>
    <w:rsid w:val="003B2613"/>
    <w:rsid w:val="003B399F"/>
    <w:rsid w:val="003C16C4"/>
    <w:rsid w:val="003C50DE"/>
    <w:rsid w:val="003D6CCC"/>
    <w:rsid w:val="003E05AF"/>
    <w:rsid w:val="003E47E6"/>
    <w:rsid w:val="003E77F4"/>
    <w:rsid w:val="003E7D1C"/>
    <w:rsid w:val="003F39B1"/>
    <w:rsid w:val="004019FA"/>
    <w:rsid w:val="00407F60"/>
    <w:rsid w:val="00410C65"/>
    <w:rsid w:val="0041276A"/>
    <w:rsid w:val="004137EB"/>
    <w:rsid w:val="004147CC"/>
    <w:rsid w:val="00422459"/>
    <w:rsid w:val="00425C5F"/>
    <w:rsid w:val="00431E1B"/>
    <w:rsid w:val="00435420"/>
    <w:rsid w:val="004355E3"/>
    <w:rsid w:val="004628AA"/>
    <w:rsid w:val="0046381A"/>
    <w:rsid w:val="00463942"/>
    <w:rsid w:val="00463CE6"/>
    <w:rsid w:val="00464EDC"/>
    <w:rsid w:val="00465B18"/>
    <w:rsid w:val="0046628B"/>
    <w:rsid w:val="00466D25"/>
    <w:rsid w:val="0047360F"/>
    <w:rsid w:val="004802D8"/>
    <w:rsid w:val="00486F5A"/>
    <w:rsid w:val="0049030D"/>
    <w:rsid w:val="004932B6"/>
    <w:rsid w:val="004A7EB7"/>
    <w:rsid w:val="004C2600"/>
    <w:rsid w:val="004C7D1C"/>
    <w:rsid w:val="004D658F"/>
    <w:rsid w:val="004E23E9"/>
    <w:rsid w:val="004E47FA"/>
    <w:rsid w:val="004F0347"/>
    <w:rsid w:val="004F34E5"/>
    <w:rsid w:val="004F471F"/>
    <w:rsid w:val="00501CDA"/>
    <w:rsid w:val="0051110D"/>
    <w:rsid w:val="005337B4"/>
    <w:rsid w:val="00535082"/>
    <w:rsid w:val="00540DD7"/>
    <w:rsid w:val="00542EFA"/>
    <w:rsid w:val="00546701"/>
    <w:rsid w:val="00566A93"/>
    <w:rsid w:val="00574DE2"/>
    <w:rsid w:val="00577393"/>
    <w:rsid w:val="00583792"/>
    <w:rsid w:val="00587ED8"/>
    <w:rsid w:val="0059133F"/>
    <w:rsid w:val="00596862"/>
    <w:rsid w:val="005A0E6C"/>
    <w:rsid w:val="005A4573"/>
    <w:rsid w:val="005A464C"/>
    <w:rsid w:val="005A5E51"/>
    <w:rsid w:val="005A6442"/>
    <w:rsid w:val="005A66A1"/>
    <w:rsid w:val="005B0FB8"/>
    <w:rsid w:val="005B4E5F"/>
    <w:rsid w:val="005C22CF"/>
    <w:rsid w:val="005D2EF0"/>
    <w:rsid w:val="005D73DE"/>
    <w:rsid w:val="005E01D3"/>
    <w:rsid w:val="005E564B"/>
    <w:rsid w:val="005F25F2"/>
    <w:rsid w:val="005F426F"/>
    <w:rsid w:val="00601A5D"/>
    <w:rsid w:val="00601F3C"/>
    <w:rsid w:val="00615244"/>
    <w:rsid w:val="00615FAE"/>
    <w:rsid w:val="0061617D"/>
    <w:rsid w:val="00621ABC"/>
    <w:rsid w:val="00623035"/>
    <w:rsid w:val="00626A00"/>
    <w:rsid w:val="00635D7C"/>
    <w:rsid w:val="00641340"/>
    <w:rsid w:val="00643239"/>
    <w:rsid w:val="006535F0"/>
    <w:rsid w:val="00655C7D"/>
    <w:rsid w:val="00657FFE"/>
    <w:rsid w:val="00663400"/>
    <w:rsid w:val="00664486"/>
    <w:rsid w:val="00667EC1"/>
    <w:rsid w:val="006700C3"/>
    <w:rsid w:val="0067450E"/>
    <w:rsid w:val="00684FAF"/>
    <w:rsid w:val="0068767A"/>
    <w:rsid w:val="006938FE"/>
    <w:rsid w:val="006A5AC5"/>
    <w:rsid w:val="006A7575"/>
    <w:rsid w:val="006B75BA"/>
    <w:rsid w:val="006B7AF3"/>
    <w:rsid w:val="006D1F56"/>
    <w:rsid w:val="006D5A64"/>
    <w:rsid w:val="006E59E0"/>
    <w:rsid w:val="006F0A17"/>
    <w:rsid w:val="006F3140"/>
    <w:rsid w:val="006F7899"/>
    <w:rsid w:val="0070397C"/>
    <w:rsid w:val="00711440"/>
    <w:rsid w:val="007157AC"/>
    <w:rsid w:val="00720FE9"/>
    <w:rsid w:val="007210B7"/>
    <w:rsid w:val="007308E2"/>
    <w:rsid w:val="00734583"/>
    <w:rsid w:val="007346AB"/>
    <w:rsid w:val="00736AB7"/>
    <w:rsid w:val="00740CEA"/>
    <w:rsid w:val="007538C8"/>
    <w:rsid w:val="00756489"/>
    <w:rsid w:val="007651C1"/>
    <w:rsid w:val="007710EC"/>
    <w:rsid w:val="00774C75"/>
    <w:rsid w:val="00775AC7"/>
    <w:rsid w:val="007858E5"/>
    <w:rsid w:val="007A321C"/>
    <w:rsid w:val="007A3E06"/>
    <w:rsid w:val="007A7363"/>
    <w:rsid w:val="007B1622"/>
    <w:rsid w:val="007B31B3"/>
    <w:rsid w:val="007B4729"/>
    <w:rsid w:val="007C12A9"/>
    <w:rsid w:val="007C27AB"/>
    <w:rsid w:val="007E2A32"/>
    <w:rsid w:val="007E61DD"/>
    <w:rsid w:val="007F1954"/>
    <w:rsid w:val="007F2604"/>
    <w:rsid w:val="007F41AF"/>
    <w:rsid w:val="00802106"/>
    <w:rsid w:val="008104FE"/>
    <w:rsid w:val="00821812"/>
    <w:rsid w:val="0082392C"/>
    <w:rsid w:val="0082520B"/>
    <w:rsid w:val="00827CDE"/>
    <w:rsid w:val="00832C64"/>
    <w:rsid w:val="008404BA"/>
    <w:rsid w:val="008407E4"/>
    <w:rsid w:val="008407F6"/>
    <w:rsid w:val="00842B86"/>
    <w:rsid w:val="00847CF7"/>
    <w:rsid w:val="008521D0"/>
    <w:rsid w:val="008548E3"/>
    <w:rsid w:val="00856819"/>
    <w:rsid w:val="00860901"/>
    <w:rsid w:val="00860CA3"/>
    <w:rsid w:val="00864411"/>
    <w:rsid w:val="0086620E"/>
    <w:rsid w:val="00880526"/>
    <w:rsid w:val="00885901"/>
    <w:rsid w:val="008863ED"/>
    <w:rsid w:val="00886CA9"/>
    <w:rsid w:val="008878F6"/>
    <w:rsid w:val="00892BD5"/>
    <w:rsid w:val="00896BA7"/>
    <w:rsid w:val="00896BCB"/>
    <w:rsid w:val="008A6904"/>
    <w:rsid w:val="008A6A14"/>
    <w:rsid w:val="008C18E5"/>
    <w:rsid w:val="008C709C"/>
    <w:rsid w:val="008C7528"/>
    <w:rsid w:val="008D5571"/>
    <w:rsid w:val="008D5EEC"/>
    <w:rsid w:val="008E38C6"/>
    <w:rsid w:val="00907B0B"/>
    <w:rsid w:val="0091270D"/>
    <w:rsid w:val="0092473E"/>
    <w:rsid w:val="00924B66"/>
    <w:rsid w:val="00927885"/>
    <w:rsid w:val="009325AA"/>
    <w:rsid w:val="00935108"/>
    <w:rsid w:val="00936ED7"/>
    <w:rsid w:val="00937002"/>
    <w:rsid w:val="00962033"/>
    <w:rsid w:val="00964F78"/>
    <w:rsid w:val="009747DE"/>
    <w:rsid w:val="00984628"/>
    <w:rsid w:val="00987866"/>
    <w:rsid w:val="0099391C"/>
    <w:rsid w:val="009A1049"/>
    <w:rsid w:val="009A1B80"/>
    <w:rsid w:val="009A1EFB"/>
    <w:rsid w:val="009A2647"/>
    <w:rsid w:val="009A33A2"/>
    <w:rsid w:val="009A5B5B"/>
    <w:rsid w:val="009B0134"/>
    <w:rsid w:val="009C3C86"/>
    <w:rsid w:val="009C5149"/>
    <w:rsid w:val="009D1190"/>
    <w:rsid w:val="009E0170"/>
    <w:rsid w:val="009E2672"/>
    <w:rsid w:val="009E7840"/>
    <w:rsid w:val="009F58DA"/>
    <w:rsid w:val="00A00102"/>
    <w:rsid w:val="00A05B01"/>
    <w:rsid w:val="00A06447"/>
    <w:rsid w:val="00A12198"/>
    <w:rsid w:val="00A213DA"/>
    <w:rsid w:val="00A250A5"/>
    <w:rsid w:val="00A259E3"/>
    <w:rsid w:val="00A2661F"/>
    <w:rsid w:val="00A27A37"/>
    <w:rsid w:val="00A30BD8"/>
    <w:rsid w:val="00A32C9E"/>
    <w:rsid w:val="00A40311"/>
    <w:rsid w:val="00A4446D"/>
    <w:rsid w:val="00A53340"/>
    <w:rsid w:val="00A5373F"/>
    <w:rsid w:val="00A554C8"/>
    <w:rsid w:val="00A573FD"/>
    <w:rsid w:val="00A6188F"/>
    <w:rsid w:val="00A670A7"/>
    <w:rsid w:val="00A71172"/>
    <w:rsid w:val="00A72312"/>
    <w:rsid w:val="00A74A69"/>
    <w:rsid w:val="00A7557C"/>
    <w:rsid w:val="00A87BB6"/>
    <w:rsid w:val="00A90B68"/>
    <w:rsid w:val="00A91D74"/>
    <w:rsid w:val="00AA07F4"/>
    <w:rsid w:val="00AA5A03"/>
    <w:rsid w:val="00AC154F"/>
    <w:rsid w:val="00AC7425"/>
    <w:rsid w:val="00AD367A"/>
    <w:rsid w:val="00AE08D0"/>
    <w:rsid w:val="00AE1736"/>
    <w:rsid w:val="00AE204D"/>
    <w:rsid w:val="00AE3BB8"/>
    <w:rsid w:val="00AE757E"/>
    <w:rsid w:val="00AF11D4"/>
    <w:rsid w:val="00AF2FB7"/>
    <w:rsid w:val="00B03627"/>
    <w:rsid w:val="00B04513"/>
    <w:rsid w:val="00B0554C"/>
    <w:rsid w:val="00B136AD"/>
    <w:rsid w:val="00B14ADC"/>
    <w:rsid w:val="00B14DFF"/>
    <w:rsid w:val="00B21F96"/>
    <w:rsid w:val="00B249C3"/>
    <w:rsid w:val="00B26CC9"/>
    <w:rsid w:val="00B312C0"/>
    <w:rsid w:val="00B51CE3"/>
    <w:rsid w:val="00B51D0D"/>
    <w:rsid w:val="00B538F5"/>
    <w:rsid w:val="00B65442"/>
    <w:rsid w:val="00B70165"/>
    <w:rsid w:val="00B738C0"/>
    <w:rsid w:val="00B74DBC"/>
    <w:rsid w:val="00B766A0"/>
    <w:rsid w:val="00B83F3A"/>
    <w:rsid w:val="00B90A44"/>
    <w:rsid w:val="00B92F58"/>
    <w:rsid w:val="00B93642"/>
    <w:rsid w:val="00BA2C1A"/>
    <w:rsid w:val="00BA4D62"/>
    <w:rsid w:val="00BA4F36"/>
    <w:rsid w:val="00BA6B69"/>
    <w:rsid w:val="00BA6C94"/>
    <w:rsid w:val="00BB1EF5"/>
    <w:rsid w:val="00BB5D71"/>
    <w:rsid w:val="00BC7BE8"/>
    <w:rsid w:val="00BD37B3"/>
    <w:rsid w:val="00BD4F03"/>
    <w:rsid w:val="00BD5EB7"/>
    <w:rsid w:val="00BE4A02"/>
    <w:rsid w:val="00BE7D9B"/>
    <w:rsid w:val="00BF3775"/>
    <w:rsid w:val="00C0485F"/>
    <w:rsid w:val="00C07F9B"/>
    <w:rsid w:val="00C10077"/>
    <w:rsid w:val="00C16675"/>
    <w:rsid w:val="00C219BD"/>
    <w:rsid w:val="00C60200"/>
    <w:rsid w:val="00C66CC4"/>
    <w:rsid w:val="00C67E4F"/>
    <w:rsid w:val="00C718FD"/>
    <w:rsid w:val="00C76B9B"/>
    <w:rsid w:val="00C8203E"/>
    <w:rsid w:val="00C93CDC"/>
    <w:rsid w:val="00C9567E"/>
    <w:rsid w:val="00CA5939"/>
    <w:rsid w:val="00CB29EF"/>
    <w:rsid w:val="00CB2B0F"/>
    <w:rsid w:val="00CC3400"/>
    <w:rsid w:val="00CC658D"/>
    <w:rsid w:val="00CC719F"/>
    <w:rsid w:val="00CE5370"/>
    <w:rsid w:val="00CF7579"/>
    <w:rsid w:val="00D036BB"/>
    <w:rsid w:val="00D121F6"/>
    <w:rsid w:val="00D138E9"/>
    <w:rsid w:val="00D13FA9"/>
    <w:rsid w:val="00D14D9E"/>
    <w:rsid w:val="00D21B57"/>
    <w:rsid w:val="00D21DC1"/>
    <w:rsid w:val="00D25A0D"/>
    <w:rsid w:val="00D25D19"/>
    <w:rsid w:val="00D27C4A"/>
    <w:rsid w:val="00D31A0A"/>
    <w:rsid w:val="00D3373E"/>
    <w:rsid w:val="00D37E02"/>
    <w:rsid w:val="00D449CB"/>
    <w:rsid w:val="00D44C8E"/>
    <w:rsid w:val="00D50DC3"/>
    <w:rsid w:val="00D528CF"/>
    <w:rsid w:val="00D56C13"/>
    <w:rsid w:val="00D5734D"/>
    <w:rsid w:val="00D66E1F"/>
    <w:rsid w:val="00D73C30"/>
    <w:rsid w:val="00D777F7"/>
    <w:rsid w:val="00D8456B"/>
    <w:rsid w:val="00D8489F"/>
    <w:rsid w:val="00D85200"/>
    <w:rsid w:val="00D91619"/>
    <w:rsid w:val="00D959B3"/>
    <w:rsid w:val="00D972B8"/>
    <w:rsid w:val="00DA094F"/>
    <w:rsid w:val="00DA4AAB"/>
    <w:rsid w:val="00DA501E"/>
    <w:rsid w:val="00DB1623"/>
    <w:rsid w:val="00DB1685"/>
    <w:rsid w:val="00DC1250"/>
    <w:rsid w:val="00DC6844"/>
    <w:rsid w:val="00DD5581"/>
    <w:rsid w:val="00DD76B2"/>
    <w:rsid w:val="00DF1054"/>
    <w:rsid w:val="00E012B6"/>
    <w:rsid w:val="00E043B1"/>
    <w:rsid w:val="00E11CA6"/>
    <w:rsid w:val="00E11D81"/>
    <w:rsid w:val="00E20D1D"/>
    <w:rsid w:val="00E274D3"/>
    <w:rsid w:val="00E33D7F"/>
    <w:rsid w:val="00E344FC"/>
    <w:rsid w:val="00E3477F"/>
    <w:rsid w:val="00E50D8A"/>
    <w:rsid w:val="00E51B8E"/>
    <w:rsid w:val="00E61FA9"/>
    <w:rsid w:val="00E641A9"/>
    <w:rsid w:val="00E76AAB"/>
    <w:rsid w:val="00E76E57"/>
    <w:rsid w:val="00E8523D"/>
    <w:rsid w:val="00E87848"/>
    <w:rsid w:val="00E87DCB"/>
    <w:rsid w:val="00E9178F"/>
    <w:rsid w:val="00E9588C"/>
    <w:rsid w:val="00E9755F"/>
    <w:rsid w:val="00EA1E15"/>
    <w:rsid w:val="00EB3479"/>
    <w:rsid w:val="00EB77F3"/>
    <w:rsid w:val="00EC307A"/>
    <w:rsid w:val="00EC3C1E"/>
    <w:rsid w:val="00ED4F8B"/>
    <w:rsid w:val="00ED7408"/>
    <w:rsid w:val="00EE0312"/>
    <w:rsid w:val="00EE2E83"/>
    <w:rsid w:val="00EF1D75"/>
    <w:rsid w:val="00F010F9"/>
    <w:rsid w:val="00F02DB0"/>
    <w:rsid w:val="00F05DDF"/>
    <w:rsid w:val="00F07C4A"/>
    <w:rsid w:val="00F168B1"/>
    <w:rsid w:val="00F21D69"/>
    <w:rsid w:val="00F2474A"/>
    <w:rsid w:val="00F26A85"/>
    <w:rsid w:val="00F27742"/>
    <w:rsid w:val="00F300ED"/>
    <w:rsid w:val="00F35B87"/>
    <w:rsid w:val="00F36DD3"/>
    <w:rsid w:val="00F42306"/>
    <w:rsid w:val="00F45301"/>
    <w:rsid w:val="00F5381C"/>
    <w:rsid w:val="00F549BD"/>
    <w:rsid w:val="00F60D9C"/>
    <w:rsid w:val="00F63A3F"/>
    <w:rsid w:val="00F73B87"/>
    <w:rsid w:val="00F75AAA"/>
    <w:rsid w:val="00F75C69"/>
    <w:rsid w:val="00F95DB8"/>
    <w:rsid w:val="00F96250"/>
    <w:rsid w:val="00FA215A"/>
    <w:rsid w:val="00FB695C"/>
    <w:rsid w:val="00FB6D32"/>
    <w:rsid w:val="00FB7A45"/>
    <w:rsid w:val="00FC129F"/>
    <w:rsid w:val="00FC5FE3"/>
    <w:rsid w:val="00FE797E"/>
    <w:rsid w:val="00FF78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B67E6"/>
  <w15:docId w15:val="{8009E8B0-C168-4CB4-89CB-68528A78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A02"/>
    <w:pPr>
      <w:spacing w:after="0" w:line="240" w:lineRule="auto"/>
    </w:pPr>
    <w:rPr>
      <w:rFonts w:ascii="Calibri" w:hAnsi="Calibri" w:cs="Times New Roman"/>
    </w:rPr>
  </w:style>
  <w:style w:type="paragraph" w:styleId="Ttulo1">
    <w:name w:val="heading 1"/>
    <w:basedOn w:val="Normal"/>
    <w:next w:val="Normal"/>
    <w:link w:val="Ttulo1Car"/>
    <w:uiPriority w:val="9"/>
    <w:qFormat/>
    <w:rsid w:val="00BE4A02"/>
    <w:pPr>
      <w:keepNext/>
      <w:keepLines/>
      <w:numPr>
        <w:numId w:val="11"/>
      </w:numPr>
      <w:spacing w:before="360"/>
      <w:outlineLvl w:val="0"/>
    </w:pPr>
    <w:rPr>
      <w:rFonts w:asciiTheme="majorHAnsi" w:eastAsiaTheme="majorEastAsia" w:hAnsiTheme="majorHAnsi" w:cstheme="majorBidi"/>
      <w:bCs/>
      <w:color w:val="4F81BD" w:themeColor="accent1"/>
      <w:sz w:val="32"/>
      <w:szCs w:val="32"/>
      <w:lang w:eastAsia="es-SV"/>
      <w14:numForm w14:val="oldStyle"/>
    </w:rPr>
  </w:style>
  <w:style w:type="paragraph" w:styleId="Ttulo2">
    <w:name w:val="heading 2"/>
    <w:basedOn w:val="Normal"/>
    <w:next w:val="Normal"/>
    <w:link w:val="Ttulo2Car"/>
    <w:uiPriority w:val="9"/>
    <w:unhideWhenUsed/>
    <w:qFormat/>
    <w:rsid w:val="00BE4A02"/>
    <w:pPr>
      <w:keepNext/>
      <w:keepLines/>
      <w:numPr>
        <w:ilvl w:val="1"/>
        <w:numId w:val="11"/>
      </w:numPr>
      <w:spacing w:before="120"/>
      <w:outlineLvl w:val="1"/>
    </w:pPr>
    <w:rPr>
      <w:rFonts w:asciiTheme="majorHAnsi" w:eastAsiaTheme="majorEastAsia" w:hAnsiTheme="majorHAnsi" w:cstheme="majorBidi"/>
      <w:bCs/>
      <w:color w:val="1F497D" w:themeColor="text2"/>
      <w:sz w:val="28"/>
      <w:szCs w:val="28"/>
      <w:lang w:eastAsia="es-SV"/>
    </w:rPr>
  </w:style>
  <w:style w:type="paragraph" w:styleId="Ttulo3">
    <w:name w:val="heading 3"/>
    <w:basedOn w:val="Normal"/>
    <w:next w:val="Normal"/>
    <w:link w:val="Ttulo3Car"/>
    <w:uiPriority w:val="9"/>
    <w:unhideWhenUsed/>
    <w:qFormat/>
    <w:rsid w:val="00D138E9"/>
    <w:pPr>
      <w:keepNext/>
      <w:keepLines/>
      <w:numPr>
        <w:ilvl w:val="2"/>
        <w:numId w:val="11"/>
      </w:numPr>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B51CE3"/>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B51CE3"/>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B51CE3"/>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B51CE3"/>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B51CE3"/>
    <w:pPr>
      <w:keepNext/>
      <w:keepLines/>
      <w:numPr>
        <w:ilvl w:val="7"/>
        <w:numId w:val="1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B51CE3"/>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4A02"/>
    <w:pPr>
      <w:spacing w:after="200" w:line="276" w:lineRule="auto"/>
      <w:ind w:left="720"/>
      <w:contextualSpacing/>
    </w:pPr>
  </w:style>
  <w:style w:type="character" w:customStyle="1" w:styleId="Ttulo1Car">
    <w:name w:val="Título 1 Car"/>
    <w:basedOn w:val="Fuentedeprrafopredeter"/>
    <w:link w:val="Ttulo1"/>
    <w:uiPriority w:val="9"/>
    <w:rsid w:val="00BE4A02"/>
    <w:rPr>
      <w:rFonts w:asciiTheme="majorHAnsi" w:eastAsiaTheme="majorEastAsia" w:hAnsiTheme="majorHAnsi" w:cstheme="majorBidi"/>
      <w:bCs/>
      <w:color w:val="4F81BD" w:themeColor="accent1"/>
      <w:sz w:val="32"/>
      <w:szCs w:val="32"/>
      <w:lang w:eastAsia="es-SV"/>
      <w14:numForm w14:val="oldStyle"/>
    </w:rPr>
  </w:style>
  <w:style w:type="character" w:customStyle="1" w:styleId="Ttulo2Car">
    <w:name w:val="Título 2 Car"/>
    <w:basedOn w:val="Fuentedeprrafopredeter"/>
    <w:link w:val="Ttulo2"/>
    <w:uiPriority w:val="9"/>
    <w:rsid w:val="00BE4A02"/>
    <w:rPr>
      <w:rFonts w:asciiTheme="majorHAnsi" w:eastAsiaTheme="majorEastAsia" w:hAnsiTheme="majorHAnsi" w:cstheme="majorBidi"/>
      <w:bCs/>
      <w:color w:val="1F497D" w:themeColor="text2"/>
      <w:sz w:val="28"/>
      <w:szCs w:val="28"/>
      <w:lang w:eastAsia="es-SV"/>
    </w:rPr>
  </w:style>
  <w:style w:type="table" w:styleId="Cuadrculaclara">
    <w:name w:val="Light Grid"/>
    <w:basedOn w:val="Tablanormal"/>
    <w:uiPriority w:val="62"/>
    <w:rsid w:val="00BE4A02"/>
    <w:pPr>
      <w:spacing w:after="0" w:line="240" w:lineRule="auto"/>
    </w:pPr>
    <w:rPr>
      <w:lang w:eastAsia="es-SV"/>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Default">
    <w:name w:val="Default"/>
    <w:rsid w:val="00BE4A02"/>
    <w:pPr>
      <w:autoSpaceDE w:val="0"/>
      <w:autoSpaceDN w:val="0"/>
      <w:adjustRightInd w:val="0"/>
      <w:spacing w:after="0" w:line="240" w:lineRule="auto"/>
    </w:pPr>
    <w:rPr>
      <w:rFonts w:ascii="Myriad Pro" w:hAnsi="Myriad Pro" w:cs="Myriad Pro"/>
      <w:color w:val="000000"/>
      <w:sz w:val="24"/>
      <w:szCs w:val="24"/>
    </w:rPr>
  </w:style>
  <w:style w:type="paragraph" w:styleId="Textodeglobo">
    <w:name w:val="Balloon Text"/>
    <w:basedOn w:val="Normal"/>
    <w:link w:val="TextodegloboCar"/>
    <w:uiPriority w:val="99"/>
    <w:semiHidden/>
    <w:unhideWhenUsed/>
    <w:rsid w:val="00B93642"/>
    <w:rPr>
      <w:rFonts w:ascii="Tahoma" w:hAnsi="Tahoma" w:cs="Tahoma"/>
      <w:sz w:val="16"/>
      <w:szCs w:val="16"/>
    </w:rPr>
  </w:style>
  <w:style w:type="character" w:customStyle="1" w:styleId="TextodegloboCar">
    <w:name w:val="Texto de globo Car"/>
    <w:basedOn w:val="Fuentedeprrafopredeter"/>
    <w:link w:val="Textodeglobo"/>
    <w:uiPriority w:val="99"/>
    <w:semiHidden/>
    <w:rsid w:val="00B93642"/>
    <w:rPr>
      <w:rFonts w:ascii="Tahoma" w:hAnsi="Tahoma" w:cs="Tahoma"/>
      <w:sz w:val="16"/>
      <w:szCs w:val="16"/>
    </w:rPr>
  </w:style>
  <w:style w:type="paragraph" w:styleId="NormalWeb">
    <w:name w:val="Normal (Web)"/>
    <w:basedOn w:val="Normal"/>
    <w:uiPriority w:val="99"/>
    <w:unhideWhenUsed/>
    <w:rsid w:val="00B766A0"/>
    <w:pPr>
      <w:spacing w:before="100" w:beforeAutospacing="1" w:after="100" w:afterAutospacing="1"/>
    </w:pPr>
    <w:rPr>
      <w:rFonts w:ascii="Times New Roman" w:eastAsia="Times New Roman" w:hAnsi="Times New Roman"/>
      <w:sz w:val="24"/>
      <w:szCs w:val="24"/>
      <w:lang w:eastAsia="es-SV"/>
    </w:rPr>
  </w:style>
  <w:style w:type="paragraph" w:styleId="TtuloTDC">
    <w:name w:val="TOC Heading"/>
    <w:basedOn w:val="Ttulo1"/>
    <w:next w:val="Normal"/>
    <w:uiPriority w:val="39"/>
    <w:unhideWhenUsed/>
    <w:qFormat/>
    <w:rsid w:val="00431E1B"/>
    <w:pPr>
      <w:spacing w:before="480" w:line="276" w:lineRule="auto"/>
      <w:outlineLvl w:val="9"/>
    </w:pPr>
    <w:rPr>
      <w:b/>
      <w:color w:val="365F91" w:themeColor="accent1" w:themeShade="BF"/>
      <w:sz w:val="28"/>
      <w:szCs w:val="28"/>
      <w14:numForm w14:val="default"/>
    </w:rPr>
  </w:style>
  <w:style w:type="paragraph" w:styleId="TDC2">
    <w:name w:val="toc 2"/>
    <w:basedOn w:val="Normal"/>
    <w:next w:val="Normal"/>
    <w:autoRedefine/>
    <w:uiPriority w:val="39"/>
    <w:unhideWhenUsed/>
    <w:qFormat/>
    <w:rsid w:val="00C66CC4"/>
    <w:pPr>
      <w:tabs>
        <w:tab w:val="left" w:pos="880"/>
        <w:tab w:val="right" w:leader="dot" w:pos="8828"/>
      </w:tabs>
      <w:spacing w:after="100" w:line="276" w:lineRule="auto"/>
      <w:ind w:left="220"/>
    </w:pPr>
    <w:rPr>
      <w:rFonts w:asciiTheme="minorHAnsi" w:eastAsiaTheme="minorEastAsia" w:hAnsiTheme="minorHAnsi" w:cstheme="minorBidi"/>
      <w:lang w:eastAsia="es-SV"/>
    </w:rPr>
  </w:style>
  <w:style w:type="paragraph" w:styleId="TDC1">
    <w:name w:val="toc 1"/>
    <w:basedOn w:val="Normal"/>
    <w:next w:val="Normal"/>
    <w:autoRedefine/>
    <w:uiPriority w:val="39"/>
    <w:unhideWhenUsed/>
    <w:qFormat/>
    <w:rsid w:val="00D138E9"/>
    <w:pPr>
      <w:tabs>
        <w:tab w:val="right" w:leader="dot" w:pos="8828"/>
      </w:tabs>
      <w:spacing w:after="100" w:line="276" w:lineRule="auto"/>
    </w:pPr>
    <w:rPr>
      <w:rFonts w:asciiTheme="minorHAnsi" w:eastAsiaTheme="minorEastAsia" w:hAnsiTheme="minorHAnsi" w:cstheme="minorBidi"/>
      <w:lang w:eastAsia="es-SV"/>
    </w:rPr>
  </w:style>
  <w:style w:type="paragraph" w:styleId="TDC3">
    <w:name w:val="toc 3"/>
    <w:basedOn w:val="Normal"/>
    <w:next w:val="Normal"/>
    <w:autoRedefine/>
    <w:uiPriority w:val="39"/>
    <w:unhideWhenUsed/>
    <w:qFormat/>
    <w:rsid w:val="00431E1B"/>
    <w:pPr>
      <w:spacing w:after="100" w:line="276" w:lineRule="auto"/>
      <w:ind w:left="440"/>
    </w:pPr>
    <w:rPr>
      <w:rFonts w:asciiTheme="minorHAnsi" w:eastAsiaTheme="minorEastAsia" w:hAnsiTheme="minorHAnsi" w:cstheme="minorBidi"/>
      <w:lang w:eastAsia="es-SV"/>
    </w:rPr>
  </w:style>
  <w:style w:type="character" w:styleId="Hipervnculo">
    <w:name w:val="Hyperlink"/>
    <w:basedOn w:val="Fuentedeprrafopredeter"/>
    <w:uiPriority w:val="99"/>
    <w:unhideWhenUsed/>
    <w:rsid w:val="00431E1B"/>
    <w:rPr>
      <w:color w:val="0000FF" w:themeColor="hyperlink"/>
      <w:u w:val="single"/>
    </w:rPr>
  </w:style>
  <w:style w:type="character" w:customStyle="1" w:styleId="Ttulo3Car">
    <w:name w:val="Título 3 Car"/>
    <w:basedOn w:val="Fuentedeprrafopredeter"/>
    <w:link w:val="Ttulo3"/>
    <w:uiPriority w:val="9"/>
    <w:rsid w:val="00D138E9"/>
    <w:rPr>
      <w:rFonts w:asciiTheme="majorHAnsi" w:eastAsiaTheme="majorEastAsia" w:hAnsiTheme="majorHAnsi" w:cstheme="majorBidi"/>
      <w:b/>
      <w:bCs/>
      <w:color w:val="4F81BD" w:themeColor="accent1"/>
    </w:rPr>
  </w:style>
  <w:style w:type="paragraph" w:styleId="Encabezado">
    <w:name w:val="header"/>
    <w:basedOn w:val="Normal"/>
    <w:link w:val="EncabezadoCar"/>
    <w:uiPriority w:val="99"/>
    <w:unhideWhenUsed/>
    <w:rsid w:val="00E11D81"/>
    <w:pPr>
      <w:tabs>
        <w:tab w:val="center" w:pos="4419"/>
        <w:tab w:val="right" w:pos="8838"/>
      </w:tabs>
    </w:pPr>
  </w:style>
  <w:style w:type="character" w:customStyle="1" w:styleId="EncabezadoCar">
    <w:name w:val="Encabezado Car"/>
    <w:basedOn w:val="Fuentedeprrafopredeter"/>
    <w:link w:val="Encabezado"/>
    <w:uiPriority w:val="99"/>
    <w:rsid w:val="00E11D81"/>
    <w:rPr>
      <w:rFonts w:ascii="Calibri" w:hAnsi="Calibri" w:cs="Times New Roman"/>
    </w:rPr>
  </w:style>
  <w:style w:type="paragraph" w:styleId="Piedepgina">
    <w:name w:val="footer"/>
    <w:basedOn w:val="Normal"/>
    <w:link w:val="PiedepginaCar"/>
    <w:uiPriority w:val="99"/>
    <w:unhideWhenUsed/>
    <w:rsid w:val="00E11D81"/>
    <w:pPr>
      <w:tabs>
        <w:tab w:val="center" w:pos="4419"/>
        <w:tab w:val="right" w:pos="8838"/>
      </w:tabs>
    </w:pPr>
  </w:style>
  <w:style w:type="character" w:customStyle="1" w:styleId="PiedepginaCar">
    <w:name w:val="Pie de página Car"/>
    <w:basedOn w:val="Fuentedeprrafopredeter"/>
    <w:link w:val="Piedepgina"/>
    <w:uiPriority w:val="99"/>
    <w:rsid w:val="00E11D81"/>
    <w:rPr>
      <w:rFonts w:ascii="Calibri" w:hAnsi="Calibri" w:cs="Times New Roman"/>
    </w:rPr>
  </w:style>
  <w:style w:type="paragraph" w:styleId="Citadestacada">
    <w:name w:val="Intense Quote"/>
    <w:basedOn w:val="Normal"/>
    <w:next w:val="Normal"/>
    <w:link w:val="CitadestacadaCar"/>
    <w:uiPriority w:val="30"/>
    <w:qFormat/>
    <w:rsid w:val="002E4D0B"/>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2E4D0B"/>
    <w:rPr>
      <w:rFonts w:ascii="Calibri" w:hAnsi="Calibri" w:cs="Times New Roman"/>
      <w:b/>
      <w:bCs/>
      <w:i/>
      <w:iCs/>
      <w:color w:val="4F81BD" w:themeColor="accent1"/>
    </w:rPr>
  </w:style>
  <w:style w:type="character" w:customStyle="1" w:styleId="Ttulo4Car">
    <w:name w:val="Título 4 Car"/>
    <w:basedOn w:val="Fuentedeprrafopredeter"/>
    <w:link w:val="Ttulo4"/>
    <w:uiPriority w:val="9"/>
    <w:rsid w:val="00B51CE3"/>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B51CE3"/>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B51CE3"/>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B51CE3"/>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B51CE3"/>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B51CE3"/>
    <w:rPr>
      <w:rFonts w:asciiTheme="majorHAnsi" w:eastAsiaTheme="majorEastAsia" w:hAnsiTheme="majorHAnsi" w:cstheme="majorBidi"/>
      <w:i/>
      <w:iCs/>
      <w:color w:val="404040" w:themeColor="text1" w:themeTint="BF"/>
      <w:sz w:val="20"/>
      <w:szCs w:val="20"/>
    </w:rPr>
  </w:style>
  <w:style w:type="character" w:styleId="Textoennegrita">
    <w:name w:val="Strong"/>
    <w:basedOn w:val="Fuentedeprrafopredeter"/>
    <w:uiPriority w:val="22"/>
    <w:qFormat/>
    <w:rsid w:val="001D643D"/>
    <w:rPr>
      <w:b/>
      <w:bCs/>
    </w:rPr>
  </w:style>
  <w:style w:type="paragraph" w:styleId="TDC4">
    <w:name w:val="toc 4"/>
    <w:basedOn w:val="Normal"/>
    <w:next w:val="Normal"/>
    <w:autoRedefine/>
    <w:uiPriority w:val="39"/>
    <w:unhideWhenUsed/>
    <w:rsid w:val="00E61FA9"/>
    <w:pPr>
      <w:spacing w:after="100"/>
      <w:ind w:left="660"/>
    </w:pPr>
  </w:style>
  <w:style w:type="paragraph" w:styleId="TDC5">
    <w:name w:val="toc 5"/>
    <w:basedOn w:val="Normal"/>
    <w:next w:val="Normal"/>
    <w:autoRedefine/>
    <w:uiPriority w:val="39"/>
    <w:unhideWhenUsed/>
    <w:rsid w:val="00E61FA9"/>
    <w:pPr>
      <w:spacing w:after="100"/>
      <w:ind w:left="880"/>
    </w:pPr>
  </w:style>
  <w:style w:type="table" w:styleId="Tablaconcuadrcula">
    <w:name w:val="Table Grid"/>
    <w:basedOn w:val="Tablanormal"/>
    <w:uiPriority w:val="59"/>
    <w:rsid w:val="00252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1564EB"/>
    <w:rPr>
      <w:rFonts w:cs="Minion Pro"/>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40875">
      <w:bodyDiv w:val="1"/>
      <w:marLeft w:val="0"/>
      <w:marRight w:val="0"/>
      <w:marTop w:val="0"/>
      <w:marBottom w:val="0"/>
      <w:divBdr>
        <w:top w:val="none" w:sz="0" w:space="0" w:color="auto"/>
        <w:left w:val="none" w:sz="0" w:space="0" w:color="auto"/>
        <w:bottom w:val="none" w:sz="0" w:space="0" w:color="auto"/>
        <w:right w:val="none" w:sz="0" w:space="0" w:color="auto"/>
      </w:divBdr>
    </w:div>
    <w:div w:id="40717622">
      <w:bodyDiv w:val="1"/>
      <w:marLeft w:val="0"/>
      <w:marRight w:val="0"/>
      <w:marTop w:val="0"/>
      <w:marBottom w:val="0"/>
      <w:divBdr>
        <w:top w:val="none" w:sz="0" w:space="0" w:color="auto"/>
        <w:left w:val="none" w:sz="0" w:space="0" w:color="auto"/>
        <w:bottom w:val="none" w:sz="0" w:space="0" w:color="auto"/>
        <w:right w:val="none" w:sz="0" w:space="0" w:color="auto"/>
      </w:divBdr>
    </w:div>
    <w:div w:id="336925880">
      <w:bodyDiv w:val="1"/>
      <w:marLeft w:val="0"/>
      <w:marRight w:val="0"/>
      <w:marTop w:val="0"/>
      <w:marBottom w:val="0"/>
      <w:divBdr>
        <w:top w:val="none" w:sz="0" w:space="0" w:color="auto"/>
        <w:left w:val="none" w:sz="0" w:space="0" w:color="auto"/>
        <w:bottom w:val="none" w:sz="0" w:space="0" w:color="auto"/>
        <w:right w:val="none" w:sz="0" w:space="0" w:color="auto"/>
      </w:divBdr>
    </w:div>
    <w:div w:id="397290871">
      <w:bodyDiv w:val="1"/>
      <w:marLeft w:val="0"/>
      <w:marRight w:val="0"/>
      <w:marTop w:val="0"/>
      <w:marBottom w:val="0"/>
      <w:divBdr>
        <w:top w:val="none" w:sz="0" w:space="0" w:color="auto"/>
        <w:left w:val="none" w:sz="0" w:space="0" w:color="auto"/>
        <w:bottom w:val="none" w:sz="0" w:space="0" w:color="auto"/>
        <w:right w:val="none" w:sz="0" w:space="0" w:color="auto"/>
      </w:divBdr>
    </w:div>
    <w:div w:id="561210019">
      <w:bodyDiv w:val="1"/>
      <w:marLeft w:val="0"/>
      <w:marRight w:val="0"/>
      <w:marTop w:val="0"/>
      <w:marBottom w:val="0"/>
      <w:divBdr>
        <w:top w:val="none" w:sz="0" w:space="0" w:color="auto"/>
        <w:left w:val="none" w:sz="0" w:space="0" w:color="auto"/>
        <w:bottom w:val="none" w:sz="0" w:space="0" w:color="auto"/>
        <w:right w:val="none" w:sz="0" w:space="0" w:color="auto"/>
      </w:divBdr>
    </w:div>
    <w:div w:id="627512645">
      <w:bodyDiv w:val="1"/>
      <w:marLeft w:val="0"/>
      <w:marRight w:val="0"/>
      <w:marTop w:val="0"/>
      <w:marBottom w:val="0"/>
      <w:divBdr>
        <w:top w:val="none" w:sz="0" w:space="0" w:color="auto"/>
        <w:left w:val="none" w:sz="0" w:space="0" w:color="auto"/>
        <w:bottom w:val="none" w:sz="0" w:space="0" w:color="auto"/>
        <w:right w:val="none" w:sz="0" w:space="0" w:color="auto"/>
      </w:divBdr>
    </w:div>
    <w:div w:id="716664778">
      <w:bodyDiv w:val="1"/>
      <w:marLeft w:val="0"/>
      <w:marRight w:val="0"/>
      <w:marTop w:val="0"/>
      <w:marBottom w:val="0"/>
      <w:divBdr>
        <w:top w:val="none" w:sz="0" w:space="0" w:color="auto"/>
        <w:left w:val="none" w:sz="0" w:space="0" w:color="auto"/>
        <w:bottom w:val="none" w:sz="0" w:space="0" w:color="auto"/>
        <w:right w:val="none" w:sz="0" w:space="0" w:color="auto"/>
      </w:divBdr>
    </w:div>
    <w:div w:id="743376323">
      <w:bodyDiv w:val="1"/>
      <w:marLeft w:val="0"/>
      <w:marRight w:val="0"/>
      <w:marTop w:val="0"/>
      <w:marBottom w:val="0"/>
      <w:divBdr>
        <w:top w:val="none" w:sz="0" w:space="0" w:color="auto"/>
        <w:left w:val="none" w:sz="0" w:space="0" w:color="auto"/>
        <w:bottom w:val="none" w:sz="0" w:space="0" w:color="auto"/>
        <w:right w:val="none" w:sz="0" w:space="0" w:color="auto"/>
      </w:divBdr>
    </w:div>
    <w:div w:id="761099994">
      <w:bodyDiv w:val="1"/>
      <w:marLeft w:val="0"/>
      <w:marRight w:val="0"/>
      <w:marTop w:val="0"/>
      <w:marBottom w:val="0"/>
      <w:divBdr>
        <w:top w:val="none" w:sz="0" w:space="0" w:color="auto"/>
        <w:left w:val="none" w:sz="0" w:space="0" w:color="auto"/>
        <w:bottom w:val="none" w:sz="0" w:space="0" w:color="auto"/>
        <w:right w:val="none" w:sz="0" w:space="0" w:color="auto"/>
      </w:divBdr>
    </w:div>
    <w:div w:id="782651720">
      <w:bodyDiv w:val="1"/>
      <w:marLeft w:val="0"/>
      <w:marRight w:val="0"/>
      <w:marTop w:val="0"/>
      <w:marBottom w:val="0"/>
      <w:divBdr>
        <w:top w:val="none" w:sz="0" w:space="0" w:color="auto"/>
        <w:left w:val="none" w:sz="0" w:space="0" w:color="auto"/>
        <w:bottom w:val="none" w:sz="0" w:space="0" w:color="auto"/>
        <w:right w:val="none" w:sz="0" w:space="0" w:color="auto"/>
      </w:divBdr>
      <w:divsChild>
        <w:div w:id="1794593914">
          <w:marLeft w:val="446"/>
          <w:marRight w:val="0"/>
          <w:marTop w:val="0"/>
          <w:marBottom w:val="0"/>
          <w:divBdr>
            <w:top w:val="none" w:sz="0" w:space="0" w:color="auto"/>
            <w:left w:val="none" w:sz="0" w:space="0" w:color="auto"/>
            <w:bottom w:val="none" w:sz="0" w:space="0" w:color="auto"/>
            <w:right w:val="none" w:sz="0" w:space="0" w:color="auto"/>
          </w:divBdr>
        </w:div>
        <w:div w:id="581640619">
          <w:marLeft w:val="446"/>
          <w:marRight w:val="0"/>
          <w:marTop w:val="0"/>
          <w:marBottom w:val="0"/>
          <w:divBdr>
            <w:top w:val="none" w:sz="0" w:space="0" w:color="auto"/>
            <w:left w:val="none" w:sz="0" w:space="0" w:color="auto"/>
            <w:bottom w:val="none" w:sz="0" w:space="0" w:color="auto"/>
            <w:right w:val="none" w:sz="0" w:space="0" w:color="auto"/>
          </w:divBdr>
        </w:div>
      </w:divsChild>
    </w:div>
    <w:div w:id="824399963">
      <w:bodyDiv w:val="1"/>
      <w:marLeft w:val="0"/>
      <w:marRight w:val="0"/>
      <w:marTop w:val="0"/>
      <w:marBottom w:val="0"/>
      <w:divBdr>
        <w:top w:val="none" w:sz="0" w:space="0" w:color="auto"/>
        <w:left w:val="none" w:sz="0" w:space="0" w:color="auto"/>
        <w:bottom w:val="none" w:sz="0" w:space="0" w:color="auto"/>
        <w:right w:val="none" w:sz="0" w:space="0" w:color="auto"/>
      </w:divBdr>
    </w:div>
    <w:div w:id="856818999">
      <w:bodyDiv w:val="1"/>
      <w:marLeft w:val="0"/>
      <w:marRight w:val="0"/>
      <w:marTop w:val="0"/>
      <w:marBottom w:val="0"/>
      <w:divBdr>
        <w:top w:val="none" w:sz="0" w:space="0" w:color="auto"/>
        <w:left w:val="none" w:sz="0" w:space="0" w:color="auto"/>
        <w:bottom w:val="none" w:sz="0" w:space="0" w:color="auto"/>
        <w:right w:val="none" w:sz="0" w:space="0" w:color="auto"/>
      </w:divBdr>
    </w:div>
    <w:div w:id="907810304">
      <w:bodyDiv w:val="1"/>
      <w:marLeft w:val="0"/>
      <w:marRight w:val="0"/>
      <w:marTop w:val="0"/>
      <w:marBottom w:val="0"/>
      <w:divBdr>
        <w:top w:val="none" w:sz="0" w:space="0" w:color="auto"/>
        <w:left w:val="none" w:sz="0" w:space="0" w:color="auto"/>
        <w:bottom w:val="none" w:sz="0" w:space="0" w:color="auto"/>
        <w:right w:val="none" w:sz="0" w:space="0" w:color="auto"/>
      </w:divBdr>
    </w:div>
    <w:div w:id="942807175">
      <w:bodyDiv w:val="1"/>
      <w:marLeft w:val="0"/>
      <w:marRight w:val="0"/>
      <w:marTop w:val="0"/>
      <w:marBottom w:val="0"/>
      <w:divBdr>
        <w:top w:val="none" w:sz="0" w:space="0" w:color="auto"/>
        <w:left w:val="none" w:sz="0" w:space="0" w:color="auto"/>
        <w:bottom w:val="none" w:sz="0" w:space="0" w:color="auto"/>
        <w:right w:val="none" w:sz="0" w:space="0" w:color="auto"/>
      </w:divBdr>
    </w:div>
    <w:div w:id="1167598903">
      <w:bodyDiv w:val="1"/>
      <w:marLeft w:val="0"/>
      <w:marRight w:val="0"/>
      <w:marTop w:val="0"/>
      <w:marBottom w:val="0"/>
      <w:divBdr>
        <w:top w:val="none" w:sz="0" w:space="0" w:color="auto"/>
        <w:left w:val="none" w:sz="0" w:space="0" w:color="auto"/>
        <w:bottom w:val="none" w:sz="0" w:space="0" w:color="auto"/>
        <w:right w:val="none" w:sz="0" w:space="0" w:color="auto"/>
      </w:divBdr>
    </w:div>
    <w:div w:id="1218012715">
      <w:bodyDiv w:val="1"/>
      <w:marLeft w:val="0"/>
      <w:marRight w:val="0"/>
      <w:marTop w:val="0"/>
      <w:marBottom w:val="0"/>
      <w:divBdr>
        <w:top w:val="none" w:sz="0" w:space="0" w:color="auto"/>
        <w:left w:val="none" w:sz="0" w:space="0" w:color="auto"/>
        <w:bottom w:val="none" w:sz="0" w:space="0" w:color="auto"/>
        <w:right w:val="none" w:sz="0" w:space="0" w:color="auto"/>
      </w:divBdr>
    </w:div>
    <w:div w:id="1309168086">
      <w:bodyDiv w:val="1"/>
      <w:marLeft w:val="0"/>
      <w:marRight w:val="0"/>
      <w:marTop w:val="0"/>
      <w:marBottom w:val="0"/>
      <w:divBdr>
        <w:top w:val="none" w:sz="0" w:space="0" w:color="auto"/>
        <w:left w:val="none" w:sz="0" w:space="0" w:color="auto"/>
        <w:bottom w:val="none" w:sz="0" w:space="0" w:color="auto"/>
        <w:right w:val="none" w:sz="0" w:space="0" w:color="auto"/>
      </w:divBdr>
    </w:div>
    <w:div w:id="1357462278">
      <w:bodyDiv w:val="1"/>
      <w:marLeft w:val="0"/>
      <w:marRight w:val="0"/>
      <w:marTop w:val="0"/>
      <w:marBottom w:val="0"/>
      <w:divBdr>
        <w:top w:val="none" w:sz="0" w:space="0" w:color="auto"/>
        <w:left w:val="none" w:sz="0" w:space="0" w:color="auto"/>
        <w:bottom w:val="none" w:sz="0" w:space="0" w:color="auto"/>
        <w:right w:val="none" w:sz="0" w:space="0" w:color="auto"/>
      </w:divBdr>
    </w:div>
    <w:div w:id="1520269254">
      <w:bodyDiv w:val="1"/>
      <w:marLeft w:val="0"/>
      <w:marRight w:val="0"/>
      <w:marTop w:val="0"/>
      <w:marBottom w:val="0"/>
      <w:divBdr>
        <w:top w:val="none" w:sz="0" w:space="0" w:color="auto"/>
        <w:left w:val="none" w:sz="0" w:space="0" w:color="auto"/>
        <w:bottom w:val="none" w:sz="0" w:space="0" w:color="auto"/>
        <w:right w:val="none" w:sz="0" w:space="0" w:color="auto"/>
      </w:divBdr>
    </w:div>
    <w:div w:id="1575234769">
      <w:bodyDiv w:val="1"/>
      <w:marLeft w:val="0"/>
      <w:marRight w:val="0"/>
      <w:marTop w:val="0"/>
      <w:marBottom w:val="0"/>
      <w:divBdr>
        <w:top w:val="none" w:sz="0" w:space="0" w:color="auto"/>
        <w:left w:val="none" w:sz="0" w:space="0" w:color="auto"/>
        <w:bottom w:val="none" w:sz="0" w:space="0" w:color="auto"/>
        <w:right w:val="none" w:sz="0" w:space="0" w:color="auto"/>
      </w:divBdr>
    </w:div>
    <w:div w:id="1664117339">
      <w:bodyDiv w:val="1"/>
      <w:marLeft w:val="0"/>
      <w:marRight w:val="0"/>
      <w:marTop w:val="0"/>
      <w:marBottom w:val="0"/>
      <w:divBdr>
        <w:top w:val="none" w:sz="0" w:space="0" w:color="auto"/>
        <w:left w:val="none" w:sz="0" w:space="0" w:color="auto"/>
        <w:bottom w:val="none" w:sz="0" w:space="0" w:color="auto"/>
        <w:right w:val="none" w:sz="0" w:space="0" w:color="auto"/>
      </w:divBdr>
    </w:div>
    <w:div w:id="1682393159">
      <w:bodyDiv w:val="1"/>
      <w:marLeft w:val="0"/>
      <w:marRight w:val="0"/>
      <w:marTop w:val="0"/>
      <w:marBottom w:val="0"/>
      <w:divBdr>
        <w:top w:val="none" w:sz="0" w:space="0" w:color="auto"/>
        <w:left w:val="none" w:sz="0" w:space="0" w:color="auto"/>
        <w:bottom w:val="none" w:sz="0" w:space="0" w:color="auto"/>
        <w:right w:val="none" w:sz="0" w:space="0" w:color="auto"/>
      </w:divBdr>
    </w:div>
    <w:div w:id="1682970347">
      <w:bodyDiv w:val="1"/>
      <w:marLeft w:val="0"/>
      <w:marRight w:val="0"/>
      <w:marTop w:val="0"/>
      <w:marBottom w:val="0"/>
      <w:divBdr>
        <w:top w:val="none" w:sz="0" w:space="0" w:color="auto"/>
        <w:left w:val="none" w:sz="0" w:space="0" w:color="auto"/>
        <w:bottom w:val="none" w:sz="0" w:space="0" w:color="auto"/>
        <w:right w:val="none" w:sz="0" w:space="0" w:color="auto"/>
      </w:divBdr>
    </w:div>
    <w:div w:id="203249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charts/_rels/chart1.xml.rels><?xml version="1.0" encoding="UTF-8" standalone="yes"?>
<Relationships xmlns="http://schemas.openxmlformats.org/package/2006/relationships"><Relationship Id="rId2" Type="http://schemas.openxmlformats.org/officeDocument/2006/relationships/oleObject" Target="file:///C:\Users\smargueis\AppData\Local\Microsoft\Windows\Temporary%20Internet%20Files\Content.Outlook\QRDNTEQS\COMPARACION%20DE%20POBLACIONES%20PARA%20RC%20-REPORTE%20-%20JULIO%202017.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JOHSNNY\Desktop\OOOOOO\PRESIDENCIA\informaci&#243;n%20presidencia%202017.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JOHSNNY\Desktop\OOOOOO\PRESIDENCIA\informaci&#243;n%20presidencia%202017.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JOHSNNY\Desktop\OOOOOO\PRESIDENCIA\informaci&#243;n%20presidencia%202017.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172.30.8.63\Correspondecia\2017\INFORME%20ANUAL%20DE%20GESTION%2011_08_17.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3"/>
              </a:solidFill>
              <a:ln>
                <a:solidFill>
                  <a:schemeClr val="accent3"/>
                </a:solidFill>
              </a:ln>
              <a:effectLst/>
            </c:spPr>
            <c:extLst>
              <c:ext xmlns:c16="http://schemas.microsoft.com/office/drawing/2014/chart" uri="{C3380CC4-5D6E-409C-BE32-E72D297353CC}">
                <c16:uniqueId val="{00000001-72E2-4EEA-8922-DFEB04BE112C}"/>
              </c:ext>
            </c:extLst>
          </c:dPt>
          <c:dPt>
            <c:idx val="2"/>
            <c:invertIfNegative val="0"/>
            <c:bubble3D val="0"/>
            <c:spPr>
              <a:solidFill>
                <a:schemeClr val="accent3"/>
              </a:solidFill>
              <a:ln>
                <a:solidFill>
                  <a:schemeClr val="accent3"/>
                </a:solidFill>
              </a:ln>
              <a:effectLst/>
            </c:spPr>
            <c:extLst>
              <c:ext xmlns:c16="http://schemas.microsoft.com/office/drawing/2014/chart" uri="{C3380CC4-5D6E-409C-BE32-E72D297353CC}">
                <c16:uniqueId val="{00000003-72E2-4EEA-8922-DFEB04BE112C}"/>
              </c:ext>
            </c:extLst>
          </c:dPt>
          <c:dPt>
            <c:idx val="4"/>
            <c:invertIfNegative val="0"/>
            <c:bubble3D val="0"/>
            <c:spPr>
              <a:solidFill>
                <a:schemeClr val="accent3"/>
              </a:solidFill>
              <a:ln>
                <a:solidFill>
                  <a:schemeClr val="accent3"/>
                </a:solidFill>
              </a:ln>
              <a:effectLst/>
            </c:spPr>
            <c:extLst>
              <c:ext xmlns:c16="http://schemas.microsoft.com/office/drawing/2014/chart" uri="{C3380CC4-5D6E-409C-BE32-E72D297353CC}">
                <c16:uniqueId val="{00000005-72E2-4EEA-8922-DFEB04BE112C}"/>
              </c:ext>
            </c:extLst>
          </c:dPt>
          <c:dPt>
            <c:idx val="6"/>
            <c:invertIfNegative val="0"/>
            <c:bubble3D val="0"/>
            <c:spPr>
              <a:solidFill>
                <a:schemeClr val="accent3"/>
              </a:solidFill>
              <a:ln>
                <a:solidFill>
                  <a:schemeClr val="accent3"/>
                </a:solidFill>
              </a:ln>
              <a:effectLst/>
            </c:spPr>
            <c:extLst>
              <c:ext xmlns:c16="http://schemas.microsoft.com/office/drawing/2014/chart" uri="{C3380CC4-5D6E-409C-BE32-E72D297353CC}">
                <c16:uniqueId val="{00000007-72E2-4EEA-8922-DFEB04BE112C}"/>
              </c:ext>
            </c:extLst>
          </c:dPt>
          <c:dPt>
            <c:idx val="8"/>
            <c:invertIfNegative val="0"/>
            <c:bubble3D val="0"/>
            <c:spPr>
              <a:solidFill>
                <a:schemeClr val="accent3"/>
              </a:solidFill>
              <a:ln>
                <a:noFill/>
              </a:ln>
              <a:effectLst/>
            </c:spPr>
            <c:extLst>
              <c:ext xmlns:c16="http://schemas.microsoft.com/office/drawing/2014/chart" uri="{C3380CC4-5D6E-409C-BE32-E72D297353CC}">
                <c16:uniqueId val="{00000009-72E2-4EEA-8922-DFEB04BE112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Hoja1!$A$4:$A$12</c:f>
              <c:strCache>
                <c:ptCount val="9"/>
                <c:pt idx="0">
                  <c:v>2009</c:v>
                </c:pt>
                <c:pt idx="1">
                  <c:v>2010</c:v>
                </c:pt>
                <c:pt idx="2">
                  <c:v>2011</c:v>
                </c:pt>
                <c:pt idx="3">
                  <c:v>2012</c:v>
                </c:pt>
                <c:pt idx="4">
                  <c:v>2013</c:v>
                </c:pt>
                <c:pt idx="5">
                  <c:v>2014</c:v>
                </c:pt>
                <c:pt idx="6">
                  <c:v>2015</c:v>
                </c:pt>
                <c:pt idx="7">
                  <c:v>2016</c:v>
                </c:pt>
                <c:pt idx="8">
                  <c:v>Julio 2017</c:v>
                </c:pt>
              </c:strCache>
            </c:strRef>
          </c:cat>
          <c:val>
            <c:numRef>
              <c:f>Hoja1!$K$4:$K$12</c:f>
              <c:numCache>
                <c:formatCode>#,##0</c:formatCode>
                <c:ptCount val="9"/>
                <c:pt idx="0">
                  <c:v>85644</c:v>
                </c:pt>
                <c:pt idx="1">
                  <c:v>86841</c:v>
                </c:pt>
                <c:pt idx="2">
                  <c:v>103633</c:v>
                </c:pt>
                <c:pt idx="3">
                  <c:v>103471</c:v>
                </c:pt>
                <c:pt idx="4">
                  <c:v>101499</c:v>
                </c:pt>
                <c:pt idx="5">
                  <c:v>100321</c:v>
                </c:pt>
                <c:pt idx="6">
                  <c:v>98296</c:v>
                </c:pt>
                <c:pt idx="7">
                  <c:v>96145</c:v>
                </c:pt>
                <c:pt idx="8">
                  <c:v>94842</c:v>
                </c:pt>
              </c:numCache>
            </c:numRef>
          </c:val>
          <c:extLst>
            <c:ext xmlns:c16="http://schemas.microsoft.com/office/drawing/2014/chart" uri="{C3380CC4-5D6E-409C-BE32-E72D297353CC}">
              <c16:uniqueId val="{0000000A-72E2-4EEA-8922-DFEB04BE112C}"/>
            </c:ext>
          </c:extLst>
        </c:ser>
        <c:dLbls>
          <c:showLegendKey val="0"/>
          <c:showVal val="0"/>
          <c:showCatName val="0"/>
          <c:showSerName val="0"/>
          <c:showPercent val="0"/>
          <c:showBubbleSize val="0"/>
        </c:dLbls>
        <c:gapWidth val="219"/>
        <c:overlap val="-27"/>
        <c:axId val="121853056"/>
        <c:axId val="121854592"/>
      </c:barChart>
      <c:catAx>
        <c:axId val="121853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21854592"/>
        <c:crosses val="autoZero"/>
        <c:auto val="1"/>
        <c:lblAlgn val="ctr"/>
        <c:lblOffset val="100"/>
        <c:noMultiLvlLbl val="0"/>
      </c:catAx>
      <c:valAx>
        <c:axId val="1218545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21853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ATENCIONES BRINDADAS EN EL PRIMER NIVEL</a:t>
            </a:r>
          </a:p>
        </c:rich>
      </c:tx>
      <c:overlay val="0"/>
      <c:spPr>
        <a:noFill/>
        <a:ln>
          <a:noFill/>
        </a:ln>
        <a:effectLst/>
      </c:spPr>
    </c:title>
    <c:autoTitleDeleted val="0"/>
    <c:plotArea>
      <c:layout/>
      <c:barChart>
        <c:barDir val="col"/>
        <c:grouping val="clustered"/>
        <c:varyColors val="0"/>
        <c:ser>
          <c:idx val="0"/>
          <c:order val="0"/>
          <c:tx>
            <c:strRef>
              <c:f>Hoja2!$B$7</c:f>
              <c:strCache>
                <c:ptCount val="1"/>
                <c:pt idx="0">
                  <c:v>JUNIO A DICIEMBRE AÑO 2016</c:v>
                </c:pt>
              </c:strCache>
            </c:strRef>
          </c:tx>
          <c:spPr>
            <a:solidFill>
              <a:schemeClr val="accent1"/>
            </a:solidFill>
            <a:ln>
              <a:noFill/>
            </a:ln>
            <a:effectLst/>
          </c:spPr>
          <c:invertIfNegative val="0"/>
          <c:cat>
            <c:strRef>
              <c:f>Hoja2!$C$6:$D$6</c:f>
              <c:strCache>
                <c:ptCount val="2"/>
                <c:pt idx="0">
                  <c:v>TOTAL</c:v>
                </c:pt>
                <c:pt idx="1">
                  <c:v>PROMEDIO</c:v>
                </c:pt>
              </c:strCache>
            </c:strRef>
          </c:cat>
          <c:val>
            <c:numRef>
              <c:f>Hoja2!$C$7:$D$7</c:f>
              <c:numCache>
                <c:formatCode>#,##0</c:formatCode>
                <c:ptCount val="2"/>
                <c:pt idx="0">
                  <c:v>309290</c:v>
                </c:pt>
                <c:pt idx="1">
                  <c:v>44184.285714285717</c:v>
                </c:pt>
              </c:numCache>
            </c:numRef>
          </c:val>
          <c:extLst>
            <c:ext xmlns:c16="http://schemas.microsoft.com/office/drawing/2014/chart" uri="{C3380CC4-5D6E-409C-BE32-E72D297353CC}">
              <c16:uniqueId val="{00000000-4D26-4939-AE6F-2E80CFDD7714}"/>
            </c:ext>
          </c:extLst>
        </c:ser>
        <c:ser>
          <c:idx val="1"/>
          <c:order val="1"/>
          <c:tx>
            <c:strRef>
              <c:f>Hoja2!$B$8</c:f>
              <c:strCache>
                <c:ptCount val="1"/>
                <c:pt idx="0">
                  <c:v>ENERO A JULIO AÑO 2017</c:v>
                </c:pt>
              </c:strCache>
            </c:strRef>
          </c:tx>
          <c:spPr>
            <a:solidFill>
              <a:schemeClr val="accent2"/>
            </a:solidFill>
            <a:ln>
              <a:noFill/>
            </a:ln>
            <a:effectLst/>
          </c:spPr>
          <c:invertIfNegative val="0"/>
          <c:cat>
            <c:strRef>
              <c:f>Hoja2!$C$6:$D$6</c:f>
              <c:strCache>
                <c:ptCount val="2"/>
                <c:pt idx="0">
                  <c:v>TOTAL</c:v>
                </c:pt>
                <c:pt idx="1">
                  <c:v>PROMEDIO</c:v>
                </c:pt>
              </c:strCache>
            </c:strRef>
          </c:cat>
          <c:val>
            <c:numRef>
              <c:f>Hoja2!$C$8:$D$8</c:f>
              <c:numCache>
                <c:formatCode>#,##0</c:formatCode>
                <c:ptCount val="2"/>
                <c:pt idx="0">
                  <c:v>265587</c:v>
                </c:pt>
                <c:pt idx="1">
                  <c:v>44264.5</c:v>
                </c:pt>
              </c:numCache>
            </c:numRef>
          </c:val>
          <c:extLst>
            <c:ext xmlns:c16="http://schemas.microsoft.com/office/drawing/2014/chart" uri="{C3380CC4-5D6E-409C-BE32-E72D297353CC}">
              <c16:uniqueId val="{00000001-4D26-4939-AE6F-2E80CFDD7714}"/>
            </c:ext>
          </c:extLst>
        </c:ser>
        <c:dLbls>
          <c:showLegendKey val="0"/>
          <c:showVal val="0"/>
          <c:showCatName val="0"/>
          <c:showSerName val="0"/>
          <c:showPercent val="0"/>
          <c:showBubbleSize val="0"/>
        </c:dLbls>
        <c:gapWidth val="150"/>
        <c:axId val="121876480"/>
        <c:axId val="121878016"/>
      </c:barChart>
      <c:catAx>
        <c:axId val="121876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21878016"/>
        <c:crosses val="autoZero"/>
        <c:auto val="1"/>
        <c:lblAlgn val="ctr"/>
        <c:lblOffset val="100"/>
        <c:noMultiLvlLbl val="0"/>
      </c:catAx>
      <c:valAx>
        <c:axId val="1218780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21876480"/>
        <c:crosses val="autoZero"/>
        <c:crossBetween val="between"/>
      </c:valAx>
      <c:dTable>
        <c:showHorzBorder val="1"/>
        <c:showVertBorder val="1"/>
        <c:showOutline val="1"/>
        <c:showKeys val="1"/>
        <c:spPr>
          <a:noFill/>
          <a:ln w="9525" cap="flat" cmpd="sng" algn="ctr">
            <a:solidFill>
              <a:schemeClr val="tx1"/>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SV"/>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ATENCIÓN</a:t>
            </a:r>
            <a:r>
              <a:rPr lang="es-ES" baseline="0"/>
              <a:t> MÉDICA ESPECIALIZADA</a:t>
            </a:r>
            <a:endParaRPr lang="es-ES"/>
          </a:p>
        </c:rich>
      </c:tx>
      <c:overlay val="0"/>
      <c:spPr>
        <a:noFill/>
        <a:ln>
          <a:noFill/>
        </a:ln>
        <a:effectLst/>
      </c:spPr>
    </c:title>
    <c:autoTitleDeleted val="0"/>
    <c:plotArea>
      <c:layout/>
      <c:barChart>
        <c:barDir val="col"/>
        <c:grouping val="clustered"/>
        <c:varyColors val="0"/>
        <c:ser>
          <c:idx val="0"/>
          <c:order val="0"/>
          <c:tx>
            <c:strRef>
              <c:f>Hoja15!$C$4</c:f>
              <c:strCache>
                <c:ptCount val="1"/>
                <c:pt idx="0">
                  <c:v>JUNIO A DICIEMBRE 2016</c:v>
                </c:pt>
              </c:strCache>
            </c:strRef>
          </c:tx>
          <c:spPr>
            <a:solidFill>
              <a:schemeClr val="accent1"/>
            </a:solidFill>
            <a:ln>
              <a:noFill/>
            </a:ln>
            <a:effectLst/>
          </c:spPr>
          <c:invertIfNegative val="0"/>
          <c:cat>
            <c:strRef>
              <c:f>Hoja15!$B$5:$B$8</c:f>
              <c:strCache>
                <c:ptCount val="4"/>
                <c:pt idx="0">
                  <c:v>MEDICINA INTERNA</c:v>
                </c:pt>
                <c:pt idx="1">
                  <c:v>PEDIATRÍA</c:v>
                </c:pt>
                <c:pt idx="2">
                  <c:v>GINECOLOGÍA Y OBSTETRICIA</c:v>
                </c:pt>
                <c:pt idx="3">
                  <c:v>CIRUGÍA</c:v>
                </c:pt>
              </c:strCache>
            </c:strRef>
          </c:cat>
          <c:val>
            <c:numRef>
              <c:f>Hoja15!$C$5:$C$8</c:f>
              <c:numCache>
                <c:formatCode>#,##0</c:formatCode>
                <c:ptCount val="4"/>
                <c:pt idx="0">
                  <c:v>17754</c:v>
                </c:pt>
                <c:pt idx="1">
                  <c:v>3339</c:v>
                </c:pt>
                <c:pt idx="2">
                  <c:v>10715</c:v>
                </c:pt>
                <c:pt idx="3">
                  <c:v>20167</c:v>
                </c:pt>
              </c:numCache>
            </c:numRef>
          </c:val>
          <c:extLst>
            <c:ext xmlns:c16="http://schemas.microsoft.com/office/drawing/2014/chart" uri="{C3380CC4-5D6E-409C-BE32-E72D297353CC}">
              <c16:uniqueId val="{00000000-0F83-4A4C-A639-FD74CBA14428}"/>
            </c:ext>
          </c:extLst>
        </c:ser>
        <c:ser>
          <c:idx val="1"/>
          <c:order val="1"/>
          <c:tx>
            <c:strRef>
              <c:f>Hoja15!$D$4</c:f>
              <c:strCache>
                <c:ptCount val="1"/>
                <c:pt idx="0">
                  <c:v>ENERO A JUNIO 2017</c:v>
                </c:pt>
              </c:strCache>
            </c:strRef>
          </c:tx>
          <c:spPr>
            <a:solidFill>
              <a:schemeClr val="accent2"/>
            </a:solidFill>
            <a:ln>
              <a:noFill/>
            </a:ln>
            <a:effectLst/>
          </c:spPr>
          <c:invertIfNegative val="0"/>
          <c:cat>
            <c:strRef>
              <c:f>Hoja15!$B$5:$B$8</c:f>
              <c:strCache>
                <c:ptCount val="4"/>
                <c:pt idx="0">
                  <c:v>MEDICINA INTERNA</c:v>
                </c:pt>
                <c:pt idx="1">
                  <c:v>PEDIATRÍA</c:v>
                </c:pt>
                <c:pt idx="2">
                  <c:v>GINECOLOGÍA Y OBSTETRICIA</c:v>
                </c:pt>
                <c:pt idx="3">
                  <c:v>CIRUGÍA</c:v>
                </c:pt>
              </c:strCache>
            </c:strRef>
          </c:cat>
          <c:val>
            <c:numRef>
              <c:f>Hoja15!$D$5:$D$8</c:f>
              <c:numCache>
                <c:formatCode>#,##0</c:formatCode>
                <c:ptCount val="4"/>
                <c:pt idx="0">
                  <c:v>13247</c:v>
                </c:pt>
                <c:pt idx="1">
                  <c:v>2459</c:v>
                </c:pt>
                <c:pt idx="2">
                  <c:v>9794</c:v>
                </c:pt>
                <c:pt idx="3">
                  <c:v>16774</c:v>
                </c:pt>
              </c:numCache>
            </c:numRef>
          </c:val>
          <c:extLst>
            <c:ext xmlns:c16="http://schemas.microsoft.com/office/drawing/2014/chart" uri="{C3380CC4-5D6E-409C-BE32-E72D297353CC}">
              <c16:uniqueId val="{00000001-0F83-4A4C-A639-FD74CBA14428}"/>
            </c:ext>
          </c:extLst>
        </c:ser>
        <c:ser>
          <c:idx val="2"/>
          <c:order val="2"/>
          <c:tx>
            <c:strRef>
              <c:f>Hoja15!$E$4</c:f>
              <c:strCache>
                <c:ptCount val="1"/>
                <c:pt idx="0">
                  <c:v>TOTAL</c:v>
                </c:pt>
              </c:strCache>
            </c:strRef>
          </c:tx>
          <c:spPr>
            <a:solidFill>
              <a:schemeClr val="accent3"/>
            </a:solidFill>
            <a:ln>
              <a:noFill/>
            </a:ln>
            <a:effectLst/>
          </c:spPr>
          <c:invertIfNegative val="0"/>
          <c:cat>
            <c:strRef>
              <c:f>Hoja15!$B$5:$B$8</c:f>
              <c:strCache>
                <c:ptCount val="4"/>
                <c:pt idx="0">
                  <c:v>MEDICINA INTERNA</c:v>
                </c:pt>
                <c:pt idx="1">
                  <c:v>PEDIATRÍA</c:v>
                </c:pt>
                <c:pt idx="2">
                  <c:v>GINECOLOGÍA Y OBSTETRICIA</c:v>
                </c:pt>
                <c:pt idx="3">
                  <c:v>CIRUGÍA</c:v>
                </c:pt>
              </c:strCache>
            </c:strRef>
          </c:cat>
          <c:val>
            <c:numRef>
              <c:f>Hoja15!$E$5:$E$8</c:f>
              <c:numCache>
                <c:formatCode>#,##0</c:formatCode>
                <c:ptCount val="4"/>
                <c:pt idx="0">
                  <c:v>31001</c:v>
                </c:pt>
                <c:pt idx="1">
                  <c:v>5798</c:v>
                </c:pt>
                <c:pt idx="2">
                  <c:v>20509</c:v>
                </c:pt>
                <c:pt idx="3">
                  <c:v>36941</c:v>
                </c:pt>
              </c:numCache>
            </c:numRef>
          </c:val>
          <c:extLst>
            <c:ext xmlns:c16="http://schemas.microsoft.com/office/drawing/2014/chart" uri="{C3380CC4-5D6E-409C-BE32-E72D297353CC}">
              <c16:uniqueId val="{00000002-0F83-4A4C-A639-FD74CBA14428}"/>
            </c:ext>
          </c:extLst>
        </c:ser>
        <c:dLbls>
          <c:showLegendKey val="0"/>
          <c:showVal val="0"/>
          <c:showCatName val="0"/>
          <c:showSerName val="0"/>
          <c:showPercent val="0"/>
          <c:showBubbleSize val="0"/>
        </c:dLbls>
        <c:gapWidth val="150"/>
        <c:axId val="122037760"/>
        <c:axId val="122039296"/>
      </c:barChart>
      <c:catAx>
        <c:axId val="122037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22039296"/>
        <c:crosses val="autoZero"/>
        <c:auto val="1"/>
        <c:lblAlgn val="ctr"/>
        <c:lblOffset val="100"/>
        <c:noMultiLvlLbl val="0"/>
      </c:catAx>
      <c:valAx>
        <c:axId val="1220392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220377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SV"/>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CIRUGÍAS</a:t>
            </a:r>
            <a:r>
              <a:rPr lang="es-ES" baseline="0"/>
              <a:t> HOSPITALARIAS</a:t>
            </a:r>
            <a:endParaRPr lang="es-ES"/>
          </a:p>
        </c:rich>
      </c:tx>
      <c:overlay val="0"/>
      <c:spPr>
        <a:noFill/>
        <a:ln>
          <a:noFill/>
        </a:ln>
        <a:effectLst/>
      </c:spPr>
    </c:title>
    <c:autoTitleDeleted val="0"/>
    <c:plotArea>
      <c:layout/>
      <c:barChart>
        <c:barDir val="col"/>
        <c:grouping val="clustered"/>
        <c:varyColors val="0"/>
        <c:ser>
          <c:idx val="0"/>
          <c:order val="0"/>
          <c:tx>
            <c:strRef>
              <c:f>Hoja13!$C$3</c:f>
              <c:strCache>
                <c:ptCount val="1"/>
                <c:pt idx="0">
                  <c:v>AÑO 2016</c:v>
                </c:pt>
              </c:strCache>
            </c:strRef>
          </c:tx>
          <c:spPr>
            <a:solidFill>
              <a:schemeClr val="accent1"/>
            </a:solidFill>
            <a:ln>
              <a:noFill/>
            </a:ln>
            <a:effectLst/>
          </c:spPr>
          <c:invertIfNegative val="0"/>
          <c:cat>
            <c:strRef>
              <c:f>Hoja13!$B$4:$B$6</c:f>
              <c:strCache>
                <c:ptCount val="3"/>
                <c:pt idx="0">
                  <c:v>AMBULATORIA</c:v>
                </c:pt>
                <c:pt idx="1">
                  <c:v>EMERGENCIA</c:v>
                </c:pt>
                <c:pt idx="2">
                  <c:v>ELECTIVA</c:v>
                </c:pt>
              </c:strCache>
            </c:strRef>
          </c:cat>
          <c:val>
            <c:numRef>
              <c:f>Hoja13!$C$4:$C$6</c:f>
            </c:numRef>
          </c:val>
          <c:extLst>
            <c:ext xmlns:c16="http://schemas.microsoft.com/office/drawing/2014/chart" uri="{C3380CC4-5D6E-409C-BE32-E72D297353CC}">
              <c16:uniqueId val="{00000000-8C06-4EC3-BFF8-30EE5B1A11D3}"/>
            </c:ext>
          </c:extLst>
        </c:ser>
        <c:ser>
          <c:idx val="1"/>
          <c:order val="1"/>
          <c:tx>
            <c:strRef>
              <c:f>Hoja13!$D$3</c:f>
              <c:strCache>
                <c:ptCount val="1"/>
                <c:pt idx="0">
                  <c:v>ENERO A MAYO 2016</c:v>
                </c:pt>
              </c:strCache>
            </c:strRef>
          </c:tx>
          <c:spPr>
            <a:solidFill>
              <a:schemeClr val="accent2"/>
            </a:solidFill>
            <a:ln>
              <a:noFill/>
            </a:ln>
            <a:effectLst/>
          </c:spPr>
          <c:invertIfNegative val="0"/>
          <c:cat>
            <c:strRef>
              <c:f>Hoja13!$B$4:$B$6</c:f>
              <c:strCache>
                <c:ptCount val="3"/>
                <c:pt idx="0">
                  <c:v>AMBULATORIA</c:v>
                </c:pt>
                <c:pt idx="1">
                  <c:v>EMERGENCIA</c:v>
                </c:pt>
                <c:pt idx="2">
                  <c:v>ELECTIVA</c:v>
                </c:pt>
              </c:strCache>
            </c:strRef>
          </c:cat>
          <c:val>
            <c:numRef>
              <c:f>Hoja13!$D$4:$D$6</c:f>
            </c:numRef>
          </c:val>
          <c:extLst>
            <c:ext xmlns:c16="http://schemas.microsoft.com/office/drawing/2014/chart" uri="{C3380CC4-5D6E-409C-BE32-E72D297353CC}">
              <c16:uniqueId val="{00000001-8C06-4EC3-BFF8-30EE5B1A11D3}"/>
            </c:ext>
          </c:extLst>
        </c:ser>
        <c:ser>
          <c:idx val="2"/>
          <c:order val="2"/>
          <c:tx>
            <c:strRef>
              <c:f>Hoja13!$E$3</c:f>
              <c:strCache>
                <c:ptCount val="1"/>
                <c:pt idx="0">
                  <c:v>JUNIO A DICIEMBRE 2016</c:v>
                </c:pt>
              </c:strCache>
            </c:strRef>
          </c:tx>
          <c:spPr>
            <a:solidFill>
              <a:schemeClr val="accent3"/>
            </a:solidFill>
            <a:ln>
              <a:noFill/>
            </a:ln>
            <a:effectLst/>
          </c:spPr>
          <c:invertIfNegative val="0"/>
          <c:cat>
            <c:strRef>
              <c:f>Hoja13!$B$4:$B$6</c:f>
              <c:strCache>
                <c:ptCount val="3"/>
                <c:pt idx="0">
                  <c:v>AMBULATORIA</c:v>
                </c:pt>
                <c:pt idx="1">
                  <c:v>EMERGENCIA</c:v>
                </c:pt>
                <c:pt idx="2">
                  <c:v>ELECTIVA</c:v>
                </c:pt>
              </c:strCache>
            </c:strRef>
          </c:cat>
          <c:val>
            <c:numRef>
              <c:f>Hoja13!$E$4:$E$6</c:f>
              <c:numCache>
                <c:formatCode>#,##0</c:formatCode>
                <c:ptCount val="3"/>
                <c:pt idx="0">
                  <c:v>1409</c:v>
                </c:pt>
                <c:pt idx="1">
                  <c:v>1804</c:v>
                </c:pt>
                <c:pt idx="2">
                  <c:v>1495</c:v>
                </c:pt>
              </c:numCache>
            </c:numRef>
          </c:val>
          <c:extLst>
            <c:ext xmlns:c16="http://schemas.microsoft.com/office/drawing/2014/chart" uri="{C3380CC4-5D6E-409C-BE32-E72D297353CC}">
              <c16:uniqueId val="{00000002-8C06-4EC3-BFF8-30EE5B1A11D3}"/>
            </c:ext>
          </c:extLst>
        </c:ser>
        <c:ser>
          <c:idx val="3"/>
          <c:order val="3"/>
          <c:tx>
            <c:strRef>
              <c:f>Hoja13!$F$3</c:f>
              <c:strCache>
                <c:ptCount val="1"/>
                <c:pt idx="0">
                  <c:v>ENERO A JULIO 2017</c:v>
                </c:pt>
              </c:strCache>
            </c:strRef>
          </c:tx>
          <c:spPr>
            <a:solidFill>
              <a:schemeClr val="accent4"/>
            </a:solidFill>
            <a:ln>
              <a:noFill/>
            </a:ln>
            <a:effectLst/>
          </c:spPr>
          <c:invertIfNegative val="0"/>
          <c:cat>
            <c:strRef>
              <c:f>Hoja13!$B$4:$B$6</c:f>
              <c:strCache>
                <c:ptCount val="3"/>
                <c:pt idx="0">
                  <c:v>AMBULATORIA</c:v>
                </c:pt>
                <c:pt idx="1">
                  <c:v>EMERGENCIA</c:v>
                </c:pt>
                <c:pt idx="2">
                  <c:v>ELECTIVA</c:v>
                </c:pt>
              </c:strCache>
            </c:strRef>
          </c:cat>
          <c:val>
            <c:numRef>
              <c:f>Hoja13!$F$4:$F$6</c:f>
              <c:numCache>
                <c:formatCode>#,##0</c:formatCode>
                <c:ptCount val="3"/>
                <c:pt idx="0">
                  <c:v>1223</c:v>
                </c:pt>
                <c:pt idx="1">
                  <c:v>1479</c:v>
                </c:pt>
                <c:pt idx="2">
                  <c:v>1312</c:v>
                </c:pt>
              </c:numCache>
            </c:numRef>
          </c:val>
          <c:extLst>
            <c:ext xmlns:c16="http://schemas.microsoft.com/office/drawing/2014/chart" uri="{C3380CC4-5D6E-409C-BE32-E72D297353CC}">
              <c16:uniqueId val="{00000003-8C06-4EC3-BFF8-30EE5B1A11D3}"/>
            </c:ext>
          </c:extLst>
        </c:ser>
        <c:ser>
          <c:idx val="4"/>
          <c:order val="4"/>
          <c:tx>
            <c:strRef>
              <c:f>Hoja13!$G$3</c:f>
              <c:strCache>
                <c:ptCount val="1"/>
              </c:strCache>
            </c:strRef>
          </c:tx>
          <c:spPr>
            <a:solidFill>
              <a:schemeClr val="accent5"/>
            </a:solidFill>
            <a:ln>
              <a:noFill/>
            </a:ln>
            <a:effectLst/>
          </c:spPr>
          <c:invertIfNegative val="0"/>
          <c:cat>
            <c:strRef>
              <c:f>Hoja13!$B$4:$B$6</c:f>
              <c:strCache>
                <c:ptCount val="3"/>
                <c:pt idx="0">
                  <c:v>AMBULATORIA</c:v>
                </c:pt>
                <c:pt idx="1">
                  <c:v>EMERGENCIA</c:v>
                </c:pt>
                <c:pt idx="2">
                  <c:v>ELECTIVA</c:v>
                </c:pt>
              </c:strCache>
            </c:strRef>
          </c:cat>
          <c:val>
            <c:numRef>
              <c:f>Hoja13!$G$4:$G$6</c:f>
            </c:numRef>
          </c:val>
          <c:extLst>
            <c:ext xmlns:c16="http://schemas.microsoft.com/office/drawing/2014/chart" uri="{C3380CC4-5D6E-409C-BE32-E72D297353CC}">
              <c16:uniqueId val="{00000004-8C06-4EC3-BFF8-30EE5B1A11D3}"/>
            </c:ext>
          </c:extLst>
        </c:ser>
        <c:ser>
          <c:idx val="5"/>
          <c:order val="5"/>
          <c:tx>
            <c:strRef>
              <c:f>Hoja13!$H$3</c:f>
              <c:strCache>
                <c:ptCount val="1"/>
              </c:strCache>
            </c:strRef>
          </c:tx>
          <c:spPr>
            <a:solidFill>
              <a:schemeClr val="accent6"/>
            </a:solidFill>
            <a:ln>
              <a:noFill/>
            </a:ln>
            <a:effectLst/>
          </c:spPr>
          <c:invertIfNegative val="0"/>
          <c:cat>
            <c:strRef>
              <c:f>Hoja13!$B$4:$B$6</c:f>
              <c:strCache>
                <c:ptCount val="3"/>
                <c:pt idx="0">
                  <c:v>AMBULATORIA</c:v>
                </c:pt>
                <c:pt idx="1">
                  <c:v>EMERGENCIA</c:v>
                </c:pt>
                <c:pt idx="2">
                  <c:v>ELECTIVA</c:v>
                </c:pt>
              </c:strCache>
            </c:strRef>
          </c:cat>
          <c:val>
            <c:numRef>
              <c:f>Hoja13!$H$4:$H$6</c:f>
            </c:numRef>
          </c:val>
          <c:extLst>
            <c:ext xmlns:c16="http://schemas.microsoft.com/office/drawing/2014/chart" uri="{C3380CC4-5D6E-409C-BE32-E72D297353CC}">
              <c16:uniqueId val="{00000005-8C06-4EC3-BFF8-30EE5B1A11D3}"/>
            </c:ext>
          </c:extLst>
        </c:ser>
        <c:ser>
          <c:idx val="6"/>
          <c:order val="6"/>
          <c:tx>
            <c:strRef>
              <c:f>Hoja13!$I$3</c:f>
              <c:strCache>
                <c:ptCount val="1"/>
              </c:strCache>
            </c:strRef>
          </c:tx>
          <c:spPr>
            <a:solidFill>
              <a:schemeClr val="accent1">
                <a:lumMod val="60000"/>
              </a:schemeClr>
            </a:solidFill>
            <a:ln>
              <a:noFill/>
            </a:ln>
            <a:effectLst/>
          </c:spPr>
          <c:invertIfNegative val="0"/>
          <c:cat>
            <c:strRef>
              <c:f>Hoja13!$B$4:$B$6</c:f>
              <c:strCache>
                <c:ptCount val="3"/>
                <c:pt idx="0">
                  <c:v>AMBULATORIA</c:v>
                </c:pt>
                <c:pt idx="1">
                  <c:v>EMERGENCIA</c:v>
                </c:pt>
                <c:pt idx="2">
                  <c:v>ELECTIVA</c:v>
                </c:pt>
              </c:strCache>
            </c:strRef>
          </c:cat>
          <c:val>
            <c:numRef>
              <c:f>Hoja13!$I$4:$I$6</c:f>
            </c:numRef>
          </c:val>
          <c:extLst>
            <c:ext xmlns:c16="http://schemas.microsoft.com/office/drawing/2014/chart" uri="{C3380CC4-5D6E-409C-BE32-E72D297353CC}">
              <c16:uniqueId val="{00000006-8C06-4EC3-BFF8-30EE5B1A11D3}"/>
            </c:ext>
          </c:extLst>
        </c:ser>
        <c:ser>
          <c:idx val="7"/>
          <c:order val="7"/>
          <c:tx>
            <c:strRef>
              <c:f>Hoja13!$J$3</c:f>
              <c:strCache>
                <c:ptCount val="1"/>
              </c:strCache>
            </c:strRef>
          </c:tx>
          <c:spPr>
            <a:solidFill>
              <a:schemeClr val="accent2">
                <a:lumMod val="60000"/>
              </a:schemeClr>
            </a:solidFill>
            <a:ln>
              <a:noFill/>
            </a:ln>
            <a:effectLst/>
          </c:spPr>
          <c:invertIfNegative val="0"/>
          <c:cat>
            <c:strRef>
              <c:f>Hoja13!$B$4:$B$6</c:f>
              <c:strCache>
                <c:ptCount val="3"/>
                <c:pt idx="0">
                  <c:v>AMBULATORIA</c:v>
                </c:pt>
                <c:pt idx="1">
                  <c:v>EMERGENCIA</c:v>
                </c:pt>
                <c:pt idx="2">
                  <c:v>ELECTIVA</c:v>
                </c:pt>
              </c:strCache>
            </c:strRef>
          </c:cat>
          <c:val>
            <c:numRef>
              <c:f>Hoja13!$J$4:$J$6</c:f>
            </c:numRef>
          </c:val>
          <c:extLst>
            <c:ext xmlns:c16="http://schemas.microsoft.com/office/drawing/2014/chart" uri="{C3380CC4-5D6E-409C-BE32-E72D297353CC}">
              <c16:uniqueId val="{00000007-8C06-4EC3-BFF8-30EE5B1A11D3}"/>
            </c:ext>
          </c:extLst>
        </c:ser>
        <c:ser>
          <c:idx val="8"/>
          <c:order val="8"/>
          <c:tx>
            <c:strRef>
              <c:f>Hoja13!$K$3</c:f>
              <c:strCache>
                <c:ptCount val="1"/>
                <c:pt idx="0">
                  <c:v>TOTAL</c:v>
                </c:pt>
              </c:strCache>
            </c:strRef>
          </c:tx>
          <c:spPr>
            <a:solidFill>
              <a:schemeClr val="accent3">
                <a:lumMod val="60000"/>
              </a:schemeClr>
            </a:solidFill>
            <a:ln>
              <a:noFill/>
            </a:ln>
            <a:effectLst/>
          </c:spPr>
          <c:invertIfNegative val="0"/>
          <c:cat>
            <c:strRef>
              <c:f>Hoja13!$B$4:$B$6</c:f>
              <c:strCache>
                <c:ptCount val="3"/>
                <c:pt idx="0">
                  <c:v>AMBULATORIA</c:v>
                </c:pt>
                <c:pt idx="1">
                  <c:v>EMERGENCIA</c:v>
                </c:pt>
                <c:pt idx="2">
                  <c:v>ELECTIVA</c:v>
                </c:pt>
              </c:strCache>
            </c:strRef>
          </c:cat>
          <c:val>
            <c:numRef>
              <c:f>Hoja13!$K$4:$K$6</c:f>
              <c:numCache>
                <c:formatCode>#,##0</c:formatCode>
                <c:ptCount val="3"/>
                <c:pt idx="0">
                  <c:v>2632</c:v>
                </c:pt>
                <c:pt idx="1">
                  <c:v>3283</c:v>
                </c:pt>
                <c:pt idx="2">
                  <c:v>2807</c:v>
                </c:pt>
              </c:numCache>
            </c:numRef>
          </c:val>
          <c:extLst>
            <c:ext xmlns:c16="http://schemas.microsoft.com/office/drawing/2014/chart" uri="{C3380CC4-5D6E-409C-BE32-E72D297353CC}">
              <c16:uniqueId val="{00000008-8C06-4EC3-BFF8-30EE5B1A11D3}"/>
            </c:ext>
          </c:extLst>
        </c:ser>
        <c:dLbls>
          <c:showLegendKey val="0"/>
          <c:showVal val="0"/>
          <c:showCatName val="0"/>
          <c:showSerName val="0"/>
          <c:showPercent val="0"/>
          <c:showBubbleSize val="0"/>
        </c:dLbls>
        <c:gapWidth val="150"/>
        <c:axId val="122091392"/>
        <c:axId val="122092928"/>
      </c:barChart>
      <c:catAx>
        <c:axId val="12209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22092928"/>
        <c:crosses val="autoZero"/>
        <c:auto val="1"/>
        <c:lblAlgn val="ctr"/>
        <c:lblOffset val="100"/>
        <c:noMultiLvlLbl val="0"/>
      </c:catAx>
      <c:valAx>
        <c:axId val="1220929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220913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SV"/>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ATENCIÓN</a:t>
            </a:r>
            <a:r>
              <a:rPr lang="es-ES" baseline="0"/>
              <a:t> DE PARTOS</a:t>
            </a:r>
            <a:endParaRPr lang="es-ES"/>
          </a:p>
        </c:rich>
      </c:tx>
      <c:overlay val="0"/>
      <c:spPr>
        <a:noFill/>
        <a:ln>
          <a:noFill/>
        </a:ln>
        <a:effectLst/>
      </c:spPr>
    </c:title>
    <c:autoTitleDeleted val="0"/>
    <c:plotArea>
      <c:layout/>
      <c:barChart>
        <c:barDir val="col"/>
        <c:grouping val="clustered"/>
        <c:varyColors val="0"/>
        <c:ser>
          <c:idx val="0"/>
          <c:order val="0"/>
          <c:tx>
            <c:strRef>
              <c:f>Hoja14!$B$4</c:f>
              <c:strCache>
                <c:ptCount val="1"/>
                <c:pt idx="0">
                  <c:v>VAGINAL</c:v>
                </c:pt>
              </c:strCache>
            </c:strRef>
          </c:tx>
          <c:spPr>
            <a:solidFill>
              <a:schemeClr val="accent1"/>
            </a:solidFill>
            <a:ln>
              <a:noFill/>
            </a:ln>
            <a:effectLst/>
          </c:spPr>
          <c:invertIfNegative val="0"/>
          <c:cat>
            <c:strRef>
              <c:f>Hoja14!$C$3:$G$3</c:f>
              <c:strCache>
                <c:ptCount val="3"/>
                <c:pt idx="0">
                  <c:v>JUNIO A DICIEMBRE 2016</c:v>
                </c:pt>
                <c:pt idx="1">
                  <c:v>ENERO A JUNIO 2017</c:v>
                </c:pt>
                <c:pt idx="2">
                  <c:v>TOTAL</c:v>
                </c:pt>
              </c:strCache>
            </c:strRef>
          </c:cat>
          <c:val>
            <c:numRef>
              <c:f>Hoja14!$C$4:$G$4</c:f>
              <c:numCache>
                <c:formatCode>General</c:formatCode>
                <c:ptCount val="3"/>
                <c:pt idx="0">
                  <c:v>112</c:v>
                </c:pt>
                <c:pt idx="1">
                  <c:v>59</c:v>
                </c:pt>
                <c:pt idx="2" formatCode="#,##0">
                  <c:v>171</c:v>
                </c:pt>
              </c:numCache>
            </c:numRef>
          </c:val>
          <c:extLst>
            <c:ext xmlns:c16="http://schemas.microsoft.com/office/drawing/2014/chart" uri="{C3380CC4-5D6E-409C-BE32-E72D297353CC}">
              <c16:uniqueId val="{00000000-F47F-4C5D-8895-68A45C1F1DB8}"/>
            </c:ext>
          </c:extLst>
        </c:ser>
        <c:ser>
          <c:idx val="1"/>
          <c:order val="1"/>
          <c:tx>
            <c:strRef>
              <c:f>Hoja14!$B$5</c:f>
              <c:strCache>
                <c:ptCount val="1"/>
                <c:pt idx="0">
                  <c:v>CESAREA</c:v>
                </c:pt>
              </c:strCache>
            </c:strRef>
          </c:tx>
          <c:spPr>
            <a:solidFill>
              <a:schemeClr val="accent2"/>
            </a:solidFill>
            <a:ln>
              <a:noFill/>
            </a:ln>
            <a:effectLst/>
          </c:spPr>
          <c:invertIfNegative val="0"/>
          <c:cat>
            <c:strRef>
              <c:f>Hoja14!$C$3:$G$3</c:f>
              <c:strCache>
                <c:ptCount val="3"/>
                <c:pt idx="0">
                  <c:v>JUNIO A DICIEMBRE 2016</c:v>
                </c:pt>
                <c:pt idx="1">
                  <c:v>ENERO A JUNIO 2017</c:v>
                </c:pt>
                <c:pt idx="2">
                  <c:v>TOTAL</c:v>
                </c:pt>
              </c:strCache>
            </c:strRef>
          </c:cat>
          <c:val>
            <c:numRef>
              <c:f>Hoja14!$C$5:$G$5</c:f>
              <c:numCache>
                <c:formatCode>General</c:formatCode>
                <c:ptCount val="3"/>
                <c:pt idx="0">
                  <c:v>249</c:v>
                </c:pt>
                <c:pt idx="1">
                  <c:v>113</c:v>
                </c:pt>
                <c:pt idx="2" formatCode="#,##0">
                  <c:v>362</c:v>
                </c:pt>
              </c:numCache>
            </c:numRef>
          </c:val>
          <c:extLst>
            <c:ext xmlns:c16="http://schemas.microsoft.com/office/drawing/2014/chart" uri="{C3380CC4-5D6E-409C-BE32-E72D297353CC}">
              <c16:uniqueId val="{00000001-F47F-4C5D-8895-68A45C1F1DB8}"/>
            </c:ext>
          </c:extLst>
        </c:ser>
        <c:dLbls>
          <c:showLegendKey val="0"/>
          <c:showVal val="0"/>
          <c:showCatName val="0"/>
          <c:showSerName val="0"/>
          <c:showPercent val="0"/>
          <c:showBubbleSize val="0"/>
        </c:dLbls>
        <c:gapWidth val="150"/>
        <c:axId val="122108160"/>
        <c:axId val="122114048"/>
      </c:barChart>
      <c:catAx>
        <c:axId val="122108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22114048"/>
        <c:crosses val="autoZero"/>
        <c:auto val="1"/>
        <c:lblAlgn val="ctr"/>
        <c:lblOffset val="100"/>
        <c:noMultiLvlLbl val="0"/>
      </c:catAx>
      <c:valAx>
        <c:axId val="122114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221081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SV"/>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ES"/>
              <a:t>Distribución por género y zona del personal contratado</a:t>
            </a:r>
          </a:p>
        </c:rich>
      </c:tx>
      <c:layout>
        <c:manualLayout>
          <c:xMode val="edge"/>
          <c:yMode val="edge"/>
          <c:x val="0.17516976779176491"/>
          <c:y val="1.6771488469601692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'[INFORME ANUAL DE GESTION 11_08_17.xlsx]zonas (2)'!$A$11</c:f>
              <c:strCache>
                <c:ptCount val="1"/>
                <c:pt idx="0">
                  <c:v>FEMENINO</c:v>
                </c:pt>
              </c:strCache>
            </c:strRef>
          </c:tx>
          <c:invertIfNegative val="0"/>
          <c:cat>
            <c:strRef>
              <c:f>'[INFORME ANUAL DE GESTION 11_08_17.xlsx]zonas (2)'!$B$10:$F$10</c:f>
              <c:strCache>
                <c:ptCount val="5"/>
                <c:pt idx="0">
                  <c:v>Metropolitana y Central</c:v>
                </c:pt>
                <c:pt idx="1">
                  <c:v>Para central </c:v>
                </c:pt>
                <c:pt idx="2">
                  <c:v>Oriente</c:v>
                </c:pt>
                <c:pt idx="3">
                  <c:v>Occidente</c:v>
                </c:pt>
                <c:pt idx="4">
                  <c:v>Total</c:v>
                </c:pt>
              </c:strCache>
            </c:strRef>
          </c:cat>
          <c:val>
            <c:numRef>
              <c:f>'[INFORME ANUAL DE GESTION 11_08_17.xlsx]zonas (2)'!$B$11:$E$11</c:f>
              <c:numCache>
                <c:formatCode>General</c:formatCode>
                <c:ptCount val="4"/>
                <c:pt idx="0">
                  <c:v>191</c:v>
                </c:pt>
                <c:pt idx="1">
                  <c:v>45</c:v>
                </c:pt>
                <c:pt idx="2">
                  <c:v>76</c:v>
                </c:pt>
                <c:pt idx="3">
                  <c:v>59</c:v>
                </c:pt>
              </c:numCache>
            </c:numRef>
          </c:val>
          <c:extLst>
            <c:ext xmlns:c16="http://schemas.microsoft.com/office/drawing/2014/chart" uri="{C3380CC4-5D6E-409C-BE32-E72D297353CC}">
              <c16:uniqueId val="{00000000-3DAE-4692-8CE2-F29C267870E3}"/>
            </c:ext>
          </c:extLst>
        </c:ser>
        <c:ser>
          <c:idx val="1"/>
          <c:order val="1"/>
          <c:tx>
            <c:strRef>
              <c:f>'[INFORME ANUAL DE GESTION 11_08_17.xlsx]zonas (2)'!$A$12</c:f>
              <c:strCache>
                <c:ptCount val="1"/>
                <c:pt idx="0">
                  <c:v>MASCULINO</c:v>
                </c:pt>
              </c:strCache>
            </c:strRef>
          </c:tx>
          <c:invertIfNegative val="0"/>
          <c:cat>
            <c:strRef>
              <c:f>'[INFORME ANUAL DE GESTION 11_08_17.xlsx]zonas (2)'!$B$10:$F$10</c:f>
              <c:strCache>
                <c:ptCount val="5"/>
                <c:pt idx="0">
                  <c:v>Metropolitana y Central</c:v>
                </c:pt>
                <c:pt idx="1">
                  <c:v>Para central </c:v>
                </c:pt>
                <c:pt idx="2">
                  <c:v>Oriente</c:v>
                </c:pt>
                <c:pt idx="3">
                  <c:v>Occidente</c:v>
                </c:pt>
                <c:pt idx="4">
                  <c:v>Total</c:v>
                </c:pt>
              </c:strCache>
            </c:strRef>
          </c:cat>
          <c:val>
            <c:numRef>
              <c:f>'[INFORME ANUAL DE GESTION 11_08_17.xlsx]zonas (2)'!$B$12:$E$12</c:f>
              <c:numCache>
                <c:formatCode>General</c:formatCode>
                <c:ptCount val="4"/>
                <c:pt idx="0">
                  <c:v>129</c:v>
                </c:pt>
                <c:pt idx="1">
                  <c:v>24</c:v>
                </c:pt>
                <c:pt idx="2">
                  <c:v>46</c:v>
                </c:pt>
                <c:pt idx="3">
                  <c:v>31</c:v>
                </c:pt>
              </c:numCache>
            </c:numRef>
          </c:val>
          <c:extLst>
            <c:ext xmlns:c16="http://schemas.microsoft.com/office/drawing/2014/chart" uri="{C3380CC4-5D6E-409C-BE32-E72D297353CC}">
              <c16:uniqueId val="{00000001-3DAE-4692-8CE2-F29C267870E3}"/>
            </c:ext>
          </c:extLst>
        </c:ser>
        <c:dLbls>
          <c:showLegendKey val="0"/>
          <c:showVal val="0"/>
          <c:showCatName val="0"/>
          <c:showSerName val="0"/>
          <c:showPercent val="0"/>
          <c:showBubbleSize val="0"/>
        </c:dLbls>
        <c:gapWidth val="150"/>
        <c:shape val="box"/>
        <c:axId val="122560512"/>
        <c:axId val="122562048"/>
        <c:axId val="0"/>
      </c:bar3DChart>
      <c:catAx>
        <c:axId val="122560512"/>
        <c:scaling>
          <c:orientation val="minMax"/>
        </c:scaling>
        <c:delete val="0"/>
        <c:axPos val="b"/>
        <c:numFmt formatCode="General" sourceLinked="0"/>
        <c:majorTickMark val="none"/>
        <c:minorTickMark val="none"/>
        <c:tickLblPos val="nextTo"/>
        <c:crossAx val="122562048"/>
        <c:crosses val="autoZero"/>
        <c:auto val="1"/>
        <c:lblAlgn val="ctr"/>
        <c:lblOffset val="100"/>
        <c:noMultiLvlLbl val="0"/>
      </c:catAx>
      <c:valAx>
        <c:axId val="122562048"/>
        <c:scaling>
          <c:orientation val="minMax"/>
        </c:scaling>
        <c:delete val="0"/>
        <c:axPos val="l"/>
        <c:majorGridlines/>
        <c:numFmt formatCode="General" sourceLinked="1"/>
        <c:majorTickMark val="none"/>
        <c:minorTickMark val="none"/>
        <c:tickLblPos val="nextTo"/>
        <c:crossAx val="122560512"/>
        <c:crosses val="autoZero"/>
        <c:crossBetween val="between"/>
      </c:valAx>
      <c:dTable>
        <c:showHorzBorder val="1"/>
        <c:showVertBorder val="1"/>
        <c:showOutline val="1"/>
        <c:showKeys val="1"/>
      </c:dTable>
    </c:plotArea>
    <c:plotVisOnly val="1"/>
    <c:dispBlanksAs val="gap"/>
    <c:showDLblsOverMax val="0"/>
  </c:chart>
  <c:txPr>
    <a:bodyPr/>
    <a:lstStyle/>
    <a:p>
      <a:pPr>
        <a:defRPr sz="900"/>
      </a:pPr>
      <a:endParaRPr lang="es-SV"/>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DE747-9D01-465C-A192-5001F1AD5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6303</Words>
  <Characters>34670</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Aniara Bernardina Mejía López</dc:creator>
  <cp:lastModifiedBy>Ana Sofia Hidalgo Solis</cp:lastModifiedBy>
  <cp:revision>6</cp:revision>
  <cp:lastPrinted>2017-08-11T15:05:00Z</cp:lastPrinted>
  <dcterms:created xsi:type="dcterms:W3CDTF">2017-08-31T14:43:00Z</dcterms:created>
  <dcterms:modified xsi:type="dcterms:W3CDTF">2017-08-31T15:01:00Z</dcterms:modified>
</cp:coreProperties>
</file>