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48" w:rsidRPr="00587ED8" w:rsidRDefault="00587ED8" w:rsidP="00E87848">
      <w:pPr>
        <w:pStyle w:val="Ttulo1"/>
        <w:numPr>
          <w:ilvl w:val="0"/>
          <w:numId w:val="0"/>
        </w:numPr>
        <w:jc w:val="center"/>
        <w:rPr>
          <w:sz w:val="44"/>
        </w:rPr>
      </w:pPr>
      <w:bookmarkStart w:id="0" w:name="_Toc424570328"/>
      <w:bookmarkStart w:id="1" w:name="_Toc467228643"/>
      <w:bookmarkStart w:id="2" w:name="_Toc424558685"/>
      <w:bookmarkStart w:id="3" w:name="_Toc424558744"/>
      <w:r w:rsidRPr="00587ED8">
        <w:rPr>
          <w:sz w:val="44"/>
        </w:rPr>
        <w:t>Instituto Salvadoreño de Bienestar Magisterial</w:t>
      </w:r>
      <w:bookmarkEnd w:id="0"/>
      <w:bookmarkEnd w:id="1"/>
    </w:p>
    <w:p w:rsidR="00E87848" w:rsidRDefault="00E87848" w:rsidP="00E87848">
      <w:pPr>
        <w:pStyle w:val="Ttulo1"/>
        <w:numPr>
          <w:ilvl w:val="0"/>
          <w:numId w:val="0"/>
        </w:numPr>
        <w:jc w:val="center"/>
        <w:rPr>
          <w:sz w:val="52"/>
        </w:rPr>
      </w:pPr>
    </w:p>
    <w:p w:rsidR="00587ED8" w:rsidRPr="00587ED8" w:rsidRDefault="00587ED8" w:rsidP="00587ED8">
      <w:pPr>
        <w:rPr>
          <w:lang w:eastAsia="es-SV"/>
        </w:rPr>
      </w:pPr>
    </w:p>
    <w:p w:rsidR="00E87848" w:rsidRDefault="00E87848" w:rsidP="00E87848">
      <w:pPr>
        <w:pStyle w:val="Ttulo1"/>
        <w:numPr>
          <w:ilvl w:val="0"/>
          <w:numId w:val="0"/>
        </w:numPr>
        <w:jc w:val="center"/>
        <w:rPr>
          <w:sz w:val="52"/>
        </w:rPr>
      </w:pPr>
    </w:p>
    <w:p w:rsidR="00E87848" w:rsidRDefault="00E87848" w:rsidP="00E87848">
      <w:pPr>
        <w:pStyle w:val="Ttulo1"/>
        <w:numPr>
          <w:ilvl w:val="0"/>
          <w:numId w:val="0"/>
        </w:numPr>
        <w:jc w:val="center"/>
        <w:rPr>
          <w:sz w:val="52"/>
        </w:rPr>
      </w:pPr>
    </w:p>
    <w:p w:rsidR="001C6526" w:rsidRDefault="00E87848" w:rsidP="00E87848">
      <w:pPr>
        <w:pStyle w:val="Ttulo1"/>
        <w:numPr>
          <w:ilvl w:val="0"/>
          <w:numId w:val="0"/>
        </w:numPr>
        <w:jc w:val="center"/>
        <w:rPr>
          <w:b/>
          <w:sz w:val="52"/>
        </w:rPr>
      </w:pPr>
      <w:bookmarkStart w:id="4" w:name="_Toc424570329"/>
      <w:bookmarkStart w:id="5" w:name="_Toc467228644"/>
      <w:r w:rsidRPr="00E87848">
        <w:rPr>
          <w:b/>
          <w:sz w:val="52"/>
        </w:rPr>
        <w:t xml:space="preserve">INFORME ANUAL DE </w:t>
      </w:r>
    </w:p>
    <w:p w:rsidR="00E87848" w:rsidRPr="00E87848" w:rsidRDefault="001C6526" w:rsidP="00E87848">
      <w:pPr>
        <w:pStyle w:val="Ttulo1"/>
        <w:numPr>
          <w:ilvl w:val="0"/>
          <w:numId w:val="0"/>
        </w:numPr>
        <w:jc w:val="center"/>
        <w:rPr>
          <w:b/>
          <w:sz w:val="52"/>
        </w:rPr>
      </w:pPr>
      <w:r>
        <w:rPr>
          <w:b/>
          <w:sz w:val="52"/>
        </w:rPr>
        <w:t xml:space="preserve">RESULTADOS DE </w:t>
      </w:r>
      <w:r w:rsidR="00E87848" w:rsidRPr="00E87848">
        <w:rPr>
          <w:b/>
          <w:sz w:val="52"/>
        </w:rPr>
        <w:t>GESTIÓN</w:t>
      </w:r>
      <w:bookmarkStart w:id="6" w:name="_Toc424558686"/>
      <w:bookmarkStart w:id="7" w:name="_Toc424558745"/>
      <w:bookmarkEnd w:id="4"/>
      <w:bookmarkEnd w:id="5"/>
    </w:p>
    <w:p w:rsidR="00E87848" w:rsidRPr="00E87848" w:rsidRDefault="00E87848" w:rsidP="00E87848">
      <w:pPr>
        <w:pStyle w:val="Ttulo1"/>
        <w:numPr>
          <w:ilvl w:val="0"/>
          <w:numId w:val="0"/>
        </w:numPr>
        <w:jc w:val="center"/>
        <w:rPr>
          <w:b/>
          <w:sz w:val="52"/>
        </w:rPr>
      </w:pPr>
      <w:bookmarkStart w:id="8" w:name="_Toc424570330"/>
      <w:bookmarkStart w:id="9" w:name="_Toc467228645"/>
      <w:r>
        <w:rPr>
          <w:b/>
          <w:sz w:val="52"/>
        </w:rPr>
        <w:t>(Junio 201</w:t>
      </w:r>
      <w:r w:rsidR="000544F6">
        <w:rPr>
          <w:b/>
          <w:sz w:val="52"/>
        </w:rPr>
        <w:t>5</w:t>
      </w:r>
      <w:r>
        <w:rPr>
          <w:b/>
          <w:sz w:val="52"/>
        </w:rPr>
        <w:t xml:space="preserve"> – </w:t>
      </w:r>
      <w:r w:rsidR="000544F6">
        <w:rPr>
          <w:b/>
          <w:sz w:val="52"/>
        </w:rPr>
        <w:t>Agosto 2016</w:t>
      </w:r>
      <w:r w:rsidRPr="00E87848">
        <w:rPr>
          <w:b/>
          <w:sz w:val="52"/>
        </w:rPr>
        <w:t>)</w:t>
      </w:r>
      <w:bookmarkEnd w:id="6"/>
      <w:bookmarkEnd w:id="7"/>
      <w:bookmarkEnd w:id="8"/>
      <w:bookmarkEnd w:id="9"/>
    </w:p>
    <w:p w:rsidR="00E87848" w:rsidRPr="008D067D" w:rsidRDefault="00E87848" w:rsidP="00E87848">
      <w:pPr>
        <w:spacing w:after="200" w:line="276" w:lineRule="auto"/>
        <w:jc w:val="center"/>
        <w:rPr>
          <w:rFonts w:ascii="Cambria" w:eastAsia="Times New Roman" w:hAnsi="Cambria"/>
          <w:bCs/>
          <w:color w:val="4F81BD"/>
          <w:sz w:val="52"/>
          <w:szCs w:val="32"/>
          <w:lang w:eastAsia="es-SV"/>
        </w:rPr>
      </w:pPr>
    </w:p>
    <w:bookmarkEnd w:id="2"/>
    <w:bookmarkEnd w:id="3"/>
    <w:p w:rsidR="00740CEA" w:rsidRPr="00740CEA" w:rsidRDefault="00740CEA">
      <w:pPr>
        <w:rPr>
          <w:rFonts w:ascii="Century Gothic" w:hAnsi="Century Gothic"/>
        </w:rPr>
      </w:pPr>
    </w:p>
    <w:p w:rsidR="00740CEA" w:rsidRPr="00740CEA" w:rsidRDefault="00740CEA">
      <w:pPr>
        <w:rPr>
          <w:rFonts w:ascii="Century Gothic" w:hAnsi="Century Gothic"/>
        </w:rPr>
      </w:pPr>
    </w:p>
    <w:p w:rsidR="00E87848" w:rsidRDefault="00E87848">
      <w:pPr>
        <w:spacing w:after="200" w:line="276" w:lineRule="auto"/>
      </w:pPr>
      <w:bookmarkStart w:id="10" w:name="_Toc424558687"/>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Pr="00587ED8" w:rsidRDefault="00C76B9B" w:rsidP="00587ED8">
      <w:pPr>
        <w:pStyle w:val="Ttulo1"/>
        <w:numPr>
          <w:ilvl w:val="0"/>
          <w:numId w:val="0"/>
        </w:numPr>
        <w:jc w:val="right"/>
        <w:rPr>
          <w:sz w:val="44"/>
        </w:rPr>
      </w:pPr>
      <w:bookmarkStart w:id="11" w:name="_Toc424570331"/>
      <w:bookmarkStart w:id="12" w:name="_Toc467228646"/>
      <w:r>
        <w:rPr>
          <w:sz w:val="44"/>
        </w:rPr>
        <w:t>Dic</w:t>
      </w:r>
      <w:r w:rsidR="0082520B">
        <w:rPr>
          <w:sz w:val="44"/>
        </w:rPr>
        <w:t>iem</w:t>
      </w:r>
      <w:r w:rsidR="00DD5581">
        <w:rPr>
          <w:sz w:val="44"/>
        </w:rPr>
        <w:t>bre</w:t>
      </w:r>
      <w:r w:rsidR="00E87848" w:rsidRPr="00587ED8">
        <w:rPr>
          <w:sz w:val="44"/>
        </w:rPr>
        <w:t xml:space="preserve"> 201</w:t>
      </w:r>
      <w:bookmarkEnd w:id="11"/>
      <w:r w:rsidR="00DD5581">
        <w:rPr>
          <w:sz w:val="44"/>
        </w:rPr>
        <w:t>6</w:t>
      </w:r>
      <w:bookmarkEnd w:id="12"/>
    </w:p>
    <w:p w:rsidR="00E87848" w:rsidRDefault="00E87848">
      <w:pPr>
        <w:spacing w:after="200" w:line="276" w:lineRule="auto"/>
      </w:pPr>
    </w:p>
    <w:p w:rsidR="00E87848" w:rsidRDefault="00E87848">
      <w:pPr>
        <w:spacing w:after="200" w:line="276" w:lineRule="auto"/>
      </w:pPr>
    </w:p>
    <w:bookmarkEnd w:id="10"/>
    <w:p w:rsidR="00431E1B" w:rsidRDefault="00431E1B">
      <w:pPr>
        <w:spacing w:after="200" w:line="276" w:lineRule="auto"/>
        <w:rPr>
          <w:rFonts w:ascii="Century Gothic" w:hAnsi="Century Gothic"/>
          <w:b/>
          <w:i/>
          <w:color w:val="2E4FAA"/>
        </w:rPr>
      </w:pPr>
    </w:p>
    <w:p w:rsidR="00431E1B" w:rsidRDefault="00431E1B" w:rsidP="00E61FA9">
      <w:pPr>
        <w:pStyle w:val="TtuloTDC"/>
        <w:numPr>
          <w:ilvl w:val="0"/>
          <w:numId w:val="0"/>
        </w:numPr>
      </w:pPr>
      <w:r>
        <w:rPr>
          <w:lang w:val="es-ES"/>
        </w:rPr>
        <w:t>Tabla de contenido</w:t>
      </w:r>
    </w:p>
    <w:p w:rsidR="00D14D9E" w:rsidRDefault="00E61FA9">
      <w:pPr>
        <w:pStyle w:val="TDC1"/>
        <w:rPr>
          <w:noProof/>
        </w:rPr>
      </w:pPr>
      <w:r w:rsidRPr="0082520B">
        <w:fldChar w:fldCharType="begin"/>
      </w:r>
      <w:r w:rsidRPr="0082520B">
        <w:instrText xml:space="preserve"> TOC \o "1-6" \h \z \u </w:instrText>
      </w:r>
      <w:r w:rsidRPr="0082520B">
        <w:fldChar w:fldCharType="separate"/>
      </w:r>
      <w:hyperlink w:anchor="_Toc467228643" w:history="1">
        <w:r w:rsidR="00D14D9E" w:rsidRPr="00542E1B">
          <w:rPr>
            <w:rStyle w:val="Hipervnculo"/>
            <w:noProof/>
          </w:rPr>
          <w:t>Instituto Salvadoreño de Bienestar Magisterial</w:t>
        </w:r>
        <w:r w:rsidR="00D14D9E">
          <w:rPr>
            <w:noProof/>
            <w:webHidden/>
          </w:rPr>
          <w:tab/>
        </w:r>
        <w:r w:rsidR="00D14D9E">
          <w:rPr>
            <w:noProof/>
            <w:webHidden/>
          </w:rPr>
          <w:fldChar w:fldCharType="begin"/>
        </w:r>
        <w:r w:rsidR="00D14D9E">
          <w:rPr>
            <w:noProof/>
            <w:webHidden/>
          </w:rPr>
          <w:instrText xml:space="preserve"> PAGEREF _Toc467228643 \h </w:instrText>
        </w:r>
        <w:r w:rsidR="00D14D9E">
          <w:rPr>
            <w:noProof/>
            <w:webHidden/>
          </w:rPr>
        </w:r>
        <w:r w:rsidR="00D14D9E">
          <w:rPr>
            <w:noProof/>
            <w:webHidden/>
          </w:rPr>
          <w:fldChar w:fldCharType="separate"/>
        </w:r>
        <w:r w:rsidR="00D14D9E">
          <w:rPr>
            <w:noProof/>
            <w:webHidden/>
          </w:rPr>
          <w:t>1</w:t>
        </w:r>
        <w:r w:rsidR="00D14D9E">
          <w:rPr>
            <w:noProof/>
            <w:webHidden/>
          </w:rPr>
          <w:fldChar w:fldCharType="end"/>
        </w:r>
      </w:hyperlink>
    </w:p>
    <w:p w:rsidR="00D14D9E" w:rsidRDefault="00A64042">
      <w:pPr>
        <w:pStyle w:val="TDC1"/>
        <w:rPr>
          <w:noProof/>
        </w:rPr>
      </w:pPr>
      <w:hyperlink w:anchor="_Toc467228644" w:history="1">
        <w:r w:rsidR="00D14D9E" w:rsidRPr="00542E1B">
          <w:rPr>
            <w:rStyle w:val="Hipervnculo"/>
            <w:b/>
            <w:noProof/>
          </w:rPr>
          <w:t xml:space="preserve">INFORME ANUAL DE </w:t>
        </w:r>
        <w:r w:rsidR="001C6526">
          <w:rPr>
            <w:rStyle w:val="Hipervnculo"/>
            <w:b/>
            <w:noProof/>
          </w:rPr>
          <w:t xml:space="preserve">RESULTADOS DE </w:t>
        </w:r>
        <w:r w:rsidR="00D14D9E" w:rsidRPr="00542E1B">
          <w:rPr>
            <w:rStyle w:val="Hipervnculo"/>
            <w:b/>
            <w:noProof/>
          </w:rPr>
          <w:t>GESTIÓN</w:t>
        </w:r>
        <w:r w:rsidR="00D14D9E">
          <w:rPr>
            <w:noProof/>
            <w:webHidden/>
          </w:rPr>
          <w:tab/>
        </w:r>
        <w:r w:rsidR="00D14D9E">
          <w:rPr>
            <w:noProof/>
            <w:webHidden/>
          </w:rPr>
          <w:fldChar w:fldCharType="begin"/>
        </w:r>
        <w:r w:rsidR="00D14D9E">
          <w:rPr>
            <w:noProof/>
            <w:webHidden/>
          </w:rPr>
          <w:instrText xml:space="preserve"> PAGEREF _Toc467228644 \h </w:instrText>
        </w:r>
        <w:r w:rsidR="00D14D9E">
          <w:rPr>
            <w:noProof/>
            <w:webHidden/>
          </w:rPr>
        </w:r>
        <w:r w:rsidR="00D14D9E">
          <w:rPr>
            <w:noProof/>
            <w:webHidden/>
          </w:rPr>
          <w:fldChar w:fldCharType="separate"/>
        </w:r>
        <w:r w:rsidR="00D14D9E">
          <w:rPr>
            <w:noProof/>
            <w:webHidden/>
          </w:rPr>
          <w:t>1</w:t>
        </w:r>
        <w:r w:rsidR="00D14D9E">
          <w:rPr>
            <w:noProof/>
            <w:webHidden/>
          </w:rPr>
          <w:fldChar w:fldCharType="end"/>
        </w:r>
      </w:hyperlink>
    </w:p>
    <w:p w:rsidR="00D14D9E" w:rsidRDefault="00A64042">
      <w:pPr>
        <w:pStyle w:val="TDC1"/>
        <w:rPr>
          <w:noProof/>
        </w:rPr>
      </w:pPr>
      <w:hyperlink w:anchor="_Toc467228645" w:history="1">
        <w:r w:rsidR="00D14D9E" w:rsidRPr="00542E1B">
          <w:rPr>
            <w:rStyle w:val="Hipervnculo"/>
            <w:b/>
            <w:noProof/>
          </w:rPr>
          <w:t>(Junio 2015 – Agosto 2016)</w:t>
        </w:r>
        <w:r w:rsidR="00D14D9E">
          <w:rPr>
            <w:noProof/>
            <w:webHidden/>
          </w:rPr>
          <w:tab/>
        </w:r>
        <w:r w:rsidR="00D14D9E">
          <w:rPr>
            <w:noProof/>
            <w:webHidden/>
          </w:rPr>
          <w:fldChar w:fldCharType="begin"/>
        </w:r>
        <w:r w:rsidR="00D14D9E">
          <w:rPr>
            <w:noProof/>
            <w:webHidden/>
          </w:rPr>
          <w:instrText xml:space="preserve"> PAGEREF _Toc467228645 \h </w:instrText>
        </w:r>
        <w:r w:rsidR="00D14D9E">
          <w:rPr>
            <w:noProof/>
            <w:webHidden/>
          </w:rPr>
        </w:r>
        <w:r w:rsidR="00D14D9E">
          <w:rPr>
            <w:noProof/>
            <w:webHidden/>
          </w:rPr>
          <w:fldChar w:fldCharType="separate"/>
        </w:r>
        <w:r w:rsidR="00D14D9E">
          <w:rPr>
            <w:noProof/>
            <w:webHidden/>
          </w:rPr>
          <w:t>1</w:t>
        </w:r>
        <w:r w:rsidR="00D14D9E">
          <w:rPr>
            <w:noProof/>
            <w:webHidden/>
          </w:rPr>
          <w:fldChar w:fldCharType="end"/>
        </w:r>
      </w:hyperlink>
    </w:p>
    <w:p w:rsidR="00D14D9E" w:rsidRDefault="00A64042">
      <w:pPr>
        <w:pStyle w:val="TDC1"/>
        <w:rPr>
          <w:noProof/>
        </w:rPr>
      </w:pPr>
      <w:hyperlink w:anchor="_Toc467228646" w:history="1">
        <w:r w:rsidR="00D14D9E" w:rsidRPr="00542E1B">
          <w:rPr>
            <w:rStyle w:val="Hipervnculo"/>
            <w:noProof/>
          </w:rPr>
          <w:t>Septiembre 2016</w:t>
        </w:r>
        <w:r w:rsidR="00D14D9E">
          <w:rPr>
            <w:noProof/>
            <w:webHidden/>
          </w:rPr>
          <w:tab/>
        </w:r>
        <w:r w:rsidR="00D14D9E">
          <w:rPr>
            <w:noProof/>
            <w:webHidden/>
          </w:rPr>
          <w:fldChar w:fldCharType="begin"/>
        </w:r>
        <w:r w:rsidR="00D14D9E">
          <w:rPr>
            <w:noProof/>
            <w:webHidden/>
          </w:rPr>
          <w:instrText xml:space="preserve"> PAGEREF _Toc467228646 \h </w:instrText>
        </w:r>
        <w:r w:rsidR="00D14D9E">
          <w:rPr>
            <w:noProof/>
            <w:webHidden/>
          </w:rPr>
        </w:r>
        <w:r w:rsidR="00D14D9E">
          <w:rPr>
            <w:noProof/>
            <w:webHidden/>
          </w:rPr>
          <w:fldChar w:fldCharType="separate"/>
        </w:r>
        <w:r w:rsidR="00D14D9E">
          <w:rPr>
            <w:noProof/>
            <w:webHidden/>
          </w:rPr>
          <w:t>1</w:t>
        </w:r>
        <w:r w:rsidR="00D14D9E">
          <w:rPr>
            <w:noProof/>
            <w:webHidden/>
          </w:rPr>
          <w:fldChar w:fldCharType="end"/>
        </w:r>
      </w:hyperlink>
    </w:p>
    <w:p w:rsidR="00D14D9E" w:rsidRDefault="00A64042">
      <w:pPr>
        <w:pStyle w:val="TDC2"/>
        <w:rPr>
          <w:noProof/>
        </w:rPr>
      </w:pPr>
      <w:hyperlink w:anchor="_Toc467228647" w:history="1">
        <w:r w:rsidR="00D14D9E" w:rsidRPr="00542E1B">
          <w:rPr>
            <w:rStyle w:val="Hipervnculo"/>
            <w:b/>
            <w:noProof/>
          </w:rPr>
          <w:t>I.</w:t>
        </w:r>
        <w:r w:rsidR="00D14D9E">
          <w:rPr>
            <w:noProof/>
          </w:rPr>
          <w:tab/>
        </w:r>
        <w:r w:rsidR="005A464C">
          <w:rPr>
            <w:rStyle w:val="Hipervnculo"/>
            <w:b/>
            <w:noProof/>
          </w:rPr>
          <w:t xml:space="preserve">INTRODUCCIÓN </w:t>
        </w:r>
        <w:r w:rsidR="00D14D9E">
          <w:rPr>
            <w:noProof/>
            <w:webHidden/>
          </w:rPr>
          <w:tab/>
        </w:r>
        <w:r w:rsidR="00D14D9E">
          <w:rPr>
            <w:noProof/>
            <w:webHidden/>
          </w:rPr>
          <w:fldChar w:fldCharType="begin"/>
        </w:r>
        <w:r w:rsidR="00D14D9E">
          <w:rPr>
            <w:noProof/>
            <w:webHidden/>
          </w:rPr>
          <w:instrText xml:space="preserve"> PAGEREF _Toc467228647 \h </w:instrText>
        </w:r>
        <w:r w:rsidR="00D14D9E">
          <w:rPr>
            <w:noProof/>
            <w:webHidden/>
          </w:rPr>
        </w:r>
        <w:r w:rsidR="00D14D9E">
          <w:rPr>
            <w:noProof/>
            <w:webHidden/>
          </w:rPr>
          <w:fldChar w:fldCharType="separate"/>
        </w:r>
        <w:r w:rsidR="00D14D9E">
          <w:rPr>
            <w:noProof/>
            <w:webHidden/>
          </w:rPr>
          <w:t>3</w:t>
        </w:r>
        <w:r w:rsidR="00D14D9E">
          <w:rPr>
            <w:noProof/>
            <w:webHidden/>
          </w:rPr>
          <w:fldChar w:fldCharType="end"/>
        </w:r>
      </w:hyperlink>
    </w:p>
    <w:p w:rsidR="00D14D9E" w:rsidRDefault="00A64042">
      <w:pPr>
        <w:pStyle w:val="TDC2"/>
        <w:rPr>
          <w:noProof/>
        </w:rPr>
      </w:pPr>
      <w:hyperlink w:anchor="_Toc467228648" w:history="1">
        <w:r w:rsidR="00D14D9E" w:rsidRPr="00542E1B">
          <w:rPr>
            <w:rStyle w:val="Hipervnculo"/>
            <w:b/>
            <w:noProof/>
          </w:rPr>
          <w:t>II.</w:t>
        </w:r>
        <w:r w:rsidR="00D14D9E">
          <w:rPr>
            <w:noProof/>
          </w:rPr>
          <w:tab/>
        </w:r>
        <w:r w:rsidR="005A464C">
          <w:rPr>
            <w:rStyle w:val="Hipervnculo"/>
            <w:b/>
            <w:noProof/>
          </w:rPr>
          <w:t xml:space="preserve">ANTECEDENTES </w:t>
        </w:r>
        <w:r w:rsidR="00D14D9E">
          <w:rPr>
            <w:noProof/>
            <w:webHidden/>
          </w:rPr>
          <w:tab/>
        </w:r>
        <w:r w:rsidR="00D14D9E">
          <w:rPr>
            <w:noProof/>
            <w:webHidden/>
          </w:rPr>
          <w:fldChar w:fldCharType="begin"/>
        </w:r>
        <w:r w:rsidR="00D14D9E">
          <w:rPr>
            <w:noProof/>
            <w:webHidden/>
          </w:rPr>
          <w:instrText xml:space="preserve"> PAGEREF _Toc467228648 \h </w:instrText>
        </w:r>
        <w:r w:rsidR="00D14D9E">
          <w:rPr>
            <w:noProof/>
            <w:webHidden/>
          </w:rPr>
        </w:r>
        <w:r w:rsidR="00D14D9E">
          <w:rPr>
            <w:noProof/>
            <w:webHidden/>
          </w:rPr>
          <w:fldChar w:fldCharType="separate"/>
        </w:r>
        <w:r w:rsidR="00D14D9E">
          <w:rPr>
            <w:noProof/>
            <w:webHidden/>
          </w:rPr>
          <w:t>4</w:t>
        </w:r>
        <w:r w:rsidR="00D14D9E">
          <w:rPr>
            <w:noProof/>
            <w:webHidden/>
          </w:rPr>
          <w:fldChar w:fldCharType="end"/>
        </w:r>
      </w:hyperlink>
    </w:p>
    <w:p w:rsidR="00D14D9E" w:rsidRDefault="00A64042">
      <w:pPr>
        <w:pStyle w:val="TDC2"/>
        <w:rPr>
          <w:noProof/>
        </w:rPr>
      </w:pPr>
      <w:hyperlink w:anchor="_Toc467228649" w:history="1">
        <w:r w:rsidR="00D14D9E" w:rsidRPr="00542E1B">
          <w:rPr>
            <w:rStyle w:val="Hipervnculo"/>
            <w:b/>
            <w:noProof/>
          </w:rPr>
          <w:t>III.</w:t>
        </w:r>
        <w:r w:rsidR="00D14D9E">
          <w:rPr>
            <w:noProof/>
          </w:rPr>
          <w:tab/>
        </w:r>
        <w:r w:rsidR="00D14D9E" w:rsidRPr="00542E1B">
          <w:rPr>
            <w:rStyle w:val="Hipervnculo"/>
            <w:b/>
            <w:noProof/>
          </w:rPr>
          <w:t>EJERCICIO JUNIO 2015 – AGOSTO 2016</w:t>
        </w:r>
        <w:r w:rsidR="00D14D9E">
          <w:rPr>
            <w:noProof/>
            <w:webHidden/>
          </w:rPr>
          <w:tab/>
        </w:r>
        <w:r w:rsidR="00D14D9E">
          <w:rPr>
            <w:noProof/>
            <w:webHidden/>
          </w:rPr>
          <w:fldChar w:fldCharType="begin"/>
        </w:r>
        <w:r w:rsidR="00D14D9E">
          <w:rPr>
            <w:noProof/>
            <w:webHidden/>
          </w:rPr>
          <w:instrText xml:space="preserve"> PAGEREF _Toc467228649 \h </w:instrText>
        </w:r>
        <w:r w:rsidR="00D14D9E">
          <w:rPr>
            <w:noProof/>
            <w:webHidden/>
          </w:rPr>
        </w:r>
        <w:r w:rsidR="00D14D9E">
          <w:rPr>
            <w:noProof/>
            <w:webHidden/>
          </w:rPr>
          <w:fldChar w:fldCharType="separate"/>
        </w:r>
        <w:r w:rsidR="00D14D9E">
          <w:rPr>
            <w:noProof/>
            <w:webHidden/>
          </w:rPr>
          <w:t>6</w:t>
        </w:r>
        <w:r w:rsidR="00D14D9E">
          <w:rPr>
            <w:noProof/>
            <w:webHidden/>
          </w:rPr>
          <w:fldChar w:fldCharType="end"/>
        </w:r>
      </w:hyperlink>
    </w:p>
    <w:p w:rsidR="00D14D9E" w:rsidRDefault="00A64042">
      <w:pPr>
        <w:pStyle w:val="TDC3"/>
        <w:tabs>
          <w:tab w:val="left" w:pos="880"/>
          <w:tab w:val="right" w:leader="dot" w:pos="8828"/>
        </w:tabs>
        <w:rPr>
          <w:noProof/>
        </w:rPr>
      </w:pPr>
      <w:hyperlink w:anchor="_Toc467228650" w:history="1">
        <w:r w:rsidR="00D14D9E" w:rsidRPr="00542E1B">
          <w:rPr>
            <w:rStyle w:val="Hipervnculo"/>
            <w:noProof/>
          </w:rPr>
          <w:t>1</w:t>
        </w:r>
        <w:r w:rsidR="00D14D9E">
          <w:rPr>
            <w:noProof/>
          </w:rPr>
          <w:tab/>
        </w:r>
        <w:r w:rsidR="00D14D9E" w:rsidRPr="00542E1B">
          <w:rPr>
            <w:rStyle w:val="Hipervnculo"/>
            <w:noProof/>
          </w:rPr>
          <w:t>PROGRAMA ESPECIAL DE SERVICIOS DE ASISTENCIA MÉDICA Y HOSPITALARIA</w:t>
        </w:r>
        <w:r w:rsidR="00D14D9E">
          <w:rPr>
            <w:noProof/>
            <w:webHidden/>
          </w:rPr>
          <w:tab/>
        </w:r>
        <w:r w:rsidR="00D14D9E">
          <w:rPr>
            <w:noProof/>
            <w:webHidden/>
          </w:rPr>
          <w:fldChar w:fldCharType="begin"/>
        </w:r>
        <w:r w:rsidR="00D14D9E">
          <w:rPr>
            <w:noProof/>
            <w:webHidden/>
          </w:rPr>
          <w:instrText xml:space="preserve"> PAGEREF _Toc467228650 \h </w:instrText>
        </w:r>
        <w:r w:rsidR="00D14D9E">
          <w:rPr>
            <w:noProof/>
            <w:webHidden/>
          </w:rPr>
        </w:r>
        <w:r w:rsidR="00D14D9E">
          <w:rPr>
            <w:noProof/>
            <w:webHidden/>
          </w:rPr>
          <w:fldChar w:fldCharType="separate"/>
        </w:r>
        <w:r w:rsidR="00D14D9E">
          <w:rPr>
            <w:noProof/>
            <w:webHidden/>
          </w:rPr>
          <w:t>6</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51" w:history="1">
        <w:r w:rsidR="00D14D9E" w:rsidRPr="00542E1B">
          <w:rPr>
            <w:rStyle w:val="Hipervnculo"/>
            <w:noProof/>
          </w:rPr>
          <w:t>A.</w:t>
        </w:r>
        <w:r w:rsidR="00D14D9E" w:rsidRPr="008D067D">
          <w:rPr>
            <w:rFonts w:eastAsia="Times New Roman"/>
            <w:noProof/>
            <w:lang w:eastAsia="es-SV"/>
          </w:rPr>
          <w:tab/>
        </w:r>
        <w:r w:rsidR="00C76B9B">
          <w:rPr>
            <w:rStyle w:val="Hipervnculo"/>
            <w:noProof/>
          </w:rPr>
          <w:t xml:space="preserve">POBLACIÓN USUARIA </w:t>
        </w:r>
        <w:r w:rsidR="00D14D9E">
          <w:rPr>
            <w:noProof/>
            <w:webHidden/>
          </w:rPr>
          <w:tab/>
        </w:r>
        <w:r w:rsidR="00D14D9E">
          <w:rPr>
            <w:noProof/>
            <w:webHidden/>
          </w:rPr>
          <w:fldChar w:fldCharType="begin"/>
        </w:r>
        <w:r w:rsidR="00D14D9E">
          <w:rPr>
            <w:noProof/>
            <w:webHidden/>
          </w:rPr>
          <w:instrText xml:space="preserve"> PAGEREF _Toc467228651 \h </w:instrText>
        </w:r>
        <w:r w:rsidR="00D14D9E">
          <w:rPr>
            <w:noProof/>
            <w:webHidden/>
          </w:rPr>
        </w:r>
        <w:r w:rsidR="00D14D9E">
          <w:rPr>
            <w:noProof/>
            <w:webHidden/>
          </w:rPr>
          <w:fldChar w:fldCharType="separate"/>
        </w:r>
        <w:r w:rsidR="00D14D9E">
          <w:rPr>
            <w:noProof/>
            <w:webHidden/>
          </w:rPr>
          <w:t>6</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52" w:history="1">
        <w:r w:rsidR="00D14D9E" w:rsidRPr="00542E1B">
          <w:rPr>
            <w:rStyle w:val="Hipervnculo"/>
            <w:noProof/>
          </w:rPr>
          <w:t>B.</w:t>
        </w:r>
        <w:r w:rsidR="00D14D9E" w:rsidRPr="008D067D">
          <w:rPr>
            <w:rFonts w:eastAsia="Times New Roman"/>
            <w:noProof/>
            <w:lang w:eastAsia="es-SV"/>
          </w:rPr>
          <w:tab/>
        </w:r>
        <w:r w:rsidR="00C76B9B">
          <w:rPr>
            <w:rStyle w:val="Hipervnculo"/>
            <w:noProof/>
          </w:rPr>
          <w:t xml:space="preserve">PORTAFOLIO DE SERVICIOS  </w:t>
        </w:r>
        <w:r w:rsidR="00D14D9E">
          <w:rPr>
            <w:noProof/>
            <w:webHidden/>
          </w:rPr>
          <w:tab/>
        </w:r>
        <w:r w:rsidR="00D14D9E">
          <w:rPr>
            <w:noProof/>
            <w:webHidden/>
          </w:rPr>
          <w:fldChar w:fldCharType="begin"/>
        </w:r>
        <w:r w:rsidR="00D14D9E">
          <w:rPr>
            <w:noProof/>
            <w:webHidden/>
          </w:rPr>
          <w:instrText xml:space="preserve"> PAGEREF _Toc467228652 \h </w:instrText>
        </w:r>
        <w:r w:rsidR="00D14D9E">
          <w:rPr>
            <w:noProof/>
            <w:webHidden/>
          </w:rPr>
        </w:r>
        <w:r w:rsidR="00D14D9E">
          <w:rPr>
            <w:noProof/>
            <w:webHidden/>
          </w:rPr>
          <w:fldChar w:fldCharType="separate"/>
        </w:r>
        <w:r w:rsidR="00D14D9E">
          <w:rPr>
            <w:noProof/>
            <w:webHidden/>
          </w:rPr>
          <w:t>7</w:t>
        </w:r>
        <w:r w:rsidR="00D14D9E">
          <w:rPr>
            <w:noProof/>
            <w:webHidden/>
          </w:rPr>
          <w:fldChar w:fldCharType="end"/>
        </w:r>
      </w:hyperlink>
    </w:p>
    <w:p w:rsidR="00D14D9E" w:rsidRPr="008D067D" w:rsidRDefault="00A64042">
      <w:pPr>
        <w:pStyle w:val="TDC5"/>
        <w:tabs>
          <w:tab w:val="left" w:pos="1320"/>
          <w:tab w:val="right" w:leader="dot" w:pos="8828"/>
        </w:tabs>
        <w:rPr>
          <w:rFonts w:eastAsia="Times New Roman"/>
          <w:noProof/>
          <w:lang w:eastAsia="es-SV"/>
        </w:rPr>
      </w:pPr>
      <w:hyperlink w:anchor="_Toc467228653" w:history="1">
        <w:r w:rsidR="00D14D9E" w:rsidRPr="00542E1B">
          <w:rPr>
            <w:rStyle w:val="Hipervnculo"/>
            <w:b/>
            <w:noProof/>
          </w:rPr>
          <w:t>a)</w:t>
        </w:r>
        <w:r w:rsidR="00D14D9E" w:rsidRPr="008D067D">
          <w:rPr>
            <w:rFonts w:eastAsia="Times New Roman"/>
            <w:noProof/>
            <w:lang w:eastAsia="es-SV"/>
          </w:rPr>
          <w:tab/>
        </w:r>
        <w:r w:rsidR="00D14D9E" w:rsidRPr="00542E1B">
          <w:rPr>
            <w:rStyle w:val="Hipervnculo"/>
            <w:b/>
            <w:noProof/>
          </w:rPr>
          <w:t>Servicios brindados en el primer nivel de atención</w:t>
        </w:r>
        <w:r w:rsidR="00D14D9E">
          <w:rPr>
            <w:noProof/>
            <w:webHidden/>
          </w:rPr>
          <w:tab/>
        </w:r>
        <w:r w:rsidR="00D14D9E">
          <w:rPr>
            <w:noProof/>
            <w:webHidden/>
          </w:rPr>
          <w:fldChar w:fldCharType="begin"/>
        </w:r>
        <w:r w:rsidR="00D14D9E">
          <w:rPr>
            <w:noProof/>
            <w:webHidden/>
          </w:rPr>
          <w:instrText xml:space="preserve"> PAGEREF _Toc467228653 \h </w:instrText>
        </w:r>
        <w:r w:rsidR="00D14D9E">
          <w:rPr>
            <w:noProof/>
            <w:webHidden/>
          </w:rPr>
        </w:r>
        <w:r w:rsidR="00D14D9E">
          <w:rPr>
            <w:noProof/>
            <w:webHidden/>
          </w:rPr>
          <w:fldChar w:fldCharType="separate"/>
        </w:r>
        <w:r w:rsidR="00D14D9E">
          <w:rPr>
            <w:noProof/>
            <w:webHidden/>
          </w:rPr>
          <w:t>9</w:t>
        </w:r>
        <w:r w:rsidR="00D14D9E">
          <w:rPr>
            <w:noProof/>
            <w:webHidden/>
          </w:rPr>
          <w:fldChar w:fldCharType="end"/>
        </w:r>
      </w:hyperlink>
    </w:p>
    <w:p w:rsidR="00D14D9E" w:rsidRPr="008D067D" w:rsidRDefault="00A64042">
      <w:pPr>
        <w:pStyle w:val="TDC5"/>
        <w:tabs>
          <w:tab w:val="left" w:pos="1320"/>
          <w:tab w:val="right" w:leader="dot" w:pos="8828"/>
        </w:tabs>
        <w:rPr>
          <w:rFonts w:eastAsia="Times New Roman"/>
          <w:noProof/>
          <w:lang w:eastAsia="es-SV"/>
        </w:rPr>
      </w:pPr>
      <w:hyperlink w:anchor="_Toc467228654" w:history="1">
        <w:r w:rsidR="00D14D9E" w:rsidRPr="00542E1B">
          <w:rPr>
            <w:rStyle w:val="Hipervnculo"/>
            <w:b/>
            <w:noProof/>
          </w:rPr>
          <w:t>b)</w:t>
        </w:r>
        <w:r w:rsidR="00D14D9E" w:rsidRPr="008D067D">
          <w:rPr>
            <w:rFonts w:eastAsia="Times New Roman"/>
            <w:noProof/>
            <w:lang w:eastAsia="es-SV"/>
          </w:rPr>
          <w:tab/>
        </w:r>
        <w:r w:rsidR="00D14D9E" w:rsidRPr="00542E1B">
          <w:rPr>
            <w:rStyle w:val="Hipervnculo"/>
            <w:b/>
            <w:noProof/>
          </w:rPr>
          <w:t>Atención de medicina especializada y sub-especializada.</w:t>
        </w:r>
        <w:r w:rsidR="00D14D9E">
          <w:rPr>
            <w:noProof/>
            <w:webHidden/>
          </w:rPr>
          <w:tab/>
        </w:r>
        <w:r w:rsidR="00D14D9E">
          <w:rPr>
            <w:noProof/>
            <w:webHidden/>
          </w:rPr>
          <w:fldChar w:fldCharType="begin"/>
        </w:r>
        <w:r w:rsidR="00D14D9E">
          <w:rPr>
            <w:noProof/>
            <w:webHidden/>
          </w:rPr>
          <w:instrText xml:space="preserve"> PAGEREF _Toc467228654 \h </w:instrText>
        </w:r>
        <w:r w:rsidR="00D14D9E">
          <w:rPr>
            <w:noProof/>
            <w:webHidden/>
          </w:rPr>
        </w:r>
        <w:r w:rsidR="00D14D9E">
          <w:rPr>
            <w:noProof/>
            <w:webHidden/>
          </w:rPr>
          <w:fldChar w:fldCharType="separate"/>
        </w:r>
        <w:r w:rsidR="00D14D9E">
          <w:rPr>
            <w:noProof/>
            <w:webHidden/>
          </w:rPr>
          <w:t>10</w:t>
        </w:r>
        <w:r w:rsidR="00D14D9E">
          <w:rPr>
            <w:noProof/>
            <w:webHidden/>
          </w:rPr>
          <w:fldChar w:fldCharType="end"/>
        </w:r>
      </w:hyperlink>
    </w:p>
    <w:p w:rsidR="00D14D9E" w:rsidRPr="008D067D" w:rsidRDefault="00A64042">
      <w:pPr>
        <w:pStyle w:val="TDC5"/>
        <w:tabs>
          <w:tab w:val="left" w:pos="1320"/>
          <w:tab w:val="right" w:leader="dot" w:pos="8828"/>
        </w:tabs>
        <w:rPr>
          <w:rFonts w:eastAsia="Times New Roman"/>
          <w:noProof/>
          <w:lang w:eastAsia="es-SV"/>
        </w:rPr>
      </w:pPr>
      <w:hyperlink w:anchor="_Toc467228655" w:history="1">
        <w:r w:rsidR="00D14D9E" w:rsidRPr="00542E1B">
          <w:rPr>
            <w:rStyle w:val="Hipervnculo"/>
            <w:b/>
            <w:noProof/>
          </w:rPr>
          <w:t>c)</w:t>
        </w:r>
        <w:r w:rsidR="00D14D9E" w:rsidRPr="008D067D">
          <w:rPr>
            <w:rFonts w:eastAsia="Times New Roman"/>
            <w:noProof/>
            <w:lang w:eastAsia="es-SV"/>
          </w:rPr>
          <w:tab/>
        </w:r>
        <w:r w:rsidR="00D14D9E" w:rsidRPr="00542E1B">
          <w:rPr>
            <w:rStyle w:val="Hipervnculo"/>
            <w:b/>
            <w:noProof/>
          </w:rPr>
          <w:t>Atención hospitalaria.</w:t>
        </w:r>
        <w:r w:rsidR="00D14D9E">
          <w:rPr>
            <w:noProof/>
            <w:webHidden/>
          </w:rPr>
          <w:tab/>
        </w:r>
        <w:r w:rsidR="00D14D9E">
          <w:rPr>
            <w:noProof/>
            <w:webHidden/>
          </w:rPr>
          <w:fldChar w:fldCharType="begin"/>
        </w:r>
        <w:r w:rsidR="00D14D9E">
          <w:rPr>
            <w:noProof/>
            <w:webHidden/>
          </w:rPr>
          <w:instrText xml:space="preserve"> PAGEREF _Toc467228655 \h </w:instrText>
        </w:r>
        <w:r w:rsidR="00D14D9E">
          <w:rPr>
            <w:noProof/>
            <w:webHidden/>
          </w:rPr>
        </w:r>
        <w:r w:rsidR="00D14D9E">
          <w:rPr>
            <w:noProof/>
            <w:webHidden/>
          </w:rPr>
          <w:fldChar w:fldCharType="separate"/>
        </w:r>
        <w:r w:rsidR="00D14D9E">
          <w:rPr>
            <w:noProof/>
            <w:webHidden/>
          </w:rPr>
          <w:t>11</w:t>
        </w:r>
        <w:r w:rsidR="00D14D9E">
          <w:rPr>
            <w:noProof/>
            <w:webHidden/>
          </w:rPr>
          <w:fldChar w:fldCharType="end"/>
        </w:r>
      </w:hyperlink>
    </w:p>
    <w:p w:rsidR="00D14D9E" w:rsidRPr="008D067D" w:rsidRDefault="00A64042">
      <w:pPr>
        <w:pStyle w:val="TDC5"/>
        <w:tabs>
          <w:tab w:val="left" w:pos="1320"/>
          <w:tab w:val="right" w:leader="dot" w:pos="8828"/>
        </w:tabs>
        <w:rPr>
          <w:rFonts w:eastAsia="Times New Roman"/>
          <w:noProof/>
          <w:lang w:eastAsia="es-SV"/>
        </w:rPr>
      </w:pPr>
      <w:hyperlink w:anchor="_Toc467228656" w:history="1">
        <w:r w:rsidR="00D14D9E" w:rsidRPr="00542E1B">
          <w:rPr>
            <w:rStyle w:val="Hipervnculo"/>
            <w:b/>
            <w:noProof/>
          </w:rPr>
          <w:t>d)</w:t>
        </w:r>
        <w:r w:rsidR="00D14D9E" w:rsidRPr="008D067D">
          <w:rPr>
            <w:rFonts w:eastAsia="Times New Roman"/>
            <w:noProof/>
            <w:lang w:eastAsia="es-SV"/>
          </w:rPr>
          <w:tab/>
        </w:r>
        <w:r w:rsidR="00D14D9E" w:rsidRPr="00542E1B">
          <w:rPr>
            <w:rStyle w:val="Hipervnculo"/>
            <w:b/>
            <w:noProof/>
          </w:rPr>
          <w:t>Proyecto educación del cerebro.</w:t>
        </w:r>
        <w:r w:rsidR="00D14D9E">
          <w:rPr>
            <w:noProof/>
            <w:webHidden/>
          </w:rPr>
          <w:tab/>
        </w:r>
        <w:r w:rsidR="00D14D9E">
          <w:rPr>
            <w:noProof/>
            <w:webHidden/>
          </w:rPr>
          <w:fldChar w:fldCharType="begin"/>
        </w:r>
        <w:r w:rsidR="00D14D9E">
          <w:rPr>
            <w:noProof/>
            <w:webHidden/>
          </w:rPr>
          <w:instrText xml:space="preserve"> PAGEREF _Toc467228656 \h </w:instrText>
        </w:r>
        <w:r w:rsidR="00D14D9E">
          <w:rPr>
            <w:noProof/>
            <w:webHidden/>
          </w:rPr>
        </w:r>
        <w:r w:rsidR="00D14D9E">
          <w:rPr>
            <w:noProof/>
            <w:webHidden/>
          </w:rPr>
          <w:fldChar w:fldCharType="separate"/>
        </w:r>
        <w:r w:rsidR="00D14D9E">
          <w:rPr>
            <w:noProof/>
            <w:webHidden/>
          </w:rPr>
          <w:t>13</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57" w:history="1">
        <w:r w:rsidR="00D14D9E" w:rsidRPr="00542E1B">
          <w:rPr>
            <w:rStyle w:val="Hipervnculo"/>
            <w:noProof/>
          </w:rPr>
          <w:t>C.</w:t>
        </w:r>
        <w:r w:rsidR="00D14D9E" w:rsidRPr="008D067D">
          <w:rPr>
            <w:rFonts w:eastAsia="Times New Roman"/>
            <w:noProof/>
            <w:lang w:eastAsia="es-SV"/>
          </w:rPr>
          <w:tab/>
        </w:r>
        <w:r w:rsidR="00C76B9B">
          <w:rPr>
            <w:rStyle w:val="Hipervnculo"/>
            <w:noProof/>
          </w:rPr>
          <w:t xml:space="preserve">DISPENSACIÓN DE MEDICAMENTOS </w:t>
        </w:r>
        <w:r w:rsidR="00D14D9E">
          <w:rPr>
            <w:noProof/>
            <w:webHidden/>
          </w:rPr>
          <w:tab/>
        </w:r>
        <w:r w:rsidR="00D14D9E">
          <w:rPr>
            <w:noProof/>
            <w:webHidden/>
          </w:rPr>
          <w:fldChar w:fldCharType="begin"/>
        </w:r>
        <w:r w:rsidR="00D14D9E">
          <w:rPr>
            <w:noProof/>
            <w:webHidden/>
          </w:rPr>
          <w:instrText xml:space="preserve"> PAGEREF _Toc467228657 \h </w:instrText>
        </w:r>
        <w:r w:rsidR="00D14D9E">
          <w:rPr>
            <w:noProof/>
            <w:webHidden/>
          </w:rPr>
        </w:r>
        <w:r w:rsidR="00D14D9E">
          <w:rPr>
            <w:noProof/>
            <w:webHidden/>
          </w:rPr>
          <w:fldChar w:fldCharType="separate"/>
        </w:r>
        <w:r w:rsidR="00D14D9E">
          <w:rPr>
            <w:noProof/>
            <w:webHidden/>
          </w:rPr>
          <w:t>14</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58" w:history="1">
        <w:r w:rsidR="00D14D9E" w:rsidRPr="00542E1B">
          <w:rPr>
            <w:rStyle w:val="Hipervnculo"/>
            <w:noProof/>
          </w:rPr>
          <w:t>D.</w:t>
        </w:r>
        <w:r w:rsidR="00D14D9E" w:rsidRPr="008D067D">
          <w:rPr>
            <w:rFonts w:eastAsia="Times New Roman"/>
            <w:noProof/>
            <w:lang w:eastAsia="es-SV"/>
          </w:rPr>
          <w:tab/>
        </w:r>
        <w:r w:rsidR="00C76B9B">
          <w:rPr>
            <w:rStyle w:val="Hipervnculo"/>
            <w:noProof/>
          </w:rPr>
          <w:t xml:space="preserve">PRESTACIONES Y BENEFICIOS </w:t>
        </w:r>
        <w:r w:rsidR="00D14D9E">
          <w:rPr>
            <w:noProof/>
            <w:webHidden/>
          </w:rPr>
          <w:tab/>
        </w:r>
        <w:r w:rsidR="00D14D9E">
          <w:rPr>
            <w:noProof/>
            <w:webHidden/>
          </w:rPr>
          <w:fldChar w:fldCharType="begin"/>
        </w:r>
        <w:r w:rsidR="00D14D9E">
          <w:rPr>
            <w:noProof/>
            <w:webHidden/>
          </w:rPr>
          <w:instrText xml:space="preserve"> PAGEREF _Toc467228658 \h </w:instrText>
        </w:r>
        <w:r w:rsidR="00D14D9E">
          <w:rPr>
            <w:noProof/>
            <w:webHidden/>
          </w:rPr>
        </w:r>
        <w:r w:rsidR="00D14D9E">
          <w:rPr>
            <w:noProof/>
            <w:webHidden/>
          </w:rPr>
          <w:fldChar w:fldCharType="separate"/>
        </w:r>
        <w:r w:rsidR="00D14D9E">
          <w:rPr>
            <w:noProof/>
            <w:webHidden/>
          </w:rPr>
          <w:t>14</w:t>
        </w:r>
        <w:r w:rsidR="00D14D9E">
          <w:rPr>
            <w:noProof/>
            <w:webHidden/>
          </w:rPr>
          <w:fldChar w:fldCharType="end"/>
        </w:r>
      </w:hyperlink>
    </w:p>
    <w:p w:rsidR="00D14D9E" w:rsidRDefault="00A64042">
      <w:pPr>
        <w:pStyle w:val="TDC3"/>
        <w:tabs>
          <w:tab w:val="left" w:pos="880"/>
          <w:tab w:val="right" w:leader="dot" w:pos="8828"/>
        </w:tabs>
        <w:rPr>
          <w:noProof/>
        </w:rPr>
      </w:pPr>
      <w:hyperlink w:anchor="_Toc467228659" w:history="1">
        <w:r w:rsidR="00D14D9E" w:rsidRPr="00542E1B">
          <w:rPr>
            <w:rStyle w:val="Hipervnculo"/>
            <w:noProof/>
          </w:rPr>
          <w:t>2</w:t>
        </w:r>
        <w:r w:rsidR="00D14D9E">
          <w:rPr>
            <w:noProof/>
          </w:rPr>
          <w:tab/>
        </w:r>
        <w:r w:rsidR="00D14D9E" w:rsidRPr="00542E1B">
          <w:rPr>
            <w:rStyle w:val="Hipervnculo"/>
            <w:noProof/>
          </w:rPr>
          <w:t>FORTALECIMIENTO ADMINISTRATIVO INSTITUCIONAL</w:t>
        </w:r>
        <w:r w:rsidR="00D14D9E">
          <w:rPr>
            <w:noProof/>
            <w:webHidden/>
          </w:rPr>
          <w:tab/>
        </w:r>
        <w:r w:rsidR="00D14D9E">
          <w:rPr>
            <w:noProof/>
            <w:webHidden/>
          </w:rPr>
          <w:fldChar w:fldCharType="begin"/>
        </w:r>
        <w:r w:rsidR="00D14D9E">
          <w:rPr>
            <w:noProof/>
            <w:webHidden/>
          </w:rPr>
          <w:instrText xml:space="preserve"> PAGEREF _Toc467228659 \h </w:instrText>
        </w:r>
        <w:r w:rsidR="00D14D9E">
          <w:rPr>
            <w:noProof/>
            <w:webHidden/>
          </w:rPr>
        </w:r>
        <w:r w:rsidR="00D14D9E">
          <w:rPr>
            <w:noProof/>
            <w:webHidden/>
          </w:rPr>
          <w:fldChar w:fldCharType="separate"/>
        </w:r>
        <w:r w:rsidR="00D14D9E">
          <w:rPr>
            <w:noProof/>
            <w:webHidden/>
          </w:rPr>
          <w:t>15</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0" w:history="1">
        <w:r w:rsidR="00D14D9E" w:rsidRPr="00542E1B">
          <w:rPr>
            <w:rStyle w:val="Hipervnculo"/>
            <w:noProof/>
          </w:rPr>
          <w:t>A.</w:t>
        </w:r>
        <w:r w:rsidR="00D14D9E" w:rsidRPr="008D067D">
          <w:rPr>
            <w:rFonts w:eastAsia="Times New Roman"/>
            <w:noProof/>
            <w:lang w:eastAsia="es-SV"/>
          </w:rPr>
          <w:tab/>
        </w:r>
        <w:r w:rsidR="00C76B9B">
          <w:rPr>
            <w:rStyle w:val="Hipervnculo"/>
            <w:noProof/>
          </w:rPr>
          <w:t xml:space="preserve">DESARROLLO HUMANO </w:t>
        </w:r>
        <w:r w:rsidR="00D14D9E">
          <w:rPr>
            <w:noProof/>
            <w:webHidden/>
          </w:rPr>
          <w:tab/>
        </w:r>
        <w:r w:rsidR="00D14D9E">
          <w:rPr>
            <w:noProof/>
            <w:webHidden/>
          </w:rPr>
          <w:fldChar w:fldCharType="begin"/>
        </w:r>
        <w:r w:rsidR="00D14D9E">
          <w:rPr>
            <w:noProof/>
            <w:webHidden/>
          </w:rPr>
          <w:instrText xml:space="preserve"> PAGEREF _Toc467228660 \h </w:instrText>
        </w:r>
        <w:r w:rsidR="00D14D9E">
          <w:rPr>
            <w:noProof/>
            <w:webHidden/>
          </w:rPr>
        </w:r>
        <w:r w:rsidR="00D14D9E">
          <w:rPr>
            <w:noProof/>
            <w:webHidden/>
          </w:rPr>
          <w:fldChar w:fldCharType="separate"/>
        </w:r>
        <w:r w:rsidR="00D14D9E">
          <w:rPr>
            <w:noProof/>
            <w:webHidden/>
          </w:rPr>
          <w:t>15</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1" w:history="1">
        <w:r w:rsidR="00D14D9E" w:rsidRPr="00542E1B">
          <w:rPr>
            <w:rStyle w:val="Hipervnculo"/>
            <w:noProof/>
          </w:rPr>
          <w:t>B.</w:t>
        </w:r>
        <w:r w:rsidR="00D14D9E" w:rsidRPr="008D067D">
          <w:rPr>
            <w:rFonts w:eastAsia="Times New Roman"/>
            <w:noProof/>
            <w:lang w:eastAsia="es-SV"/>
          </w:rPr>
          <w:tab/>
        </w:r>
        <w:r w:rsidR="00D14D9E" w:rsidRPr="00542E1B">
          <w:rPr>
            <w:rStyle w:val="Hipervnculo"/>
            <w:noProof/>
          </w:rPr>
          <w:t>PROCESOS DE ADQ</w:t>
        </w:r>
        <w:r w:rsidR="00C76B9B">
          <w:rPr>
            <w:rStyle w:val="Hipervnculo"/>
            <w:noProof/>
          </w:rPr>
          <w:t xml:space="preserve">UISICIÓN DE BIENES Y SERVICIOS </w:t>
        </w:r>
        <w:r w:rsidR="00D14D9E">
          <w:rPr>
            <w:noProof/>
            <w:webHidden/>
          </w:rPr>
          <w:tab/>
        </w:r>
        <w:r w:rsidR="00D14D9E">
          <w:rPr>
            <w:noProof/>
            <w:webHidden/>
          </w:rPr>
          <w:fldChar w:fldCharType="begin"/>
        </w:r>
        <w:r w:rsidR="00D14D9E">
          <w:rPr>
            <w:noProof/>
            <w:webHidden/>
          </w:rPr>
          <w:instrText xml:space="preserve"> PAGEREF _Toc467228661 \h </w:instrText>
        </w:r>
        <w:r w:rsidR="00D14D9E">
          <w:rPr>
            <w:noProof/>
            <w:webHidden/>
          </w:rPr>
        </w:r>
        <w:r w:rsidR="00D14D9E">
          <w:rPr>
            <w:noProof/>
            <w:webHidden/>
          </w:rPr>
          <w:fldChar w:fldCharType="separate"/>
        </w:r>
        <w:r w:rsidR="00D14D9E">
          <w:rPr>
            <w:noProof/>
            <w:webHidden/>
          </w:rPr>
          <w:t>17</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2" w:history="1">
        <w:r w:rsidR="00D14D9E" w:rsidRPr="00542E1B">
          <w:rPr>
            <w:rStyle w:val="Hipervnculo"/>
            <w:noProof/>
          </w:rPr>
          <w:t>C.</w:t>
        </w:r>
        <w:r w:rsidR="00D14D9E" w:rsidRPr="008D067D">
          <w:rPr>
            <w:rFonts w:eastAsia="Times New Roman"/>
            <w:noProof/>
            <w:lang w:eastAsia="es-SV"/>
          </w:rPr>
          <w:tab/>
        </w:r>
        <w:r w:rsidR="00D14D9E" w:rsidRPr="00542E1B">
          <w:rPr>
            <w:rStyle w:val="Hipervnculo"/>
            <w:noProof/>
          </w:rPr>
          <w:t>A</w:t>
        </w:r>
        <w:r w:rsidR="00C76B9B">
          <w:rPr>
            <w:rStyle w:val="Hipervnculo"/>
            <w:noProof/>
          </w:rPr>
          <w:t xml:space="preserve">DQUISICIÓN DE BIENES INMUEBLES </w:t>
        </w:r>
        <w:r w:rsidR="00D14D9E">
          <w:rPr>
            <w:noProof/>
            <w:webHidden/>
          </w:rPr>
          <w:tab/>
        </w:r>
        <w:r w:rsidR="00D14D9E">
          <w:rPr>
            <w:noProof/>
            <w:webHidden/>
          </w:rPr>
          <w:fldChar w:fldCharType="begin"/>
        </w:r>
        <w:r w:rsidR="00D14D9E">
          <w:rPr>
            <w:noProof/>
            <w:webHidden/>
          </w:rPr>
          <w:instrText xml:space="preserve"> PAGEREF _Toc467228662 \h </w:instrText>
        </w:r>
        <w:r w:rsidR="00D14D9E">
          <w:rPr>
            <w:noProof/>
            <w:webHidden/>
          </w:rPr>
        </w:r>
        <w:r w:rsidR="00D14D9E">
          <w:rPr>
            <w:noProof/>
            <w:webHidden/>
          </w:rPr>
          <w:fldChar w:fldCharType="separate"/>
        </w:r>
        <w:r w:rsidR="00D14D9E">
          <w:rPr>
            <w:noProof/>
            <w:webHidden/>
          </w:rPr>
          <w:t>17</w:t>
        </w:r>
        <w:r w:rsidR="00D14D9E">
          <w:rPr>
            <w:noProof/>
            <w:webHidden/>
          </w:rPr>
          <w:fldChar w:fldCharType="end"/>
        </w:r>
      </w:hyperlink>
    </w:p>
    <w:p w:rsidR="00D14D9E" w:rsidRDefault="00A64042">
      <w:pPr>
        <w:pStyle w:val="TDC3"/>
        <w:tabs>
          <w:tab w:val="left" w:pos="880"/>
          <w:tab w:val="right" w:leader="dot" w:pos="8828"/>
        </w:tabs>
        <w:rPr>
          <w:noProof/>
        </w:rPr>
      </w:pPr>
      <w:hyperlink w:anchor="_Toc467228663" w:history="1">
        <w:r w:rsidR="00D14D9E" w:rsidRPr="00542E1B">
          <w:rPr>
            <w:rStyle w:val="Hipervnculo"/>
            <w:noProof/>
          </w:rPr>
          <w:t>3</w:t>
        </w:r>
        <w:r w:rsidR="00D14D9E">
          <w:rPr>
            <w:noProof/>
          </w:rPr>
          <w:tab/>
        </w:r>
        <w:r w:rsidR="00C76B9B">
          <w:rPr>
            <w:rStyle w:val="Hipervnculo"/>
            <w:noProof/>
          </w:rPr>
          <w:t xml:space="preserve">PRESUPUESTO INSTITUCIONAL </w:t>
        </w:r>
        <w:r w:rsidR="00D14D9E">
          <w:rPr>
            <w:noProof/>
            <w:webHidden/>
          </w:rPr>
          <w:tab/>
        </w:r>
        <w:r w:rsidR="00D14D9E">
          <w:rPr>
            <w:noProof/>
            <w:webHidden/>
          </w:rPr>
          <w:fldChar w:fldCharType="begin"/>
        </w:r>
        <w:r w:rsidR="00D14D9E">
          <w:rPr>
            <w:noProof/>
            <w:webHidden/>
          </w:rPr>
          <w:instrText xml:space="preserve"> PAGEREF _Toc467228663 \h </w:instrText>
        </w:r>
        <w:r w:rsidR="00D14D9E">
          <w:rPr>
            <w:noProof/>
            <w:webHidden/>
          </w:rPr>
        </w:r>
        <w:r w:rsidR="00D14D9E">
          <w:rPr>
            <w:noProof/>
            <w:webHidden/>
          </w:rPr>
          <w:fldChar w:fldCharType="separate"/>
        </w:r>
        <w:r w:rsidR="00D14D9E">
          <w:rPr>
            <w:noProof/>
            <w:webHidden/>
          </w:rPr>
          <w:t>18</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4" w:history="1">
        <w:r w:rsidR="00D14D9E" w:rsidRPr="00542E1B">
          <w:rPr>
            <w:rStyle w:val="Hipervnculo"/>
            <w:noProof/>
          </w:rPr>
          <w:t>A.</w:t>
        </w:r>
        <w:r w:rsidR="00D14D9E" w:rsidRPr="008D067D">
          <w:rPr>
            <w:rFonts w:eastAsia="Times New Roman"/>
            <w:noProof/>
            <w:lang w:eastAsia="es-SV"/>
          </w:rPr>
          <w:tab/>
        </w:r>
        <w:r w:rsidR="00D14D9E" w:rsidRPr="00542E1B">
          <w:rPr>
            <w:rStyle w:val="Hipervnculo"/>
            <w:noProof/>
          </w:rPr>
          <w:t>INVERSIÓN EN SERVICIOS DE SALUD.</w:t>
        </w:r>
        <w:r w:rsidR="00D14D9E">
          <w:rPr>
            <w:noProof/>
            <w:webHidden/>
          </w:rPr>
          <w:tab/>
        </w:r>
        <w:r w:rsidR="00D14D9E">
          <w:rPr>
            <w:noProof/>
            <w:webHidden/>
          </w:rPr>
          <w:fldChar w:fldCharType="begin"/>
        </w:r>
        <w:r w:rsidR="00D14D9E">
          <w:rPr>
            <w:noProof/>
            <w:webHidden/>
          </w:rPr>
          <w:instrText xml:space="preserve"> PAGEREF _Toc467228664 \h </w:instrText>
        </w:r>
        <w:r w:rsidR="00D14D9E">
          <w:rPr>
            <w:noProof/>
            <w:webHidden/>
          </w:rPr>
        </w:r>
        <w:r w:rsidR="00D14D9E">
          <w:rPr>
            <w:noProof/>
            <w:webHidden/>
          </w:rPr>
          <w:fldChar w:fldCharType="separate"/>
        </w:r>
        <w:r w:rsidR="00D14D9E">
          <w:rPr>
            <w:noProof/>
            <w:webHidden/>
          </w:rPr>
          <w:t>18</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5" w:history="1">
        <w:r w:rsidR="00D14D9E" w:rsidRPr="00542E1B">
          <w:rPr>
            <w:rStyle w:val="Hipervnculo"/>
            <w:noProof/>
          </w:rPr>
          <w:t>B.</w:t>
        </w:r>
        <w:r w:rsidR="00D14D9E" w:rsidRPr="008D067D">
          <w:rPr>
            <w:rFonts w:eastAsia="Times New Roman"/>
            <w:noProof/>
            <w:lang w:eastAsia="es-SV"/>
          </w:rPr>
          <w:tab/>
        </w:r>
        <w:r w:rsidR="00D14D9E" w:rsidRPr="00542E1B">
          <w:rPr>
            <w:rStyle w:val="Hipervnculo"/>
            <w:noProof/>
          </w:rPr>
          <w:t>PATRIMONIO INSTITUCIONAL.</w:t>
        </w:r>
        <w:r w:rsidR="00D14D9E">
          <w:rPr>
            <w:noProof/>
            <w:webHidden/>
          </w:rPr>
          <w:tab/>
        </w:r>
        <w:r w:rsidR="00D14D9E">
          <w:rPr>
            <w:noProof/>
            <w:webHidden/>
          </w:rPr>
          <w:fldChar w:fldCharType="begin"/>
        </w:r>
        <w:r w:rsidR="00D14D9E">
          <w:rPr>
            <w:noProof/>
            <w:webHidden/>
          </w:rPr>
          <w:instrText xml:space="preserve"> PAGEREF _Toc467228665 \h </w:instrText>
        </w:r>
        <w:r w:rsidR="00D14D9E">
          <w:rPr>
            <w:noProof/>
            <w:webHidden/>
          </w:rPr>
        </w:r>
        <w:r w:rsidR="00D14D9E">
          <w:rPr>
            <w:noProof/>
            <w:webHidden/>
          </w:rPr>
          <w:fldChar w:fldCharType="separate"/>
        </w:r>
        <w:r w:rsidR="00D14D9E">
          <w:rPr>
            <w:noProof/>
            <w:webHidden/>
          </w:rPr>
          <w:t>19</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6" w:history="1">
        <w:r w:rsidR="00D14D9E" w:rsidRPr="00542E1B">
          <w:rPr>
            <w:rStyle w:val="Hipervnculo"/>
            <w:noProof/>
          </w:rPr>
          <w:t>C.</w:t>
        </w:r>
        <w:r w:rsidR="00D14D9E" w:rsidRPr="008D067D">
          <w:rPr>
            <w:rFonts w:eastAsia="Times New Roman"/>
            <w:noProof/>
            <w:lang w:eastAsia="es-SV"/>
          </w:rPr>
          <w:tab/>
        </w:r>
        <w:r w:rsidR="00D14D9E" w:rsidRPr="00542E1B">
          <w:rPr>
            <w:rStyle w:val="Hipervnculo"/>
            <w:noProof/>
          </w:rPr>
          <w:t>PRODUCTOS FINANCIEROS OBTENIDOS POR INVERSIONES</w:t>
        </w:r>
        <w:r w:rsidR="00D14D9E">
          <w:rPr>
            <w:noProof/>
            <w:webHidden/>
          </w:rPr>
          <w:tab/>
        </w:r>
        <w:r w:rsidR="00D14D9E">
          <w:rPr>
            <w:noProof/>
            <w:webHidden/>
          </w:rPr>
          <w:fldChar w:fldCharType="begin"/>
        </w:r>
        <w:r w:rsidR="00D14D9E">
          <w:rPr>
            <w:noProof/>
            <w:webHidden/>
          </w:rPr>
          <w:instrText xml:space="preserve"> PAGEREF _Toc467228666 \h </w:instrText>
        </w:r>
        <w:r w:rsidR="00D14D9E">
          <w:rPr>
            <w:noProof/>
            <w:webHidden/>
          </w:rPr>
        </w:r>
        <w:r w:rsidR="00D14D9E">
          <w:rPr>
            <w:noProof/>
            <w:webHidden/>
          </w:rPr>
          <w:fldChar w:fldCharType="separate"/>
        </w:r>
        <w:r w:rsidR="00D14D9E">
          <w:rPr>
            <w:noProof/>
            <w:webHidden/>
          </w:rPr>
          <w:t>19</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7" w:history="1">
        <w:r w:rsidR="00D14D9E" w:rsidRPr="00542E1B">
          <w:rPr>
            <w:rStyle w:val="Hipervnculo"/>
            <w:noProof/>
          </w:rPr>
          <w:t>D.</w:t>
        </w:r>
        <w:r w:rsidR="00D14D9E" w:rsidRPr="008D067D">
          <w:rPr>
            <w:rFonts w:eastAsia="Times New Roman"/>
            <w:noProof/>
            <w:lang w:eastAsia="es-SV"/>
          </w:rPr>
          <w:tab/>
        </w:r>
        <w:r w:rsidR="00D14D9E" w:rsidRPr="00542E1B">
          <w:rPr>
            <w:rStyle w:val="Hipervnculo"/>
            <w:noProof/>
          </w:rPr>
          <w:t>TRANSFERENCIAS HACIENDA</w:t>
        </w:r>
        <w:r w:rsidR="00D14D9E">
          <w:rPr>
            <w:noProof/>
            <w:webHidden/>
          </w:rPr>
          <w:tab/>
        </w:r>
        <w:r w:rsidR="00D14D9E">
          <w:rPr>
            <w:noProof/>
            <w:webHidden/>
          </w:rPr>
          <w:fldChar w:fldCharType="begin"/>
        </w:r>
        <w:r w:rsidR="00D14D9E">
          <w:rPr>
            <w:noProof/>
            <w:webHidden/>
          </w:rPr>
          <w:instrText xml:space="preserve"> PAGEREF _Toc467228667 \h </w:instrText>
        </w:r>
        <w:r w:rsidR="00D14D9E">
          <w:rPr>
            <w:noProof/>
            <w:webHidden/>
          </w:rPr>
        </w:r>
        <w:r w:rsidR="00D14D9E">
          <w:rPr>
            <w:noProof/>
            <w:webHidden/>
          </w:rPr>
          <w:fldChar w:fldCharType="separate"/>
        </w:r>
        <w:r w:rsidR="00D14D9E">
          <w:rPr>
            <w:noProof/>
            <w:webHidden/>
          </w:rPr>
          <w:t>20</w:t>
        </w:r>
        <w:r w:rsidR="00D14D9E">
          <w:rPr>
            <w:noProof/>
            <w:webHidden/>
          </w:rPr>
          <w:fldChar w:fldCharType="end"/>
        </w:r>
      </w:hyperlink>
    </w:p>
    <w:p w:rsidR="00D14D9E" w:rsidRPr="008D067D" w:rsidRDefault="00A64042">
      <w:pPr>
        <w:pStyle w:val="TDC4"/>
        <w:tabs>
          <w:tab w:val="left" w:pos="1100"/>
          <w:tab w:val="right" w:leader="dot" w:pos="8828"/>
        </w:tabs>
        <w:rPr>
          <w:rFonts w:eastAsia="Times New Roman"/>
          <w:noProof/>
          <w:lang w:eastAsia="es-SV"/>
        </w:rPr>
      </w:pPr>
      <w:hyperlink w:anchor="_Toc467228668" w:history="1">
        <w:r w:rsidR="00D14D9E" w:rsidRPr="008D067D">
          <w:rPr>
            <w:rStyle w:val="Hipervnculo"/>
            <w:rFonts w:eastAsia="Times New Roman"/>
            <w:bCs/>
            <w:iCs/>
            <w:noProof/>
          </w:rPr>
          <w:t>E.</w:t>
        </w:r>
        <w:r w:rsidR="00D14D9E" w:rsidRPr="008D067D">
          <w:rPr>
            <w:rFonts w:eastAsia="Times New Roman"/>
            <w:noProof/>
            <w:lang w:eastAsia="es-SV"/>
          </w:rPr>
          <w:tab/>
        </w:r>
        <w:r w:rsidR="00D14D9E" w:rsidRPr="008D067D">
          <w:rPr>
            <w:rStyle w:val="Hipervnculo"/>
            <w:rFonts w:eastAsia="Times New Roman"/>
            <w:bCs/>
            <w:iCs/>
            <w:noProof/>
          </w:rPr>
          <w:t>RESERVAS INSTITUCIONALES</w:t>
        </w:r>
        <w:r w:rsidR="00D14D9E">
          <w:rPr>
            <w:noProof/>
            <w:webHidden/>
          </w:rPr>
          <w:tab/>
        </w:r>
        <w:r w:rsidR="00D14D9E">
          <w:rPr>
            <w:noProof/>
            <w:webHidden/>
          </w:rPr>
          <w:fldChar w:fldCharType="begin"/>
        </w:r>
        <w:r w:rsidR="00D14D9E">
          <w:rPr>
            <w:noProof/>
            <w:webHidden/>
          </w:rPr>
          <w:instrText xml:space="preserve"> PAGEREF _Toc467228668 \h </w:instrText>
        </w:r>
        <w:r w:rsidR="00D14D9E">
          <w:rPr>
            <w:noProof/>
            <w:webHidden/>
          </w:rPr>
        </w:r>
        <w:r w:rsidR="00D14D9E">
          <w:rPr>
            <w:noProof/>
            <w:webHidden/>
          </w:rPr>
          <w:fldChar w:fldCharType="separate"/>
        </w:r>
        <w:r w:rsidR="00D14D9E">
          <w:rPr>
            <w:noProof/>
            <w:webHidden/>
          </w:rPr>
          <w:t>20</w:t>
        </w:r>
        <w:r w:rsidR="00D14D9E">
          <w:rPr>
            <w:noProof/>
            <w:webHidden/>
          </w:rPr>
          <w:fldChar w:fldCharType="end"/>
        </w:r>
      </w:hyperlink>
    </w:p>
    <w:p w:rsidR="00D14D9E" w:rsidRDefault="00A64042">
      <w:pPr>
        <w:pStyle w:val="TDC2"/>
        <w:rPr>
          <w:noProof/>
        </w:rPr>
      </w:pPr>
      <w:hyperlink w:anchor="_Toc467228669" w:history="1">
        <w:r w:rsidR="00D14D9E" w:rsidRPr="00A53340">
          <w:rPr>
            <w:rStyle w:val="Hipervnculo"/>
            <w:b/>
            <w:bCs/>
            <w:noProof/>
          </w:rPr>
          <w:t>IV.</w:t>
        </w:r>
        <w:r w:rsidR="00D14D9E" w:rsidRPr="00A53340">
          <w:rPr>
            <w:noProof/>
          </w:rPr>
          <w:tab/>
        </w:r>
        <w:r w:rsidR="00D14D9E" w:rsidRPr="00A53340">
          <w:rPr>
            <w:rStyle w:val="Hipervnculo"/>
            <w:b/>
            <w:bCs/>
            <w:noProof/>
          </w:rPr>
          <w:t>CONCLUSIONES</w:t>
        </w:r>
        <w:r w:rsidR="00D14D9E" w:rsidRPr="00542E1B">
          <w:rPr>
            <w:rStyle w:val="Hipervnculo"/>
            <w:rFonts w:ascii="Cambria" w:hAnsi="Cambria"/>
            <w:b/>
            <w:bCs/>
            <w:noProof/>
          </w:rPr>
          <w:t xml:space="preserve"> </w:t>
        </w:r>
        <w:r w:rsidR="00D14D9E">
          <w:rPr>
            <w:noProof/>
            <w:webHidden/>
          </w:rPr>
          <w:tab/>
        </w:r>
        <w:r w:rsidR="00D14D9E">
          <w:rPr>
            <w:noProof/>
            <w:webHidden/>
          </w:rPr>
          <w:fldChar w:fldCharType="begin"/>
        </w:r>
        <w:r w:rsidR="00D14D9E">
          <w:rPr>
            <w:noProof/>
            <w:webHidden/>
          </w:rPr>
          <w:instrText xml:space="preserve"> PAGEREF _Toc467228669 \h </w:instrText>
        </w:r>
        <w:r w:rsidR="00D14D9E">
          <w:rPr>
            <w:noProof/>
            <w:webHidden/>
          </w:rPr>
        </w:r>
        <w:r w:rsidR="00D14D9E">
          <w:rPr>
            <w:noProof/>
            <w:webHidden/>
          </w:rPr>
          <w:fldChar w:fldCharType="separate"/>
        </w:r>
        <w:r w:rsidR="00D14D9E">
          <w:rPr>
            <w:noProof/>
            <w:webHidden/>
          </w:rPr>
          <w:t>21</w:t>
        </w:r>
        <w:r w:rsidR="00D14D9E">
          <w:rPr>
            <w:noProof/>
            <w:webHidden/>
          </w:rPr>
          <w:fldChar w:fldCharType="end"/>
        </w:r>
      </w:hyperlink>
    </w:p>
    <w:p w:rsidR="00431E1B" w:rsidRDefault="00E61FA9">
      <w:r w:rsidRPr="008D067D">
        <w:rPr>
          <w:rFonts w:eastAsia="Times New Roman"/>
          <w:lang w:eastAsia="es-SV"/>
        </w:rPr>
        <w:fldChar w:fldCharType="end"/>
      </w:r>
    </w:p>
    <w:p w:rsidR="00BE4A02" w:rsidRPr="007210B7" w:rsidRDefault="00BE4A02" w:rsidP="00381D10">
      <w:pPr>
        <w:pStyle w:val="Ttulo2"/>
        <w:numPr>
          <w:ilvl w:val="0"/>
          <w:numId w:val="10"/>
        </w:numPr>
        <w:rPr>
          <w:b/>
        </w:rPr>
      </w:pPr>
      <w:bookmarkStart w:id="13" w:name="_Toc424558688"/>
      <w:bookmarkStart w:id="14" w:name="_Toc467228647"/>
      <w:r w:rsidRPr="007210B7">
        <w:rPr>
          <w:b/>
        </w:rPr>
        <w:t>INTRODUCCIÓN</w:t>
      </w:r>
      <w:bookmarkEnd w:id="13"/>
      <w:r w:rsidR="00DD5581">
        <w:rPr>
          <w:b/>
        </w:rPr>
        <w:t xml:space="preserve"> </w:t>
      </w:r>
      <w:bookmarkEnd w:id="14"/>
    </w:p>
    <w:p w:rsidR="00E11CA6" w:rsidRPr="00B14DFF" w:rsidRDefault="00D121F6" w:rsidP="007210B7">
      <w:pPr>
        <w:spacing w:before="200" w:line="276" w:lineRule="auto"/>
        <w:jc w:val="both"/>
        <w:rPr>
          <w:rFonts w:ascii="Century Gothic" w:hAnsi="Century Gothic"/>
        </w:rPr>
      </w:pPr>
      <w:r w:rsidRPr="00B14DFF">
        <w:rPr>
          <w:rFonts w:ascii="Century Gothic" w:hAnsi="Century Gothic"/>
        </w:rPr>
        <w:t xml:space="preserve">Siempre bajo la conducción del Prof. Rafael Antonio Coto López, como Director Presidente del ISBM, quien fue nombrado para un nuevo plazo de cinco años </w:t>
      </w:r>
      <w:r w:rsidR="0099391C" w:rsidRPr="00B14DFF">
        <w:rPr>
          <w:rFonts w:ascii="Century Gothic" w:hAnsi="Century Gothic"/>
        </w:rPr>
        <w:t>(</w:t>
      </w:r>
      <w:r w:rsidRPr="00B14DFF">
        <w:rPr>
          <w:rFonts w:ascii="Century Gothic" w:hAnsi="Century Gothic"/>
        </w:rPr>
        <w:t>2014-2019</w:t>
      </w:r>
      <w:r w:rsidR="0099391C" w:rsidRPr="00B14DFF">
        <w:rPr>
          <w:rFonts w:ascii="Century Gothic" w:hAnsi="Century Gothic"/>
        </w:rPr>
        <w:t>)</w:t>
      </w:r>
      <w:r w:rsidRPr="00B14DFF">
        <w:rPr>
          <w:rFonts w:ascii="Century Gothic" w:hAnsi="Century Gothic"/>
        </w:rPr>
        <w:t>, por el señor Presidente de la República, Profesor Salvador  Sánchez Cerén, e</w:t>
      </w:r>
      <w:r w:rsidR="00BE7D9B" w:rsidRPr="00B14DFF">
        <w:rPr>
          <w:rFonts w:ascii="Century Gothic" w:hAnsi="Century Gothic"/>
        </w:rPr>
        <w:t xml:space="preserve">l período comprendido de junio de 2015 a agosto de 2016 </w:t>
      </w:r>
      <w:r w:rsidRPr="00B14DFF">
        <w:rPr>
          <w:rFonts w:ascii="Century Gothic" w:hAnsi="Century Gothic"/>
        </w:rPr>
        <w:t>ha sido</w:t>
      </w:r>
      <w:r w:rsidR="00BE7D9B" w:rsidRPr="00B14DFF">
        <w:rPr>
          <w:rFonts w:ascii="Century Gothic" w:hAnsi="Century Gothic"/>
        </w:rPr>
        <w:t xml:space="preserve"> un</w:t>
      </w:r>
      <w:r w:rsidR="00E11CA6" w:rsidRPr="00B14DFF">
        <w:rPr>
          <w:rFonts w:ascii="Century Gothic" w:hAnsi="Century Gothic"/>
        </w:rPr>
        <w:t>a etapa muy especial para el ISBM</w:t>
      </w:r>
      <w:r w:rsidR="0099391C" w:rsidRPr="00B14DFF">
        <w:rPr>
          <w:rFonts w:ascii="Century Gothic" w:hAnsi="Century Gothic"/>
        </w:rPr>
        <w:t>;</w:t>
      </w:r>
      <w:r w:rsidR="00E11CA6" w:rsidRPr="00B14DFF">
        <w:rPr>
          <w:rFonts w:ascii="Century Gothic" w:hAnsi="Century Gothic"/>
        </w:rPr>
        <w:t xml:space="preserve"> </w:t>
      </w:r>
      <w:r w:rsidRPr="00B14DFF">
        <w:rPr>
          <w:rFonts w:ascii="Century Gothic" w:hAnsi="Century Gothic"/>
        </w:rPr>
        <w:t>significa</w:t>
      </w:r>
      <w:r w:rsidR="00E11CA6" w:rsidRPr="00B14DFF">
        <w:rPr>
          <w:rFonts w:ascii="Century Gothic" w:hAnsi="Century Gothic"/>
        </w:rPr>
        <w:t xml:space="preserve"> el quinto año del viraje institucional que le permitió </w:t>
      </w:r>
      <w:r w:rsidRPr="00B14DFF">
        <w:rPr>
          <w:rFonts w:ascii="Century Gothic" w:hAnsi="Century Gothic"/>
        </w:rPr>
        <w:t>convertirse en u</w:t>
      </w:r>
      <w:r w:rsidR="00E11CA6" w:rsidRPr="00B14DFF">
        <w:rPr>
          <w:rFonts w:ascii="Century Gothic" w:hAnsi="Century Gothic"/>
        </w:rPr>
        <w:t>na institución autónoma prestadora por sí misma</w:t>
      </w:r>
      <w:r w:rsidR="0099391C" w:rsidRPr="00B14DFF">
        <w:rPr>
          <w:rFonts w:ascii="Century Gothic" w:hAnsi="Century Gothic"/>
        </w:rPr>
        <w:t>,</w:t>
      </w:r>
      <w:r w:rsidR="00E11CA6" w:rsidRPr="00B14DFF">
        <w:rPr>
          <w:rFonts w:ascii="Century Gothic" w:hAnsi="Century Gothic"/>
        </w:rPr>
        <w:t xml:space="preserve"> de servicios de salud del primer nivel de atención y con proyecciones</w:t>
      </w:r>
      <w:r w:rsidR="0099391C" w:rsidRPr="00B14DFF">
        <w:rPr>
          <w:rFonts w:ascii="Century Gothic" w:hAnsi="Century Gothic"/>
        </w:rPr>
        <w:t xml:space="preserve"> de</w:t>
      </w:r>
      <w:r w:rsidR="00E11CA6" w:rsidRPr="00B14DFF">
        <w:rPr>
          <w:rFonts w:ascii="Century Gothic" w:hAnsi="Century Gothic"/>
        </w:rPr>
        <w:t xml:space="preserve"> </w:t>
      </w:r>
      <w:r w:rsidR="00D959B3" w:rsidRPr="00B14DFF">
        <w:rPr>
          <w:rFonts w:ascii="Century Gothic" w:hAnsi="Century Gothic"/>
        </w:rPr>
        <w:t xml:space="preserve">mejora gradual </w:t>
      </w:r>
      <w:r w:rsidR="00E11CA6" w:rsidRPr="00B14DFF">
        <w:rPr>
          <w:rFonts w:ascii="Century Gothic" w:hAnsi="Century Gothic"/>
        </w:rPr>
        <w:t xml:space="preserve">de </w:t>
      </w:r>
      <w:r w:rsidR="00D959B3" w:rsidRPr="00B14DFF">
        <w:rPr>
          <w:rFonts w:ascii="Century Gothic" w:hAnsi="Century Gothic"/>
        </w:rPr>
        <w:t>la cobertura de salud integral, i</w:t>
      </w:r>
      <w:r w:rsidR="00E11CA6" w:rsidRPr="00B14DFF">
        <w:rPr>
          <w:rFonts w:ascii="Century Gothic" w:hAnsi="Century Gothic"/>
        </w:rPr>
        <w:t>ncluye</w:t>
      </w:r>
      <w:r w:rsidR="00D959B3" w:rsidRPr="00B14DFF">
        <w:rPr>
          <w:rFonts w:ascii="Century Gothic" w:hAnsi="Century Gothic"/>
        </w:rPr>
        <w:t>ndo</w:t>
      </w:r>
      <w:r w:rsidR="00E11CA6" w:rsidRPr="00B14DFF">
        <w:rPr>
          <w:rFonts w:ascii="Century Gothic" w:hAnsi="Century Gothic"/>
        </w:rPr>
        <w:t xml:space="preserve"> la salud mental</w:t>
      </w:r>
      <w:r w:rsidR="00D959B3" w:rsidRPr="00B14DFF">
        <w:rPr>
          <w:rFonts w:ascii="Century Gothic" w:hAnsi="Century Gothic"/>
        </w:rPr>
        <w:t>, fomento del autocuido y control de emociones implementado a través del proyecto de Educación del Cerebro</w:t>
      </w:r>
      <w:r w:rsidR="00E11CA6" w:rsidRPr="00B14DFF">
        <w:rPr>
          <w:rFonts w:ascii="Century Gothic" w:hAnsi="Century Gothic"/>
        </w:rPr>
        <w:t xml:space="preserve">, </w:t>
      </w:r>
      <w:r w:rsidR="00D959B3" w:rsidRPr="00B14DFF">
        <w:rPr>
          <w:rFonts w:ascii="Century Gothic" w:hAnsi="Century Gothic"/>
        </w:rPr>
        <w:t>elev</w:t>
      </w:r>
      <w:r w:rsidRPr="00B14DFF">
        <w:rPr>
          <w:rFonts w:ascii="Century Gothic" w:hAnsi="Century Gothic"/>
        </w:rPr>
        <w:t>ándose</w:t>
      </w:r>
      <w:r w:rsidR="00E11CA6" w:rsidRPr="00B14DFF">
        <w:rPr>
          <w:rFonts w:ascii="Century Gothic" w:hAnsi="Century Gothic"/>
        </w:rPr>
        <w:t xml:space="preserve"> los estándares de seguridad social para </w:t>
      </w:r>
      <w:r w:rsidR="00D959B3" w:rsidRPr="00B14DFF">
        <w:rPr>
          <w:rFonts w:ascii="Century Gothic" w:hAnsi="Century Gothic"/>
        </w:rPr>
        <w:t>la</w:t>
      </w:r>
      <w:r w:rsidR="00E11CA6" w:rsidRPr="00B14DFF">
        <w:rPr>
          <w:rFonts w:ascii="Century Gothic" w:hAnsi="Century Gothic"/>
        </w:rPr>
        <w:t xml:space="preserve"> población usuaria</w:t>
      </w:r>
      <w:r w:rsidR="007308E2" w:rsidRPr="00B14DFF">
        <w:rPr>
          <w:rFonts w:ascii="Century Gothic" w:hAnsi="Century Gothic"/>
        </w:rPr>
        <w:t xml:space="preserve"> según nuestro lema “Crecemos junto al Magisterio”</w:t>
      </w:r>
      <w:r w:rsidR="00E11CA6" w:rsidRPr="00B14DFF">
        <w:rPr>
          <w:rFonts w:ascii="Century Gothic" w:hAnsi="Century Gothic"/>
        </w:rPr>
        <w:t xml:space="preserve">. </w:t>
      </w:r>
    </w:p>
    <w:p w:rsidR="00E11CA6" w:rsidRPr="00B14DFF" w:rsidRDefault="00E11CA6" w:rsidP="001C7550">
      <w:pPr>
        <w:spacing w:before="200" w:line="276" w:lineRule="auto"/>
        <w:jc w:val="both"/>
        <w:rPr>
          <w:rFonts w:ascii="Century Gothic" w:hAnsi="Century Gothic"/>
        </w:rPr>
      </w:pPr>
      <w:r w:rsidRPr="00B14DFF">
        <w:rPr>
          <w:rFonts w:ascii="Century Gothic" w:hAnsi="Century Gothic"/>
        </w:rPr>
        <w:t>Esto da motivos para considerarnos una empresa pública exitosa, que cumple con los grandes objetivos del Plan Quinq</w:t>
      </w:r>
      <w:r w:rsidR="001C7550" w:rsidRPr="00B14DFF">
        <w:rPr>
          <w:rFonts w:ascii="Century Gothic" w:hAnsi="Century Gothic"/>
        </w:rPr>
        <w:t>uenal de Desarrollo</w:t>
      </w:r>
      <w:r w:rsidR="00F300ED" w:rsidRPr="00B14DFF">
        <w:rPr>
          <w:rFonts w:ascii="Century Gothic" w:hAnsi="Century Gothic"/>
        </w:rPr>
        <w:t xml:space="preserve"> (PQD),</w:t>
      </w:r>
      <w:r w:rsidR="001C7550" w:rsidRPr="00B14DFF">
        <w:rPr>
          <w:rFonts w:ascii="Century Gothic" w:hAnsi="Century Gothic"/>
        </w:rPr>
        <w:t xml:space="preserve"> como lo es el </w:t>
      </w:r>
      <w:r w:rsidRPr="00B14DFF">
        <w:rPr>
          <w:rFonts w:ascii="Century Gothic" w:hAnsi="Century Gothic"/>
        </w:rPr>
        <w:t xml:space="preserve">Objetivo 4: </w:t>
      </w:r>
      <w:r w:rsidRPr="00B14DFF">
        <w:rPr>
          <w:rFonts w:ascii="Century Gothic" w:hAnsi="Century Gothic"/>
          <w:i/>
        </w:rPr>
        <w:t>Asegurar gradualmente a la población salvadoreña, el acceso y cobertura universal a servicios de salud de calidad</w:t>
      </w:r>
      <w:r w:rsidRPr="00B14DFF">
        <w:rPr>
          <w:rFonts w:ascii="Century Gothic" w:hAnsi="Century Gothic"/>
        </w:rPr>
        <w:t>, en las líneas</w:t>
      </w:r>
      <w:r w:rsidR="0099391C" w:rsidRPr="00B14DFF">
        <w:rPr>
          <w:rFonts w:ascii="Century Gothic" w:hAnsi="Century Gothic"/>
        </w:rPr>
        <w:t xml:space="preserve"> 1, 2 y 3,</w:t>
      </w:r>
      <w:r w:rsidR="001C7550" w:rsidRPr="00B14DFF">
        <w:rPr>
          <w:rFonts w:ascii="Century Gothic" w:hAnsi="Century Gothic"/>
        </w:rPr>
        <w:t xml:space="preserve"> el cual compete directamente al Sistema Nacional de Salud del cual forma parte este Instituto, de manera real y efectiva.</w:t>
      </w:r>
      <w:r w:rsidRPr="00B14DFF">
        <w:rPr>
          <w:rFonts w:ascii="Century Gothic" w:hAnsi="Century Gothic"/>
        </w:rPr>
        <w:t xml:space="preserve"> </w:t>
      </w:r>
      <w:r w:rsidR="00F300ED" w:rsidRPr="00B14DFF">
        <w:rPr>
          <w:rFonts w:ascii="Century Gothic" w:hAnsi="Century Gothic"/>
        </w:rPr>
        <w:t>Contribuimos, además, a que se alcancen los Objetivos 2 y 3 del PQD relativos, respectivamente, al aseguramiento de los centros educativos como lugares libres de todas las formas de violencia y al incremento de los niveles de seguridad ciudadana.</w:t>
      </w:r>
    </w:p>
    <w:p w:rsidR="00290ED7" w:rsidRDefault="00D121F6" w:rsidP="007210B7">
      <w:pPr>
        <w:spacing w:before="200" w:line="276" w:lineRule="auto"/>
        <w:jc w:val="both"/>
        <w:rPr>
          <w:rFonts w:ascii="Century Gothic" w:hAnsi="Century Gothic"/>
        </w:rPr>
      </w:pPr>
      <w:r w:rsidRPr="00B14DFF">
        <w:rPr>
          <w:rFonts w:ascii="Century Gothic" w:hAnsi="Century Gothic"/>
        </w:rPr>
        <w:t xml:space="preserve">Todo lo anterior significó una inversión financiera superior a los sesenta millones de dólares, </w:t>
      </w:r>
      <w:r w:rsidR="001E4319" w:rsidRPr="00B14DFF">
        <w:rPr>
          <w:rFonts w:ascii="Century Gothic" w:hAnsi="Century Gothic"/>
        </w:rPr>
        <w:t>destacándose el hecho de que</w:t>
      </w:r>
      <w:r w:rsidRPr="00B14DFF">
        <w:rPr>
          <w:rFonts w:ascii="Century Gothic" w:hAnsi="Century Gothic"/>
        </w:rPr>
        <w:t xml:space="preserve"> en 2015 se evidenció el reto inequívoco para la institución</w:t>
      </w:r>
      <w:r w:rsidR="0099391C" w:rsidRPr="00B14DFF">
        <w:rPr>
          <w:rFonts w:ascii="Century Gothic" w:hAnsi="Century Gothic"/>
        </w:rPr>
        <w:t>,</w:t>
      </w:r>
      <w:r w:rsidRPr="00B14DFF">
        <w:rPr>
          <w:rFonts w:ascii="Century Gothic" w:hAnsi="Century Gothic"/>
        </w:rPr>
        <w:t xml:space="preserve"> </w:t>
      </w:r>
      <w:r w:rsidR="001E4319" w:rsidRPr="00B14DFF">
        <w:rPr>
          <w:rFonts w:ascii="Century Gothic" w:hAnsi="Century Gothic"/>
        </w:rPr>
        <w:t xml:space="preserve">de </w:t>
      </w:r>
      <w:r w:rsidR="00290ED7" w:rsidRPr="00B14DFF">
        <w:rPr>
          <w:rFonts w:ascii="Century Gothic" w:hAnsi="Century Gothic"/>
        </w:rPr>
        <w:t>continuar la</w:t>
      </w:r>
      <w:r w:rsidRPr="00B14DFF">
        <w:rPr>
          <w:rFonts w:ascii="Century Gothic" w:hAnsi="Century Gothic"/>
        </w:rPr>
        <w:t xml:space="preserve"> revisión de la</w:t>
      </w:r>
      <w:r w:rsidR="001E4319" w:rsidRPr="00B14DFF">
        <w:rPr>
          <w:rFonts w:ascii="Century Gothic" w:hAnsi="Century Gothic"/>
        </w:rPr>
        <w:t xml:space="preserve">s formas actuales de aportaciones para hacer frente a los costos que representa la atención </w:t>
      </w:r>
      <w:r w:rsidR="0099391C" w:rsidRPr="00B14DFF">
        <w:rPr>
          <w:rFonts w:ascii="Century Gothic" w:hAnsi="Century Gothic"/>
        </w:rPr>
        <w:t xml:space="preserve">de salud </w:t>
      </w:r>
      <w:r w:rsidR="001E4319" w:rsidRPr="00B14DFF">
        <w:rPr>
          <w:rFonts w:ascii="Century Gothic" w:hAnsi="Century Gothic"/>
        </w:rPr>
        <w:t>del grupo familiar del docente</w:t>
      </w:r>
      <w:r w:rsidRPr="00B14DFF">
        <w:rPr>
          <w:rFonts w:ascii="Century Gothic" w:hAnsi="Century Gothic"/>
        </w:rPr>
        <w:t xml:space="preserve"> </w:t>
      </w:r>
      <w:r w:rsidR="001E4319" w:rsidRPr="00B14DFF">
        <w:rPr>
          <w:rFonts w:ascii="Century Gothic" w:hAnsi="Century Gothic"/>
        </w:rPr>
        <w:t>y r</w:t>
      </w:r>
      <w:r w:rsidRPr="00B14DFF">
        <w:rPr>
          <w:rFonts w:ascii="Century Gothic" w:hAnsi="Century Gothic"/>
        </w:rPr>
        <w:t>edefinir l</w:t>
      </w:r>
      <w:r w:rsidR="001E4319" w:rsidRPr="00B14DFF">
        <w:rPr>
          <w:rFonts w:ascii="Century Gothic" w:hAnsi="Century Gothic"/>
        </w:rPr>
        <w:t>a</w:t>
      </w:r>
      <w:r w:rsidRPr="00B14DFF">
        <w:rPr>
          <w:rFonts w:ascii="Century Gothic" w:hAnsi="Century Gothic"/>
        </w:rPr>
        <w:t xml:space="preserve">s </w:t>
      </w:r>
      <w:r w:rsidR="001E4319" w:rsidRPr="00B14DFF">
        <w:rPr>
          <w:rFonts w:ascii="Century Gothic" w:hAnsi="Century Gothic"/>
        </w:rPr>
        <w:t xml:space="preserve">mismas, a través de una reforma </w:t>
      </w:r>
      <w:r w:rsidR="0099391C" w:rsidRPr="00B14DFF">
        <w:rPr>
          <w:rFonts w:ascii="Century Gothic" w:hAnsi="Century Gothic"/>
        </w:rPr>
        <w:t>al literal b) del Art. 54</w:t>
      </w:r>
      <w:r w:rsidR="00290ED7">
        <w:rPr>
          <w:rFonts w:ascii="Century Gothic" w:hAnsi="Century Gothic"/>
        </w:rPr>
        <w:t xml:space="preserve"> </w:t>
      </w:r>
      <w:r w:rsidR="00290ED7" w:rsidRPr="00290ED7">
        <w:rPr>
          <w:rFonts w:ascii="Century Gothic" w:hAnsi="Century Gothic"/>
          <w:color w:val="002060"/>
        </w:rPr>
        <w:t>de</w:t>
      </w:r>
      <w:r w:rsidR="00290ED7" w:rsidRPr="00B14DFF">
        <w:rPr>
          <w:rFonts w:ascii="Century Gothic" w:hAnsi="Century Gothic"/>
        </w:rPr>
        <w:t xml:space="preserve"> la</w:t>
      </w:r>
      <w:r w:rsidR="001E4319" w:rsidRPr="00B14DFF">
        <w:rPr>
          <w:rFonts w:ascii="Century Gothic" w:hAnsi="Century Gothic"/>
        </w:rPr>
        <w:t xml:space="preserve"> Ley del ISBM</w:t>
      </w:r>
      <w:r w:rsidR="00290ED7">
        <w:rPr>
          <w:rFonts w:ascii="Century Gothic" w:hAnsi="Century Gothic"/>
        </w:rPr>
        <w:t>.</w:t>
      </w:r>
    </w:p>
    <w:p w:rsidR="00290ED7" w:rsidRDefault="00290ED7" w:rsidP="007210B7">
      <w:pPr>
        <w:spacing w:before="200" w:line="276" w:lineRule="auto"/>
        <w:jc w:val="both"/>
        <w:rPr>
          <w:rFonts w:ascii="Century Gothic" w:hAnsi="Century Gothic"/>
        </w:rPr>
      </w:pPr>
      <w:r>
        <w:rPr>
          <w:rFonts w:ascii="Century Gothic" w:hAnsi="Century Gothic"/>
        </w:rPr>
        <w:t>Otro aspecto</w:t>
      </w:r>
      <w:r w:rsidRPr="00B14DFF">
        <w:rPr>
          <w:rFonts w:ascii="Century Gothic" w:hAnsi="Century Gothic"/>
        </w:rPr>
        <w:t xml:space="preserve"> relevante de esta etapa</w:t>
      </w:r>
      <w:r>
        <w:rPr>
          <w:rFonts w:ascii="Century Gothic" w:hAnsi="Century Gothic"/>
        </w:rPr>
        <w:t>,</w:t>
      </w:r>
      <w:r w:rsidRPr="00B14DFF">
        <w:rPr>
          <w:rFonts w:ascii="Century Gothic" w:hAnsi="Century Gothic"/>
        </w:rPr>
        <w:t xml:space="preserve"> ha sido la continuidad de acciones para el fortalecimiento del patrimonio institucional, ya que se concretó la adquisición de cuatro inmuebles, dos en la zona occidental y dos en la zona central, con la pretensión de mejorar la cobertura de salud y seguridad social para la población usuaria del Instituto</w:t>
      </w:r>
    </w:p>
    <w:p w:rsidR="00BE4A02" w:rsidRPr="00B14DFF" w:rsidRDefault="00D121F6" w:rsidP="007210B7">
      <w:pPr>
        <w:spacing w:before="200" w:line="276" w:lineRule="auto"/>
        <w:jc w:val="both"/>
        <w:rPr>
          <w:rFonts w:ascii="Century Gothic" w:hAnsi="Century Gothic"/>
        </w:rPr>
      </w:pPr>
      <w:r w:rsidRPr="00B14DFF">
        <w:rPr>
          <w:rFonts w:ascii="Century Gothic" w:hAnsi="Century Gothic"/>
        </w:rPr>
        <w:t xml:space="preserve"> </w:t>
      </w:r>
    </w:p>
    <w:p w:rsidR="00740CEA" w:rsidRPr="00B14DFF" w:rsidRDefault="00740CEA" w:rsidP="00BE4A02">
      <w:pPr>
        <w:jc w:val="both"/>
        <w:rPr>
          <w:rFonts w:ascii="Century Gothic" w:hAnsi="Century Gothic"/>
        </w:rPr>
      </w:pPr>
    </w:p>
    <w:p w:rsidR="001E4319" w:rsidRPr="00B14DFF" w:rsidRDefault="001E4319" w:rsidP="00BE4A02">
      <w:pPr>
        <w:jc w:val="both"/>
        <w:rPr>
          <w:rFonts w:ascii="Century Gothic" w:hAnsi="Century Gothic"/>
        </w:rPr>
      </w:pPr>
    </w:p>
    <w:p w:rsidR="00F168B1" w:rsidRPr="00B14DFF" w:rsidRDefault="00F168B1" w:rsidP="00BE4A02">
      <w:pPr>
        <w:jc w:val="both"/>
        <w:rPr>
          <w:rFonts w:ascii="Century Gothic" w:hAnsi="Century Gothic"/>
        </w:rPr>
      </w:pPr>
    </w:p>
    <w:p w:rsidR="00BE4A02" w:rsidRPr="007210B7" w:rsidRDefault="00BE4A02" w:rsidP="00381D10">
      <w:pPr>
        <w:pStyle w:val="Ttulo2"/>
        <w:numPr>
          <w:ilvl w:val="0"/>
          <w:numId w:val="10"/>
        </w:numPr>
        <w:rPr>
          <w:b/>
        </w:rPr>
      </w:pPr>
      <w:bookmarkStart w:id="15" w:name="_Toc424558689"/>
      <w:bookmarkStart w:id="16" w:name="_Toc467228648"/>
      <w:r w:rsidRPr="007210B7">
        <w:rPr>
          <w:b/>
        </w:rPr>
        <w:t>ANTECEDENTES</w:t>
      </w:r>
      <w:bookmarkEnd w:id="15"/>
      <w:r w:rsidRPr="007210B7">
        <w:rPr>
          <w:b/>
        </w:rPr>
        <w:t xml:space="preserve"> </w:t>
      </w:r>
      <w:bookmarkEnd w:id="16"/>
    </w:p>
    <w:p w:rsidR="00BE4A02" w:rsidRPr="00B14DFF" w:rsidRDefault="00BE4A02" w:rsidP="00DA501E">
      <w:pPr>
        <w:spacing w:before="200" w:line="276" w:lineRule="auto"/>
        <w:jc w:val="both"/>
        <w:rPr>
          <w:rFonts w:ascii="Century Gothic" w:hAnsi="Century Gothic"/>
        </w:rPr>
      </w:pPr>
      <w:r w:rsidRPr="00B14DFF">
        <w:rPr>
          <w:rFonts w:ascii="Century Gothic" w:hAnsi="Century Gothic"/>
        </w:rPr>
        <w:t xml:space="preserve">En el período </w:t>
      </w:r>
      <w:r w:rsidR="00D13FA9" w:rsidRPr="00B14DFF">
        <w:rPr>
          <w:rFonts w:ascii="Century Gothic" w:hAnsi="Century Gothic"/>
        </w:rPr>
        <w:t xml:space="preserve">comprendido de </w:t>
      </w:r>
      <w:r w:rsidR="00DA501E" w:rsidRPr="00B14DFF">
        <w:rPr>
          <w:rFonts w:ascii="Century Gothic" w:hAnsi="Century Gothic"/>
        </w:rPr>
        <w:t>junio 201</w:t>
      </w:r>
      <w:r w:rsidR="00BD37B3" w:rsidRPr="00B14DFF">
        <w:rPr>
          <w:rFonts w:ascii="Century Gothic" w:hAnsi="Century Gothic"/>
        </w:rPr>
        <w:t>5</w:t>
      </w:r>
      <w:r w:rsidR="00DA501E" w:rsidRPr="00B14DFF">
        <w:rPr>
          <w:rFonts w:ascii="Century Gothic" w:hAnsi="Century Gothic"/>
        </w:rPr>
        <w:t xml:space="preserve"> a </w:t>
      </w:r>
      <w:r w:rsidR="00BD37B3" w:rsidRPr="00B14DFF">
        <w:rPr>
          <w:rFonts w:ascii="Century Gothic" w:hAnsi="Century Gothic"/>
        </w:rPr>
        <w:t>agosto</w:t>
      </w:r>
      <w:r w:rsidR="00DA501E" w:rsidRPr="00B14DFF">
        <w:rPr>
          <w:rFonts w:ascii="Century Gothic" w:hAnsi="Century Gothic"/>
        </w:rPr>
        <w:t xml:space="preserve"> 201</w:t>
      </w:r>
      <w:r w:rsidR="00BD37B3" w:rsidRPr="00B14DFF">
        <w:rPr>
          <w:rFonts w:ascii="Century Gothic" w:hAnsi="Century Gothic"/>
        </w:rPr>
        <w:t>6</w:t>
      </w:r>
      <w:r w:rsidR="00D13FA9" w:rsidRPr="00B14DFF">
        <w:rPr>
          <w:rFonts w:ascii="Century Gothic" w:hAnsi="Century Gothic"/>
        </w:rPr>
        <w:t xml:space="preserve">, cabe destacar </w:t>
      </w:r>
      <w:r w:rsidRPr="00B14DFF">
        <w:rPr>
          <w:rFonts w:ascii="Century Gothic" w:hAnsi="Century Gothic"/>
        </w:rPr>
        <w:t>los siguientes logros:</w:t>
      </w:r>
      <w:r w:rsidR="00BD37B3" w:rsidRPr="00B14DFF">
        <w:rPr>
          <w:rFonts w:ascii="Century Gothic" w:hAnsi="Century Gothic"/>
        </w:rPr>
        <w:t xml:space="preserve"> </w:t>
      </w:r>
    </w:p>
    <w:p w:rsidR="004E23E9" w:rsidRPr="00B14DFF" w:rsidRDefault="004E23E9" w:rsidP="00DA501E">
      <w:pPr>
        <w:spacing w:before="200" w:line="276" w:lineRule="auto"/>
        <w:jc w:val="both"/>
        <w:rPr>
          <w:rFonts w:ascii="Century Gothic" w:hAnsi="Century Gothic"/>
        </w:rPr>
      </w:pPr>
    </w:p>
    <w:p w:rsidR="004F0347" w:rsidRPr="00B14DFF" w:rsidRDefault="00615244" w:rsidP="004F0347">
      <w:pPr>
        <w:pStyle w:val="Prrafodelista"/>
        <w:numPr>
          <w:ilvl w:val="3"/>
          <w:numId w:val="1"/>
        </w:numPr>
        <w:ind w:left="709"/>
        <w:jc w:val="both"/>
        <w:rPr>
          <w:rFonts w:ascii="Century Gothic" w:hAnsi="Century Gothic"/>
        </w:rPr>
      </w:pPr>
      <w:r w:rsidRPr="00B14DFF">
        <w:rPr>
          <w:rFonts w:ascii="Century Gothic" w:hAnsi="Century Gothic"/>
        </w:rPr>
        <w:t xml:space="preserve">Se continuó </w:t>
      </w:r>
      <w:r w:rsidR="008D5EEC" w:rsidRPr="00B14DFF">
        <w:rPr>
          <w:rFonts w:ascii="Century Gothic" w:hAnsi="Century Gothic"/>
        </w:rPr>
        <w:t xml:space="preserve">con la </w:t>
      </w:r>
      <w:r w:rsidRPr="00B14DFF">
        <w:rPr>
          <w:rFonts w:ascii="Century Gothic" w:hAnsi="Century Gothic"/>
        </w:rPr>
        <w:t>consolida</w:t>
      </w:r>
      <w:r w:rsidR="008D5EEC" w:rsidRPr="00B14DFF">
        <w:rPr>
          <w:rFonts w:ascii="Century Gothic" w:hAnsi="Century Gothic"/>
        </w:rPr>
        <w:t>ción</w:t>
      </w:r>
      <w:r w:rsidRPr="00B14DFF">
        <w:rPr>
          <w:rFonts w:ascii="Century Gothic" w:hAnsi="Century Gothic"/>
        </w:rPr>
        <w:t xml:space="preserve"> el v</w:t>
      </w:r>
      <w:r w:rsidR="004F0347" w:rsidRPr="00B14DFF">
        <w:rPr>
          <w:rFonts w:ascii="Century Gothic" w:hAnsi="Century Gothic"/>
        </w:rPr>
        <w:t xml:space="preserve">iraje institucional </w:t>
      </w:r>
      <w:r w:rsidRPr="00B14DFF">
        <w:rPr>
          <w:rFonts w:ascii="Century Gothic" w:hAnsi="Century Gothic"/>
        </w:rPr>
        <w:t xml:space="preserve">de haberse convertido </w:t>
      </w:r>
      <w:r w:rsidR="004F0347" w:rsidRPr="00B14DFF">
        <w:rPr>
          <w:rFonts w:ascii="Century Gothic" w:hAnsi="Century Gothic"/>
        </w:rPr>
        <w:t xml:space="preserve">el ISBM en prestador directo de </w:t>
      </w:r>
      <w:r w:rsidRPr="00B14DFF">
        <w:rPr>
          <w:rFonts w:ascii="Century Gothic" w:hAnsi="Century Gothic"/>
        </w:rPr>
        <w:t xml:space="preserve">los </w:t>
      </w:r>
      <w:r w:rsidR="004F0347" w:rsidRPr="00B14DFF">
        <w:rPr>
          <w:rFonts w:ascii="Century Gothic" w:hAnsi="Century Gothic"/>
        </w:rPr>
        <w:t xml:space="preserve">servicios de salud en el primer nivel de atención, </w:t>
      </w:r>
      <w:r w:rsidRPr="00B14DFF">
        <w:rPr>
          <w:rFonts w:ascii="Century Gothic" w:hAnsi="Century Gothic"/>
        </w:rPr>
        <w:t>a través de 56 centros de salud, entre</w:t>
      </w:r>
      <w:r w:rsidR="004F0347" w:rsidRPr="00B14DFF">
        <w:rPr>
          <w:rFonts w:ascii="Century Gothic" w:hAnsi="Century Gothic"/>
        </w:rPr>
        <w:t xml:space="preserve"> Policlínicos y Consultorios Magisteriales,</w:t>
      </w:r>
      <w:r w:rsidRPr="00B14DFF">
        <w:rPr>
          <w:rFonts w:ascii="Century Gothic" w:hAnsi="Century Gothic"/>
        </w:rPr>
        <w:t xml:space="preserve"> a nivel nacional, lográndose </w:t>
      </w:r>
      <w:r w:rsidR="007F41AF" w:rsidRPr="00B14DFF">
        <w:rPr>
          <w:rFonts w:ascii="Century Gothic" w:hAnsi="Century Gothic"/>
        </w:rPr>
        <w:t xml:space="preserve">brindar </w:t>
      </w:r>
      <w:r w:rsidRPr="00B14DFF">
        <w:rPr>
          <w:rFonts w:ascii="Century Gothic" w:hAnsi="Century Gothic"/>
        </w:rPr>
        <w:t xml:space="preserve">en algunos </w:t>
      </w:r>
      <w:r w:rsidR="00290ED7" w:rsidRPr="00B14DFF">
        <w:rPr>
          <w:rFonts w:ascii="Century Gothic" w:hAnsi="Century Gothic"/>
        </w:rPr>
        <w:t>Policlínicos nuestros</w:t>
      </w:r>
      <w:r w:rsidRPr="00B14DFF">
        <w:rPr>
          <w:rFonts w:ascii="Century Gothic" w:hAnsi="Century Gothic"/>
        </w:rPr>
        <w:t xml:space="preserve"> propios servicios de laboratorio clínico y odontología</w:t>
      </w:r>
      <w:r w:rsidR="00E3477F" w:rsidRPr="00B14DFF">
        <w:rPr>
          <w:rFonts w:ascii="Century Gothic" w:hAnsi="Century Gothic"/>
        </w:rPr>
        <w:t>. Además, se clasificó los Policlínicos Magisteriales en tipo “A” y “B</w:t>
      </w:r>
      <w:r w:rsidR="00290ED7" w:rsidRPr="00B14DFF">
        <w:rPr>
          <w:rFonts w:ascii="Century Gothic" w:hAnsi="Century Gothic"/>
        </w:rPr>
        <w:t>”, de</w:t>
      </w:r>
      <w:r w:rsidR="00463CE6" w:rsidRPr="00B14DFF">
        <w:rPr>
          <w:rFonts w:ascii="Century Gothic" w:hAnsi="Century Gothic"/>
        </w:rPr>
        <w:t xml:space="preserve"> acuerdo al Cuadro Básico de Servicios aprobado y al Portafolio de Servicios instalado</w:t>
      </w:r>
      <w:r w:rsidR="003E7D1C" w:rsidRPr="00B14DFF">
        <w:rPr>
          <w:rFonts w:ascii="Century Gothic" w:hAnsi="Century Gothic"/>
        </w:rPr>
        <w:t xml:space="preserve"> a finales del mes de junio de 2016,</w:t>
      </w:r>
      <w:r w:rsidR="00463CE6" w:rsidRPr="00B14DFF">
        <w:rPr>
          <w:rFonts w:ascii="Century Gothic" w:hAnsi="Century Gothic"/>
        </w:rPr>
        <w:t xml:space="preserve"> considerando </w:t>
      </w:r>
      <w:r w:rsidR="003E7D1C" w:rsidRPr="00B14DFF">
        <w:rPr>
          <w:rFonts w:ascii="Century Gothic" w:hAnsi="Century Gothic"/>
        </w:rPr>
        <w:t xml:space="preserve">también </w:t>
      </w:r>
      <w:r w:rsidR="00463CE6" w:rsidRPr="00B14DFF">
        <w:rPr>
          <w:rFonts w:ascii="Century Gothic" w:hAnsi="Century Gothic"/>
        </w:rPr>
        <w:t xml:space="preserve">la cantidad de población adscrita que </w:t>
      </w:r>
      <w:r w:rsidR="003E7D1C" w:rsidRPr="00B14DFF">
        <w:rPr>
          <w:rFonts w:ascii="Century Gothic" w:hAnsi="Century Gothic"/>
        </w:rPr>
        <w:t xml:space="preserve">se </w:t>
      </w:r>
      <w:r w:rsidR="00463CE6" w:rsidRPr="00B14DFF">
        <w:rPr>
          <w:rFonts w:ascii="Century Gothic" w:hAnsi="Century Gothic"/>
        </w:rPr>
        <w:t>atiende, la cantidad de consultorios y otros establecimientos adscritos, bajo los criterios técnicos</w:t>
      </w:r>
      <w:r w:rsidR="003E7D1C" w:rsidRPr="00B14DFF">
        <w:rPr>
          <w:rFonts w:ascii="Century Gothic" w:hAnsi="Century Gothic"/>
        </w:rPr>
        <w:t xml:space="preserve"> que determinó el área de salud</w:t>
      </w:r>
      <w:r w:rsidR="004F0347" w:rsidRPr="00B14DFF">
        <w:rPr>
          <w:rFonts w:ascii="Century Gothic" w:hAnsi="Century Gothic"/>
        </w:rPr>
        <w:t>.</w:t>
      </w:r>
    </w:p>
    <w:p w:rsidR="00927885" w:rsidRPr="00B14DFF" w:rsidRDefault="00927885" w:rsidP="00927885">
      <w:pPr>
        <w:pStyle w:val="Prrafodelista"/>
        <w:ind w:left="709"/>
        <w:jc w:val="both"/>
        <w:rPr>
          <w:rFonts w:ascii="Century Gothic" w:hAnsi="Century Gothic"/>
        </w:rPr>
      </w:pPr>
    </w:p>
    <w:p w:rsidR="004F0347" w:rsidRPr="00B14DFF" w:rsidRDefault="00615244" w:rsidP="004F0347">
      <w:pPr>
        <w:pStyle w:val="Prrafodelista"/>
        <w:numPr>
          <w:ilvl w:val="3"/>
          <w:numId w:val="1"/>
        </w:numPr>
        <w:ind w:left="709"/>
        <w:jc w:val="both"/>
        <w:rPr>
          <w:rFonts w:ascii="Century Gothic" w:hAnsi="Century Gothic"/>
        </w:rPr>
      </w:pPr>
      <w:r w:rsidRPr="00B14DFF">
        <w:rPr>
          <w:rFonts w:ascii="Century Gothic" w:hAnsi="Century Gothic"/>
        </w:rPr>
        <w:t>Se dio continuidad al f</w:t>
      </w:r>
      <w:r w:rsidR="004F0347" w:rsidRPr="00B14DFF">
        <w:rPr>
          <w:rFonts w:ascii="Century Gothic" w:hAnsi="Century Gothic"/>
        </w:rPr>
        <w:t>ortalecimiento del patrimonio institucional</w:t>
      </w:r>
      <w:r w:rsidRPr="00B14DFF">
        <w:rPr>
          <w:rFonts w:ascii="Century Gothic" w:hAnsi="Century Gothic"/>
        </w:rPr>
        <w:t xml:space="preserve">, con la adquisición de </w:t>
      </w:r>
      <w:r w:rsidR="003E7D1C" w:rsidRPr="00B14DFF">
        <w:rPr>
          <w:rFonts w:ascii="Century Gothic" w:hAnsi="Century Gothic"/>
        </w:rPr>
        <w:t xml:space="preserve">cuatro </w:t>
      </w:r>
      <w:r w:rsidR="0016498F" w:rsidRPr="00B14DFF">
        <w:rPr>
          <w:rFonts w:ascii="Century Gothic" w:hAnsi="Century Gothic"/>
        </w:rPr>
        <w:t>inmuebles</w:t>
      </w:r>
      <w:r w:rsidR="00D73C30" w:rsidRPr="00B14DFF">
        <w:rPr>
          <w:rFonts w:ascii="Century Gothic" w:hAnsi="Century Gothic"/>
        </w:rPr>
        <w:t xml:space="preserve"> para funcionamiento de establecimientos del ISBM</w:t>
      </w:r>
      <w:r w:rsidRPr="00B14DFF">
        <w:rPr>
          <w:rFonts w:ascii="Century Gothic" w:hAnsi="Century Gothic"/>
        </w:rPr>
        <w:t>,</w:t>
      </w:r>
      <w:r w:rsidR="00D73C30" w:rsidRPr="00B14DFF">
        <w:rPr>
          <w:rFonts w:ascii="Century Gothic" w:hAnsi="Century Gothic"/>
        </w:rPr>
        <w:t xml:space="preserve"> dos de ellos en Santa Ana, uno en Santa Tecla y el otro en </w:t>
      </w:r>
      <w:r w:rsidR="00EB3479" w:rsidRPr="00B14DFF">
        <w:rPr>
          <w:rFonts w:ascii="Century Gothic" w:hAnsi="Century Gothic"/>
        </w:rPr>
        <w:t>Zacatecoluca, con</w:t>
      </w:r>
      <w:r w:rsidRPr="00B14DFF">
        <w:rPr>
          <w:rFonts w:ascii="Century Gothic" w:hAnsi="Century Gothic"/>
        </w:rPr>
        <w:t xml:space="preserve"> una inversión </w:t>
      </w:r>
      <w:r w:rsidR="00A213DA" w:rsidRPr="00B14DFF">
        <w:rPr>
          <w:rFonts w:ascii="Century Gothic" w:hAnsi="Century Gothic"/>
        </w:rPr>
        <w:t xml:space="preserve">total </w:t>
      </w:r>
      <w:r w:rsidR="00F549BD" w:rsidRPr="00B14DFF">
        <w:rPr>
          <w:rFonts w:ascii="Century Gothic" w:hAnsi="Century Gothic"/>
        </w:rPr>
        <w:t>de $1,425,000.00</w:t>
      </w:r>
      <w:r w:rsidR="004F0347" w:rsidRPr="00B14DFF">
        <w:rPr>
          <w:rFonts w:ascii="Century Gothic" w:hAnsi="Century Gothic"/>
        </w:rPr>
        <w:t>.</w:t>
      </w:r>
    </w:p>
    <w:p w:rsidR="00927885" w:rsidRPr="00B14DFF" w:rsidRDefault="00927885" w:rsidP="00927885">
      <w:pPr>
        <w:pStyle w:val="Prrafodelista"/>
        <w:rPr>
          <w:rFonts w:ascii="Century Gothic" w:hAnsi="Century Gothic"/>
        </w:rPr>
      </w:pPr>
    </w:p>
    <w:p w:rsidR="00927885" w:rsidRPr="00B14DFF" w:rsidRDefault="002300E9" w:rsidP="004F0347">
      <w:pPr>
        <w:pStyle w:val="Prrafodelista"/>
        <w:numPr>
          <w:ilvl w:val="3"/>
          <w:numId w:val="1"/>
        </w:numPr>
        <w:ind w:left="709"/>
        <w:jc w:val="both"/>
        <w:rPr>
          <w:rFonts w:ascii="Century Gothic" w:hAnsi="Century Gothic"/>
        </w:rPr>
      </w:pPr>
      <w:r w:rsidRPr="00B14DFF">
        <w:rPr>
          <w:rFonts w:ascii="Century Gothic" w:hAnsi="Century Gothic"/>
        </w:rPr>
        <w:t>Durante el período comprendido específicamente entre junio 2015 a mayo 2016, s</w:t>
      </w:r>
      <w:r w:rsidR="004F0347" w:rsidRPr="00B14DFF">
        <w:rPr>
          <w:rFonts w:ascii="Century Gothic" w:hAnsi="Century Gothic"/>
        </w:rPr>
        <w:t xml:space="preserve">e </w:t>
      </w:r>
      <w:r w:rsidRPr="00B14DFF">
        <w:rPr>
          <w:rFonts w:ascii="Century Gothic" w:hAnsi="Century Gothic"/>
        </w:rPr>
        <w:t xml:space="preserve">obtuvieron productos financieros derivados de inversiones en el sistema financiero, del orden de $ 3,306,253.64. </w:t>
      </w:r>
      <w:r w:rsidRPr="00B14DFF">
        <w:rPr>
          <w:rFonts w:cs="Calibri"/>
          <w:w w:val="99"/>
          <w:sz w:val="48"/>
          <w:szCs w:val="48"/>
        </w:rPr>
        <w:t xml:space="preserve"> </w:t>
      </w:r>
    </w:p>
    <w:p w:rsidR="00927885" w:rsidRPr="00B14DFF" w:rsidRDefault="00927885" w:rsidP="00927885">
      <w:pPr>
        <w:pStyle w:val="Prrafodelista"/>
        <w:rPr>
          <w:rFonts w:ascii="Century Gothic" w:hAnsi="Century Gothic"/>
        </w:rPr>
      </w:pPr>
    </w:p>
    <w:p w:rsidR="00E3477F" w:rsidRPr="00B14DFF" w:rsidRDefault="00D44C8E" w:rsidP="00D44C8E">
      <w:pPr>
        <w:pStyle w:val="Prrafodelista"/>
        <w:numPr>
          <w:ilvl w:val="3"/>
          <w:numId w:val="1"/>
        </w:numPr>
        <w:ind w:left="709"/>
        <w:jc w:val="both"/>
        <w:rPr>
          <w:rFonts w:ascii="Century Gothic" w:hAnsi="Century Gothic"/>
        </w:rPr>
      </w:pPr>
      <w:r w:rsidRPr="00B14DFF">
        <w:rPr>
          <w:rFonts w:ascii="Century Gothic" w:hAnsi="Century Gothic"/>
        </w:rPr>
        <w:t xml:space="preserve">Se fortaleció el </w:t>
      </w:r>
      <w:r w:rsidR="00E3477F" w:rsidRPr="00B14DFF">
        <w:rPr>
          <w:rFonts w:ascii="Century Gothic" w:hAnsi="Century Gothic"/>
        </w:rPr>
        <w:t>área administrativa institucional, con la actualización del Organigrama General, en dos sentidos: a) para dar cumplimiento a requerimiento de la Corte de Cuentas de la República, en cuanto a la dependencia de la Unidad de Auditoría Interna de forma directa al Consejo Directivo, ya que antes lo era de la Presidencia; y b) en cumplimiento a mandato de Ley, se crearon e incorporaron las Secciones de Género y la de Medio Ambiente, dependiendo la primera del Departamento de Desarrollo Humano, y la segunda del Departamento de Servicios Generales, ambas Secciones en la estructura de la Sub Dirección Administrativa.</w:t>
      </w:r>
    </w:p>
    <w:p w:rsidR="005A464C" w:rsidRPr="00B14DFF" w:rsidRDefault="005A464C" w:rsidP="004E23E9">
      <w:pPr>
        <w:pStyle w:val="Prrafodelista"/>
        <w:ind w:left="709"/>
        <w:jc w:val="both"/>
        <w:rPr>
          <w:rFonts w:ascii="Century Gothic" w:hAnsi="Century Gothic"/>
        </w:rPr>
      </w:pPr>
    </w:p>
    <w:p w:rsidR="004E23E9" w:rsidRPr="00B14DFF" w:rsidRDefault="00E3477F" w:rsidP="004E23E9">
      <w:pPr>
        <w:pStyle w:val="Prrafodelista"/>
        <w:ind w:left="709"/>
        <w:jc w:val="both"/>
        <w:rPr>
          <w:rFonts w:ascii="Century Gothic" w:hAnsi="Century Gothic"/>
        </w:rPr>
      </w:pPr>
      <w:r w:rsidRPr="00B14DFF">
        <w:rPr>
          <w:rFonts w:ascii="Century Gothic" w:hAnsi="Century Gothic"/>
        </w:rPr>
        <w:t>Además, se fortaleció el control interno administr</w:t>
      </w:r>
      <w:r w:rsidR="00A30BD8" w:rsidRPr="00B14DFF">
        <w:rPr>
          <w:rFonts w:ascii="Century Gothic" w:hAnsi="Century Gothic"/>
        </w:rPr>
        <w:t>ativo institucional a través de</w:t>
      </w:r>
      <w:r w:rsidR="00D44C8E" w:rsidRPr="00B14DFF">
        <w:rPr>
          <w:rFonts w:ascii="Century Gothic" w:hAnsi="Century Gothic"/>
        </w:rPr>
        <w:t>l desarrollo de los siguientes sistemas informáticos que se integran con el Sistema de Ejecución Presupuestaria:</w:t>
      </w:r>
    </w:p>
    <w:p w:rsidR="004E23E9" w:rsidRPr="00B14DFF" w:rsidRDefault="00D44C8E" w:rsidP="004E23E9">
      <w:pPr>
        <w:pStyle w:val="Prrafodelista"/>
        <w:numPr>
          <w:ilvl w:val="0"/>
          <w:numId w:val="42"/>
        </w:numPr>
        <w:jc w:val="both"/>
        <w:rPr>
          <w:rFonts w:ascii="Century Gothic" w:eastAsia="Arial" w:hAnsi="Century Gothic" w:cs="Arial"/>
          <w:lang w:eastAsia="es-SV"/>
        </w:rPr>
      </w:pPr>
      <w:r w:rsidRPr="00B14DFF">
        <w:rPr>
          <w:rFonts w:ascii="Century Gothic" w:hAnsi="Century Gothic" w:cs="Calibri"/>
          <w:lang w:eastAsia="es-SV"/>
        </w:rPr>
        <w:t>Sistema del Expediente del Docente y su grupo familiar.</w:t>
      </w:r>
    </w:p>
    <w:p w:rsidR="004E23E9" w:rsidRPr="00B14DFF" w:rsidRDefault="00D44C8E" w:rsidP="004E23E9">
      <w:pPr>
        <w:pStyle w:val="Prrafodelista"/>
        <w:numPr>
          <w:ilvl w:val="0"/>
          <w:numId w:val="42"/>
        </w:numPr>
        <w:jc w:val="both"/>
        <w:rPr>
          <w:rFonts w:ascii="Century Gothic" w:eastAsia="Arial" w:hAnsi="Century Gothic" w:cs="Arial"/>
          <w:lang w:eastAsia="es-SV"/>
        </w:rPr>
      </w:pPr>
      <w:r w:rsidRPr="00B14DFF">
        <w:rPr>
          <w:rFonts w:ascii="Century Gothic" w:hAnsi="Century Gothic" w:cs="Calibri"/>
          <w:lang w:eastAsia="es-SV"/>
        </w:rPr>
        <w:t>Sistema de Gestión de Procesos de Adquisiciones y Contrataciones.</w:t>
      </w:r>
    </w:p>
    <w:p w:rsidR="004E23E9" w:rsidRPr="00B14DFF" w:rsidRDefault="00D44C8E" w:rsidP="004E23E9">
      <w:pPr>
        <w:pStyle w:val="Prrafodelista"/>
        <w:numPr>
          <w:ilvl w:val="0"/>
          <w:numId w:val="42"/>
        </w:numPr>
        <w:jc w:val="both"/>
        <w:rPr>
          <w:rFonts w:ascii="Century Gothic" w:eastAsia="Arial" w:hAnsi="Century Gothic" w:cs="Arial"/>
          <w:lang w:eastAsia="es-SV"/>
        </w:rPr>
      </w:pPr>
      <w:r w:rsidRPr="00B14DFF">
        <w:rPr>
          <w:rFonts w:ascii="Century Gothic" w:hAnsi="Century Gothic" w:cs="Calibri"/>
          <w:lang w:eastAsia="es-SV"/>
        </w:rPr>
        <w:t>Sistema de Administración y Seguimiento de Pagos Institucionales.</w:t>
      </w:r>
    </w:p>
    <w:p w:rsidR="00D44C8E" w:rsidRPr="00B14DFF" w:rsidRDefault="00D44C8E" w:rsidP="004E23E9">
      <w:pPr>
        <w:pStyle w:val="Prrafodelista"/>
        <w:numPr>
          <w:ilvl w:val="0"/>
          <w:numId w:val="42"/>
        </w:numPr>
        <w:jc w:val="both"/>
        <w:rPr>
          <w:rFonts w:ascii="Century Gothic" w:hAnsi="Century Gothic"/>
        </w:rPr>
      </w:pPr>
      <w:r w:rsidRPr="00B14DFF">
        <w:rPr>
          <w:rFonts w:ascii="Century Gothic" w:hAnsi="Century Gothic"/>
        </w:rPr>
        <w:t>Sistema de Desarrollo Humano.</w:t>
      </w:r>
    </w:p>
    <w:p w:rsidR="004E23E9" w:rsidRPr="00B14DFF" w:rsidRDefault="003A407B" w:rsidP="004E23E9">
      <w:pPr>
        <w:ind w:left="708"/>
        <w:jc w:val="both"/>
        <w:rPr>
          <w:rFonts w:ascii="Century Gothic" w:hAnsi="Century Gothic"/>
        </w:rPr>
      </w:pPr>
      <w:r w:rsidRPr="00B14DFF">
        <w:rPr>
          <w:rFonts w:ascii="Century Gothic" w:hAnsi="Century Gothic"/>
        </w:rPr>
        <w:t>También se</w:t>
      </w:r>
      <w:r w:rsidR="004E23E9" w:rsidRPr="00B14DFF">
        <w:rPr>
          <w:rFonts w:ascii="Century Gothic" w:hAnsi="Century Gothic"/>
        </w:rPr>
        <w:t xml:space="preserve"> efectuó revisión y actualización al proyecto de Normas Técnicas de Control Interno del ISBM, para dar seguimiento al trámite de aprobación.</w:t>
      </w:r>
    </w:p>
    <w:p w:rsidR="004E23E9" w:rsidRPr="00B14DFF" w:rsidRDefault="004E23E9" w:rsidP="00D44C8E">
      <w:pPr>
        <w:spacing w:line="200" w:lineRule="exact"/>
        <w:ind w:left="708"/>
        <w:rPr>
          <w:rFonts w:ascii="Century Gothic" w:hAnsi="Century Gothic"/>
        </w:rPr>
      </w:pPr>
    </w:p>
    <w:p w:rsidR="00D44C8E" w:rsidRPr="00B14DFF" w:rsidRDefault="004F0347" w:rsidP="004F0347">
      <w:pPr>
        <w:pStyle w:val="Prrafodelista"/>
        <w:numPr>
          <w:ilvl w:val="3"/>
          <w:numId w:val="1"/>
        </w:numPr>
        <w:ind w:left="709"/>
        <w:jc w:val="both"/>
        <w:rPr>
          <w:rFonts w:ascii="Century Gothic" w:hAnsi="Century Gothic"/>
        </w:rPr>
      </w:pPr>
      <w:r w:rsidRPr="00B14DFF">
        <w:rPr>
          <w:rFonts w:ascii="Century Gothic" w:hAnsi="Century Gothic"/>
        </w:rPr>
        <w:t xml:space="preserve">El ISBM </w:t>
      </w:r>
      <w:r w:rsidR="00D44C8E" w:rsidRPr="00B14DFF">
        <w:rPr>
          <w:rFonts w:ascii="Century Gothic" w:hAnsi="Century Gothic"/>
        </w:rPr>
        <w:t xml:space="preserve">trabajó </w:t>
      </w:r>
      <w:r w:rsidR="007F41AF" w:rsidRPr="00B14DFF">
        <w:rPr>
          <w:rFonts w:ascii="Century Gothic" w:hAnsi="Century Gothic"/>
        </w:rPr>
        <w:t>de lleno</w:t>
      </w:r>
      <w:r w:rsidR="00D44C8E" w:rsidRPr="00B14DFF">
        <w:rPr>
          <w:rFonts w:ascii="Century Gothic" w:hAnsi="Century Gothic"/>
        </w:rPr>
        <w:t xml:space="preserve"> con el </w:t>
      </w:r>
      <w:r w:rsidRPr="00B14DFF">
        <w:rPr>
          <w:rFonts w:ascii="Century Gothic" w:hAnsi="Century Gothic"/>
        </w:rPr>
        <w:t>Sistema Nacional de Salud</w:t>
      </w:r>
      <w:r w:rsidR="00D44C8E" w:rsidRPr="00B14DFF">
        <w:rPr>
          <w:rFonts w:ascii="Century Gothic" w:hAnsi="Century Gothic"/>
        </w:rPr>
        <w:t>, con participación efectiva en los siguientes espacios:</w:t>
      </w:r>
    </w:p>
    <w:p w:rsidR="007F41AF" w:rsidRPr="00B14DFF" w:rsidRDefault="007F41AF" w:rsidP="007F41AF">
      <w:pPr>
        <w:pStyle w:val="Prrafodelista"/>
        <w:numPr>
          <w:ilvl w:val="0"/>
          <w:numId w:val="41"/>
        </w:numPr>
        <w:tabs>
          <w:tab w:val="left" w:pos="546"/>
        </w:tabs>
        <w:rPr>
          <w:rFonts w:ascii="Century Gothic" w:eastAsia="Arial" w:hAnsi="Century Gothic" w:cs="Arial"/>
          <w:lang w:eastAsia="es-SV"/>
        </w:rPr>
      </w:pPr>
      <w:r w:rsidRPr="00B14DFF">
        <w:rPr>
          <w:rFonts w:ascii="Century Gothic" w:hAnsi="Century Gothic" w:cs="Calibri"/>
          <w:lang w:eastAsia="es-SV"/>
        </w:rPr>
        <w:t>Comisión Intersectorial de Salud (CISALUD) (POLÍTICA Y TÉCNICA).</w:t>
      </w:r>
    </w:p>
    <w:p w:rsidR="007F41AF" w:rsidRPr="00B14DFF" w:rsidRDefault="007F41AF" w:rsidP="007F41AF">
      <w:pPr>
        <w:pStyle w:val="Prrafodelista"/>
        <w:numPr>
          <w:ilvl w:val="0"/>
          <w:numId w:val="41"/>
        </w:numPr>
        <w:tabs>
          <w:tab w:val="left" w:pos="546"/>
        </w:tabs>
        <w:rPr>
          <w:rFonts w:ascii="Century Gothic" w:hAnsi="Century Gothic" w:cs="Calibri"/>
          <w:lang w:eastAsia="es-SV"/>
        </w:rPr>
      </w:pPr>
      <w:r w:rsidRPr="00B14DFF">
        <w:rPr>
          <w:rFonts w:ascii="Century Gothic" w:hAnsi="Century Gothic" w:cs="Calibri"/>
          <w:lang w:eastAsia="es-SV"/>
        </w:rPr>
        <w:t>Participación en Comités: Lepina, Salud Sexual y reproductiva, Alianza Neonatal, Prevención de quemados, Salud Visual, Salud Mental, Salud Bucal, entre otros.</w:t>
      </w:r>
    </w:p>
    <w:p w:rsidR="007F41AF" w:rsidRPr="00B14DFF" w:rsidRDefault="007F41AF" w:rsidP="007F41AF">
      <w:pPr>
        <w:pStyle w:val="Prrafodelista"/>
        <w:numPr>
          <w:ilvl w:val="0"/>
          <w:numId w:val="41"/>
        </w:numPr>
        <w:tabs>
          <w:tab w:val="left" w:pos="546"/>
        </w:tabs>
        <w:rPr>
          <w:rFonts w:ascii="Century Gothic" w:hAnsi="Century Gothic" w:cs="Calibri"/>
          <w:lang w:eastAsia="es-SV"/>
        </w:rPr>
      </w:pPr>
      <w:r w:rsidRPr="00B14DFF">
        <w:rPr>
          <w:rFonts w:ascii="Century Gothic" w:hAnsi="Century Gothic" w:cs="Calibri"/>
          <w:lang w:eastAsia="es-SV"/>
        </w:rPr>
        <w:t>Comité de la Dirección Nacional de Medicamentos.</w:t>
      </w:r>
    </w:p>
    <w:p w:rsidR="007F41AF" w:rsidRPr="00B14DFF" w:rsidRDefault="007F41AF" w:rsidP="007F41AF">
      <w:pPr>
        <w:pStyle w:val="Prrafodelista"/>
        <w:numPr>
          <w:ilvl w:val="0"/>
          <w:numId w:val="41"/>
        </w:numPr>
        <w:tabs>
          <w:tab w:val="left" w:pos="546"/>
        </w:tabs>
        <w:rPr>
          <w:rFonts w:ascii="Century Gothic" w:hAnsi="Century Gothic" w:cs="Calibri"/>
          <w:lang w:eastAsia="es-SV"/>
        </w:rPr>
      </w:pPr>
      <w:r w:rsidRPr="00B14DFF">
        <w:rPr>
          <w:rFonts w:ascii="Century Gothic" w:hAnsi="Century Gothic" w:cs="Calibri"/>
          <w:lang w:eastAsia="es-SV"/>
        </w:rPr>
        <w:t>Miembro de sala situacional en desastres naturales.</w:t>
      </w:r>
    </w:p>
    <w:p w:rsidR="00D44C8E" w:rsidRPr="00B14DFF" w:rsidRDefault="007F41AF" w:rsidP="007F41AF">
      <w:pPr>
        <w:pStyle w:val="Prrafodelista"/>
        <w:numPr>
          <w:ilvl w:val="0"/>
          <w:numId w:val="41"/>
        </w:numPr>
        <w:tabs>
          <w:tab w:val="left" w:pos="546"/>
        </w:tabs>
        <w:rPr>
          <w:rFonts w:ascii="Century Gothic" w:hAnsi="Century Gothic" w:cs="Calibri"/>
          <w:lang w:eastAsia="es-SV"/>
        </w:rPr>
      </w:pPr>
      <w:r w:rsidRPr="00B14DFF">
        <w:rPr>
          <w:rFonts w:ascii="Century Gothic" w:hAnsi="Century Gothic" w:cs="Calibri"/>
          <w:lang w:eastAsia="es-SV"/>
        </w:rPr>
        <w:t>Miembro de la Comisión Técnica para la ejecución de la Política Nacional del Cáncer.</w:t>
      </w:r>
    </w:p>
    <w:p w:rsidR="00D44C8E" w:rsidRPr="00B14DFF" w:rsidRDefault="00D44C8E" w:rsidP="007F41AF">
      <w:pPr>
        <w:pStyle w:val="Prrafodelista"/>
        <w:tabs>
          <w:tab w:val="left" w:pos="546"/>
        </w:tabs>
        <w:ind w:left="1069"/>
        <w:rPr>
          <w:rFonts w:ascii="Century Gothic" w:hAnsi="Century Gothic" w:cs="Calibri"/>
          <w:lang w:eastAsia="es-SV"/>
        </w:rPr>
      </w:pPr>
    </w:p>
    <w:p w:rsidR="009A2647" w:rsidRPr="00B14DFF" w:rsidRDefault="003E7D1C" w:rsidP="004F0347">
      <w:pPr>
        <w:pStyle w:val="Prrafodelista"/>
        <w:numPr>
          <w:ilvl w:val="3"/>
          <w:numId w:val="1"/>
        </w:numPr>
        <w:ind w:left="709"/>
        <w:jc w:val="both"/>
        <w:rPr>
          <w:rFonts w:ascii="Century Gothic" w:hAnsi="Century Gothic"/>
        </w:rPr>
      </w:pPr>
      <w:r w:rsidRPr="00B14DFF">
        <w:rPr>
          <w:rFonts w:ascii="Century Gothic" w:hAnsi="Century Gothic"/>
        </w:rPr>
        <w:t xml:space="preserve">Por </w:t>
      </w:r>
      <w:r w:rsidR="009A2647" w:rsidRPr="00B14DFF">
        <w:rPr>
          <w:rFonts w:ascii="Century Gothic" w:hAnsi="Century Gothic"/>
        </w:rPr>
        <w:t xml:space="preserve">primera vez en la historia del ISBM, incursionamos en la modalidad de compra a través del mercado bursátil para la contratación de insumos médicos, cuyo resultado reflejó un ahorro institucional del orden de los $295,287.04, según reporte </w:t>
      </w:r>
      <w:r w:rsidR="00271CCA" w:rsidRPr="00B14DFF">
        <w:rPr>
          <w:rFonts w:ascii="Century Gothic" w:hAnsi="Century Gothic"/>
        </w:rPr>
        <w:t xml:space="preserve">brindado al Consejo Directivo por </w:t>
      </w:r>
      <w:r w:rsidR="009A2647" w:rsidRPr="00B14DFF">
        <w:rPr>
          <w:rFonts w:ascii="Century Gothic" w:hAnsi="Century Gothic"/>
        </w:rPr>
        <w:t>la Unidad de Adquisiciones y Contrataciones Institucional a finales de junio 2016.</w:t>
      </w:r>
    </w:p>
    <w:p w:rsidR="009A2647" w:rsidRPr="00B14DFF" w:rsidRDefault="009A2647" w:rsidP="009A2647">
      <w:pPr>
        <w:pStyle w:val="Prrafodelista"/>
        <w:ind w:left="709"/>
        <w:jc w:val="both"/>
        <w:rPr>
          <w:rFonts w:ascii="Century Gothic" w:hAnsi="Century Gothic"/>
        </w:rPr>
      </w:pPr>
    </w:p>
    <w:p w:rsidR="004F0347" w:rsidRPr="00B14DFF" w:rsidRDefault="009A2647" w:rsidP="004F0347">
      <w:pPr>
        <w:pStyle w:val="Prrafodelista"/>
        <w:numPr>
          <w:ilvl w:val="3"/>
          <w:numId w:val="1"/>
        </w:numPr>
        <w:ind w:left="709"/>
        <w:jc w:val="both"/>
        <w:rPr>
          <w:rFonts w:ascii="Century Gothic" w:hAnsi="Century Gothic"/>
        </w:rPr>
      </w:pPr>
      <w:r w:rsidRPr="00B14DFF">
        <w:rPr>
          <w:rFonts w:ascii="Century Gothic" w:hAnsi="Century Gothic"/>
        </w:rPr>
        <w:t xml:space="preserve">Por </w:t>
      </w:r>
      <w:r w:rsidR="003E7D1C" w:rsidRPr="00B14DFF">
        <w:rPr>
          <w:rFonts w:ascii="Century Gothic" w:hAnsi="Century Gothic"/>
        </w:rPr>
        <w:t>cuarto año consecutivo, el Tribunal de Ética Gubernamental otorgó un reconocimiento al ISBM, como CONSTRUCTORES DE LA ÉTICA PÚBLICA 2016.</w:t>
      </w:r>
    </w:p>
    <w:p w:rsidR="00AD367A" w:rsidRPr="00B14DFF" w:rsidRDefault="00AD367A" w:rsidP="00AD367A">
      <w:pPr>
        <w:pStyle w:val="Prrafodelista"/>
        <w:rPr>
          <w:rFonts w:ascii="Century Gothic" w:hAnsi="Century Gothic"/>
        </w:rPr>
      </w:pPr>
    </w:p>
    <w:p w:rsidR="003E7D1C" w:rsidRPr="00B14DFF" w:rsidRDefault="00AD367A" w:rsidP="004F0347">
      <w:pPr>
        <w:pStyle w:val="Prrafodelista"/>
        <w:numPr>
          <w:ilvl w:val="3"/>
          <w:numId w:val="1"/>
        </w:numPr>
        <w:ind w:left="709"/>
        <w:jc w:val="both"/>
        <w:rPr>
          <w:rFonts w:ascii="Century Gothic" w:hAnsi="Century Gothic"/>
        </w:rPr>
      </w:pPr>
      <w:r w:rsidRPr="00B14DFF">
        <w:rPr>
          <w:rFonts w:ascii="Century Gothic" w:hAnsi="Century Gothic"/>
        </w:rPr>
        <w:t>Se realizaron mejoras en el Centro Recreativo Magisterial de Metalío, consistente en piscina infantil con juegos interactivos, para mayor disfrute de la niñez que lo visita</w:t>
      </w:r>
      <w:r w:rsidR="00A30BD8" w:rsidRPr="00B14DFF">
        <w:rPr>
          <w:rFonts w:ascii="Century Gothic" w:hAnsi="Century Gothic"/>
        </w:rPr>
        <w:t>; también se sacó a concurso el diseño de una carpeta técnica para reconstrucción integral del ese Centro Recreativo</w:t>
      </w:r>
      <w:r w:rsidR="00927885" w:rsidRPr="00B14DFF">
        <w:rPr>
          <w:rFonts w:ascii="Century Gothic" w:hAnsi="Century Gothic"/>
        </w:rPr>
        <w:t>.</w:t>
      </w:r>
    </w:p>
    <w:p w:rsidR="00927885" w:rsidRPr="00B14DFF" w:rsidRDefault="00927885" w:rsidP="00927885">
      <w:pPr>
        <w:pStyle w:val="Prrafodelista"/>
        <w:rPr>
          <w:rFonts w:ascii="Century Gothic" w:hAnsi="Century Gothic"/>
        </w:rPr>
      </w:pPr>
    </w:p>
    <w:p w:rsidR="00AD367A" w:rsidRPr="00B14DFF" w:rsidRDefault="00B14ADC" w:rsidP="004F0347">
      <w:pPr>
        <w:pStyle w:val="Prrafodelista"/>
        <w:numPr>
          <w:ilvl w:val="3"/>
          <w:numId w:val="1"/>
        </w:numPr>
        <w:ind w:left="709"/>
        <w:jc w:val="both"/>
        <w:rPr>
          <w:rFonts w:ascii="Century Gothic" w:hAnsi="Century Gothic"/>
        </w:rPr>
      </w:pPr>
      <w:r w:rsidRPr="00B14DFF">
        <w:rPr>
          <w:rFonts w:ascii="Century Gothic" w:hAnsi="Century Gothic"/>
        </w:rPr>
        <w:t>El Consejo Directivo logró consens</w:t>
      </w:r>
      <w:r w:rsidR="00A30BD8" w:rsidRPr="00B14DFF">
        <w:rPr>
          <w:rFonts w:ascii="Century Gothic" w:hAnsi="Century Gothic"/>
        </w:rPr>
        <w:t>u</w:t>
      </w:r>
      <w:r w:rsidRPr="00B14DFF">
        <w:rPr>
          <w:rFonts w:ascii="Century Gothic" w:hAnsi="Century Gothic"/>
        </w:rPr>
        <w:t xml:space="preserve">ar que </w:t>
      </w:r>
      <w:r w:rsidR="00C07F9B" w:rsidRPr="00B14DFF">
        <w:rPr>
          <w:rFonts w:ascii="Century Gothic" w:hAnsi="Century Gothic"/>
        </w:rPr>
        <w:t>el actual monto fijo de aportación para la cobertura de salud del grupo familiar del docente, que está regulado en el literal b) del Art. 54 de la Ley del ISBM, se convierta a PORCENTAJE, mediante reforma de Ley; sin embargo, está pendiente de definirse los porcentajes que aportaría el docente y el Estado en el Ramo de Educación o la Cartera de Estado o Institución que le corresponde pagar el sueldo al docente</w:t>
      </w:r>
      <w:r w:rsidR="00AD367A" w:rsidRPr="00B14DFF">
        <w:rPr>
          <w:rFonts w:ascii="Century Gothic" w:hAnsi="Century Gothic"/>
        </w:rPr>
        <w:t>.</w:t>
      </w:r>
    </w:p>
    <w:p w:rsidR="00324636" w:rsidRPr="00601F3C" w:rsidRDefault="00324636" w:rsidP="00601F3C">
      <w:pPr>
        <w:jc w:val="both"/>
        <w:rPr>
          <w:rFonts w:ascii="Century Gothic" w:hAnsi="Century Gothic"/>
        </w:rPr>
      </w:pPr>
    </w:p>
    <w:p w:rsidR="00BE4A02" w:rsidRPr="007210B7" w:rsidRDefault="00BE4A02" w:rsidP="00381D10">
      <w:pPr>
        <w:pStyle w:val="Ttulo2"/>
        <w:numPr>
          <w:ilvl w:val="0"/>
          <w:numId w:val="10"/>
        </w:numPr>
        <w:rPr>
          <w:b/>
        </w:rPr>
      </w:pPr>
      <w:bookmarkStart w:id="17" w:name="_Toc424558690"/>
      <w:bookmarkStart w:id="18" w:name="_Toc467228649"/>
      <w:bookmarkStart w:id="19" w:name="_Toc420396703"/>
      <w:r w:rsidRPr="007210B7">
        <w:rPr>
          <w:b/>
        </w:rPr>
        <w:t xml:space="preserve">EJERCICIO </w:t>
      </w:r>
      <w:r w:rsidR="007E2A32" w:rsidRPr="007210B7">
        <w:rPr>
          <w:b/>
        </w:rPr>
        <w:t xml:space="preserve">JUNIO </w:t>
      </w:r>
      <w:r w:rsidRPr="007210B7">
        <w:rPr>
          <w:b/>
        </w:rPr>
        <w:t>201</w:t>
      </w:r>
      <w:r w:rsidR="00DA501E">
        <w:rPr>
          <w:b/>
        </w:rPr>
        <w:t>5</w:t>
      </w:r>
      <w:r w:rsidR="007E2A32" w:rsidRPr="007210B7">
        <w:rPr>
          <w:b/>
        </w:rPr>
        <w:t xml:space="preserve"> – </w:t>
      </w:r>
      <w:r w:rsidR="00DA501E">
        <w:rPr>
          <w:b/>
        </w:rPr>
        <w:t>AGOSTO</w:t>
      </w:r>
      <w:r w:rsidR="007E2A32" w:rsidRPr="007210B7">
        <w:rPr>
          <w:b/>
        </w:rPr>
        <w:t xml:space="preserve"> 201</w:t>
      </w:r>
      <w:bookmarkEnd w:id="17"/>
      <w:r w:rsidR="00DA501E">
        <w:rPr>
          <w:b/>
        </w:rPr>
        <w:t>6</w:t>
      </w:r>
      <w:bookmarkEnd w:id="18"/>
      <w:r w:rsidR="00DA501E">
        <w:rPr>
          <w:b/>
        </w:rPr>
        <w:t xml:space="preserve"> </w:t>
      </w:r>
    </w:p>
    <w:p w:rsidR="00BE4A02" w:rsidRPr="00740CEA" w:rsidRDefault="00BE4A02" w:rsidP="00BE4A02">
      <w:pPr>
        <w:rPr>
          <w:rFonts w:ascii="Century Gothic" w:hAnsi="Century Gothic"/>
        </w:rPr>
      </w:pPr>
    </w:p>
    <w:p w:rsidR="00BE4A02" w:rsidRPr="00E61FA9" w:rsidRDefault="00BE4A02" w:rsidP="00381D10">
      <w:pPr>
        <w:pStyle w:val="Ttulo3"/>
        <w:numPr>
          <w:ilvl w:val="0"/>
          <w:numId w:val="9"/>
        </w:numPr>
        <w:spacing w:after="240"/>
        <w:ind w:left="357" w:hanging="357"/>
        <w:jc w:val="both"/>
        <w:rPr>
          <w:sz w:val="24"/>
        </w:rPr>
      </w:pPr>
      <w:bookmarkStart w:id="20" w:name="_Toc467228650"/>
      <w:r w:rsidRPr="00E61FA9">
        <w:rPr>
          <w:sz w:val="24"/>
        </w:rPr>
        <w:t>PROGRAMA ESPECIAL DE SERVICIOS DE ASISTENCIA MÉDICA Y HOSPITALARIA</w:t>
      </w:r>
      <w:bookmarkEnd w:id="19"/>
      <w:bookmarkEnd w:id="20"/>
    </w:p>
    <w:p w:rsidR="00BE4A02" w:rsidRPr="00B51CE3" w:rsidRDefault="00E012B6" w:rsidP="00E61FA9">
      <w:pPr>
        <w:pStyle w:val="Ttulo4"/>
        <w:numPr>
          <w:ilvl w:val="3"/>
          <w:numId w:val="18"/>
        </w:numPr>
        <w:spacing w:after="120"/>
        <w:rPr>
          <w:sz w:val="24"/>
        </w:rPr>
      </w:pPr>
      <w:bookmarkStart w:id="21" w:name="_Toc467228651"/>
      <w:r w:rsidRPr="00B51CE3">
        <w:rPr>
          <w:sz w:val="24"/>
        </w:rPr>
        <w:t>POBLACIÓN USUARIA</w:t>
      </w:r>
      <w:r w:rsidR="0082392C">
        <w:rPr>
          <w:sz w:val="24"/>
        </w:rPr>
        <w:t xml:space="preserve"> </w:t>
      </w:r>
      <w:bookmarkEnd w:id="21"/>
    </w:p>
    <w:p w:rsidR="00B93642" w:rsidRDefault="00385529" w:rsidP="00B93642">
      <w:pPr>
        <w:rPr>
          <w:rFonts w:ascii="Century Gothic" w:hAnsi="Century Gothic"/>
        </w:rPr>
      </w:pPr>
      <w:r w:rsidRPr="000F5D60">
        <w:rPr>
          <w:rFonts w:ascii="Century Gothic" w:hAnsi="Century Gothic"/>
        </w:rPr>
        <w:t>La población usuaria del ISBM es fluctuante, a partir de la salida de docentes que se jubilan y otros que fallecen y la salida de los hijos mayores de 21 años o que se insertan a la vida laboral, contraen nupcias o salen del país</w:t>
      </w:r>
      <w:r>
        <w:rPr>
          <w:rFonts w:ascii="Century Gothic" w:hAnsi="Century Gothic"/>
        </w:rPr>
        <w:t>.</w:t>
      </w:r>
    </w:p>
    <w:p w:rsidR="00385529" w:rsidRDefault="00385529" w:rsidP="00B93642">
      <w:pPr>
        <w:rPr>
          <w:rFonts w:ascii="Century Gothic" w:hAnsi="Century Gothic"/>
        </w:rPr>
      </w:pPr>
    </w:p>
    <w:p w:rsidR="00381593" w:rsidRDefault="00381593" w:rsidP="00B93642">
      <w:pPr>
        <w:rPr>
          <w:rFonts w:ascii="Century Gothic" w:hAnsi="Century Gothic"/>
        </w:rPr>
      </w:pPr>
    </w:p>
    <w:p w:rsidR="00385529" w:rsidRPr="00740CEA" w:rsidRDefault="00385529" w:rsidP="00B93642">
      <w:pPr>
        <w:rPr>
          <w:rFonts w:ascii="Century Gothic" w:hAnsi="Century Gothic" w:cs="Calibri"/>
          <w:i/>
          <w:color w:val="000000"/>
          <w:sz w:val="16"/>
        </w:rPr>
      </w:pPr>
    </w:p>
    <w:p w:rsidR="007710EC" w:rsidRDefault="007710EC" w:rsidP="007710EC">
      <w:pPr>
        <w:jc w:val="center"/>
        <w:rPr>
          <w:rFonts w:ascii="Century Gothic" w:hAnsi="Century Gothic" w:cs="Calibri"/>
          <w:b/>
          <w:color w:val="000000"/>
        </w:rPr>
      </w:pPr>
      <w:r>
        <w:rPr>
          <w:rFonts w:ascii="Century Gothic" w:hAnsi="Century Gothic" w:cs="Calibri"/>
          <w:b/>
          <w:color w:val="000000"/>
        </w:rPr>
        <w:t>HISTORIAL DE POBLACION USUARIA AÑO 2009 AL 2016</w:t>
      </w:r>
    </w:p>
    <w:p w:rsidR="007710EC" w:rsidRPr="00740CEA" w:rsidRDefault="007710EC" w:rsidP="007710EC">
      <w:pPr>
        <w:jc w:val="center"/>
        <w:rPr>
          <w:rFonts w:ascii="Century Gothic" w:hAnsi="Century Gothic" w:cs="Myriad Pro"/>
          <w:color w:val="000000"/>
        </w:rPr>
      </w:pPr>
    </w:p>
    <w:p w:rsidR="00B93642" w:rsidRDefault="00755625" w:rsidP="00004DBB">
      <w:pPr>
        <w:jc w:val="center"/>
        <w:rPr>
          <w:rFonts w:ascii="Century Gothic" w:hAnsi="Century Gothic" w:cs="Calibri"/>
          <w:i/>
          <w:color w:val="000000"/>
          <w:sz w:val="16"/>
        </w:rPr>
      </w:pPr>
      <w:r>
        <w:rPr>
          <w:noProof/>
          <w:lang w:eastAsia="es-SV"/>
        </w:rPr>
        <w:drawing>
          <wp:inline distT="0" distB="0" distL="0" distR="0">
            <wp:extent cx="4105275" cy="2209800"/>
            <wp:effectExtent l="19050" t="0" r="9525" b="0"/>
            <wp:docPr id="1"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8" cstate="print"/>
                    <a:srcRect/>
                    <a:stretch>
                      <a:fillRect/>
                    </a:stretch>
                  </pic:blipFill>
                  <pic:spPr bwMode="auto">
                    <a:xfrm>
                      <a:off x="0" y="0"/>
                      <a:ext cx="4105275" cy="2209800"/>
                    </a:xfrm>
                    <a:prstGeom prst="rect">
                      <a:avLst/>
                    </a:prstGeom>
                    <a:noFill/>
                    <a:ln w="9525">
                      <a:noFill/>
                      <a:miter lim="800000"/>
                      <a:headEnd/>
                      <a:tailEnd/>
                    </a:ln>
                  </pic:spPr>
                </pic:pic>
              </a:graphicData>
            </a:graphic>
          </wp:inline>
        </w:drawing>
      </w:r>
    </w:p>
    <w:p w:rsidR="00381593" w:rsidRDefault="00381593" w:rsidP="00004DBB">
      <w:pPr>
        <w:jc w:val="center"/>
        <w:rPr>
          <w:rFonts w:ascii="Century Gothic" w:hAnsi="Century Gothic" w:cs="Calibri"/>
          <w:i/>
          <w:color w:val="000000"/>
          <w:sz w:val="16"/>
        </w:rPr>
      </w:pPr>
    </w:p>
    <w:p w:rsidR="00381593" w:rsidRPr="00740CEA" w:rsidRDefault="00381593" w:rsidP="00004DBB">
      <w:pPr>
        <w:jc w:val="center"/>
        <w:rPr>
          <w:rFonts w:ascii="Century Gothic" w:hAnsi="Century Gothic" w:cs="Calibri"/>
          <w:i/>
          <w:color w:val="000000"/>
          <w:sz w:val="16"/>
        </w:rPr>
      </w:pPr>
    </w:p>
    <w:p w:rsidR="00BE4A02" w:rsidRDefault="00BE4A02" w:rsidP="00BE4A02">
      <w:pPr>
        <w:rPr>
          <w:rFonts w:ascii="Century Gothic" w:hAnsi="Century Gothic" w:cs="Calibri"/>
          <w:i/>
          <w:color w:val="000000"/>
          <w:sz w:val="16"/>
        </w:rPr>
      </w:pPr>
    </w:p>
    <w:tbl>
      <w:tblPr>
        <w:tblW w:w="9060" w:type="dxa"/>
        <w:tblInd w:w="75" w:type="dxa"/>
        <w:tblCellMar>
          <w:left w:w="70" w:type="dxa"/>
          <w:right w:w="70" w:type="dxa"/>
        </w:tblCellMar>
        <w:tblLook w:val="04A0"/>
      </w:tblPr>
      <w:tblGrid>
        <w:gridCol w:w="1020"/>
        <w:gridCol w:w="800"/>
        <w:gridCol w:w="800"/>
        <w:gridCol w:w="800"/>
        <w:gridCol w:w="704"/>
        <w:gridCol w:w="704"/>
        <w:gridCol w:w="852"/>
        <w:gridCol w:w="794"/>
        <w:gridCol w:w="793"/>
        <w:gridCol w:w="793"/>
        <w:gridCol w:w="1000"/>
      </w:tblGrid>
      <w:tr w:rsidR="00004DBB" w:rsidRPr="008D067D" w:rsidTr="00104AD9">
        <w:trPr>
          <w:trHeight w:val="288"/>
        </w:trPr>
        <w:tc>
          <w:tcPr>
            <w:tcW w:w="1020" w:type="dxa"/>
            <w:vMerge w:val="restar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AÑO</w:t>
            </w:r>
          </w:p>
        </w:tc>
        <w:tc>
          <w:tcPr>
            <w:tcW w:w="2400"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DOCENTE</w:t>
            </w:r>
          </w:p>
        </w:tc>
        <w:tc>
          <w:tcPr>
            <w:tcW w:w="2260"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CÓNYUGE</w:t>
            </w:r>
          </w:p>
        </w:tc>
        <w:tc>
          <w:tcPr>
            <w:tcW w:w="2380"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HIJO(A)</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TOTAL AÑO</w:t>
            </w:r>
          </w:p>
        </w:tc>
      </w:tr>
      <w:tr w:rsidR="00004DBB" w:rsidRPr="008D067D" w:rsidTr="00104AD9">
        <w:trPr>
          <w:trHeight w:val="288"/>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004DBB" w:rsidRPr="00AB57C6" w:rsidRDefault="00004DBB" w:rsidP="00104AD9">
            <w:pPr>
              <w:rPr>
                <w:rFonts w:eastAsia="Times New Roman"/>
                <w:b/>
                <w:bCs/>
                <w:color w:val="000000"/>
                <w:sz w:val="18"/>
                <w:szCs w:val="18"/>
                <w:lang w:eastAsia="es-SV"/>
              </w:rPr>
            </w:pPr>
          </w:p>
        </w:tc>
        <w:tc>
          <w:tcPr>
            <w:tcW w:w="800"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M</w:t>
            </w:r>
          </w:p>
        </w:tc>
        <w:tc>
          <w:tcPr>
            <w:tcW w:w="800"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F</w:t>
            </w:r>
          </w:p>
        </w:tc>
        <w:tc>
          <w:tcPr>
            <w:tcW w:w="800" w:type="dxa"/>
            <w:tcBorders>
              <w:top w:val="nil"/>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TOTAL</w:t>
            </w:r>
          </w:p>
        </w:tc>
        <w:tc>
          <w:tcPr>
            <w:tcW w:w="704"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M</w:t>
            </w:r>
          </w:p>
        </w:tc>
        <w:tc>
          <w:tcPr>
            <w:tcW w:w="704"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F</w:t>
            </w:r>
          </w:p>
        </w:tc>
        <w:tc>
          <w:tcPr>
            <w:tcW w:w="852" w:type="dxa"/>
            <w:tcBorders>
              <w:top w:val="nil"/>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TOTAL</w:t>
            </w:r>
          </w:p>
        </w:tc>
        <w:tc>
          <w:tcPr>
            <w:tcW w:w="794"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M</w:t>
            </w:r>
          </w:p>
        </w:tc>
        <w:tc>
          <w:tcPr>
            <w:tcW w:w="793" w:type="dxa"/>
            <w:tcBorders>
              <w:top w:val="nil"/>
              <w:left w:val="nil"/>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F</w:t>
            </w:r>
          </w:p>
        </w:tc>
        <w:tc>
          <w:tcPr>
            <w:tcW w:w="793" w:type="dxa"/>
            <w:tcBorders>
              <w:top w:val="nil"/>
              <w:left w:val="nil"/>
              <w:bottom w:val="single" w:sz="4" w:space="0" w:color="auto"/>
              <w:right w:val="single" w:sz="4" w:space="0" w:color="auto"/>
            </w:tcBorders>
            <w:shd w:val="clear" w:color="000000" w:fill="95B3D7"/>
            <w:noWrap/>
            <w:vAlign w:val="center"/>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TOTAL</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004DBB" w:rsidRPr="00AB57C6" w:rsidRDefault="00004DBB" w:rsidP="00104AD9">
            <w:pPr>
              <w:rPr>
                <w:rFonts w:eastAsia="Times New Roman"/>
                <w:b/>
                <w:bCs/>
                <w:color w:val="000000"/>
                <w:sz w:val="18"/>
                <w:szCs w:val="18"/>
                <w:lang w:eastAsia="es-SV"/>
              </w:rPr>
            </w:pP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2009</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10,501</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23,455</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33,956</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5,764</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4,035</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9,799</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21,102</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20,787</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41,889</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85,644</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2010</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10,850</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24,235</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35,085</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5,929</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4,160</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10,089</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21,029</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20,638</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41,667</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86,841</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2011</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13,006</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29,362</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42,368</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7,509</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5,201</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12,710</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24,547</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24,008</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48,555</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103,633</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2012</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13,200</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29,549</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42,749</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7,634</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5,323</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12,957</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24,204</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23,561</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47,765</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103,471</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2013</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13,187</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29,176</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42,363</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7,462</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5,297</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12,759</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23,499</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22,878</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46,377</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101,499</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2014</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13,273</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29,021</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42,294</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7,451</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5,327</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12,778</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22,871</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22,378</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45,249</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100,321</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2015</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13,257</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28,789</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42,046</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7,483</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5,334</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12,817</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21,885</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21,548</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43,433</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98,296</w:t>
            </w:r>
          </w:p>
        </w:tc>
      </w:tr>
      <w:tr w:rsidR="00004DBB" w:rsidRPr="008D067D" w:rsidTr="00104AD9">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004DBB" w:rsidRPr="00AB57C6" w:rsidRDefault="00004DBB" w:rsidP="00104AD9">
            <w:pPr>
              <w:jc w:val="center"/>
              <w:rPr>
                <w:rFonts w:eastAsia="Times New Roman"/>
                <w:b/>
                <w:bCs/>
                <w:color w:val="000000"/>
                <w:sz w:val="18"/>
                <w:szCs w:val="18"/>
                <w:lang w:eastAsia="es-SV"/>
              </w:rPr>
            </w:pPr>
            <w:r w:rsidRPr="00AB57C6">
              <w:rPr>
                <w:rFonts w:eastAsia="Times New Roman"/>
                <w:b/>
                <w:bCs/>
                <w:color w:val="000000"/>
                <w:sz w:val="18"/>
                <w:szCs w:val="18"/>
                <w:lang w:eastAsia="es-SV"/>
              </w:rPr>
              <w:t>Mayo 2016</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13,289</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28,337</w:t>
            </w:r>
          </w:p>
        </w:tc>
        <w:tc>
          <w:tcPr>
            <w:tcW w:w="8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41,626</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7,372</w:t>
            </w:r>
          </w:p>
        </w:tc>
        <w:tc>
          <w:tcPr>
            <w:tcW w:w="70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5,324</w:t>
            </w:r>
          </w:p>
        </w:tc>
        <w:tc>
          <w:tcPr>
            <w:tcW w:w="852"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12,696</w:t>
            </w:r>
          </w:p>
        </w:tc>
        <w:tc>
          <w:tcPr>
            <w:tcW w:w="794"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21,443</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21,162</w:t>
            </w:r>
          </w:p>
        </w:tc>
        <w:tc>
          <w:tcPr>
            <w:tcW w:w="793"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42,605</w:t>
            </w:r>
          </w:p>
        </w:tc>
        <w:tc>
          <w:tcPr>
            <w:tcW w:w="1000" w:type="dxa"/>
            <w:tcBorders>
              <w:top w:val="nil"/>
              <w:left w:val="nil"/>
              <w:bottom w:val="single" w:sz="4" w:space="0" w:color="auto"/>
              <w:right w:val="single" w:sz="4" w:space="0" w:color="auto"/>
            </w:tcBorders>
            <w:shd w:val="clear" w:color="auto" w:fill="auto"/>
            <w:noWrap/>
            <w:vAlign w:val="bottom"/>
            <w:hideMark/>
          </w:tcPr>
          <w:p w:rsidR="00004DBB" w:rsidRPr="00AB57C6" w:rsidRDefault="00004DBB" w:rsidP="00104AD9">
            <w:pPr>
              <w:jc w:val="right"/>
              <w:rPr>
                <w:rFonts w:eastAsia="Times New Roman"/>
                <w:color w:val="000000"/>
                <w:sz w:val="18"/>
                <w:szCs w:val="18"/>
                <w:lang w:eastAsia="es-SV"/>
              </w:rPr>
            </w:pPr>
            <w:r w:rsidRPr="00AB57C6">
              <w:rPr>
                <w:rFonts w:eastAsia="Times New Roman"/>
                <w:color w:val="000000"/>
                <w:sz w:val="18"/>
                <w:szCs w:val="18"/>
                <w:lang w:eastAsia="es-SV"/>
              </w:rPr>
              <w:t>96,927</w:t>
            </w:r>
          </w:p>
        </w:tc>
      </w:tr>
    </w:tbl>
    <w:p w:rsidR="00004DBB" w:rsidRDefault="00004DBB" w:rsidP="00004DBB">
      <w:pPr>
        <w:rPr>
          <w:rFonts w:ascii="Century Gothic" w:hAnsi="Century Gothic" w:cs="Calibri"/>
          <w:i/>
          <w:color w:val="000000"/>
          <w:sz w:val="16"/>
        </w:rPr>
      </w:pPr>
      <w:r w:rsidRPr="00740CEA">
        <w:rPr>
          <w:rFonts w:ascii="Century Gothic" w:hAnsi="Century Gothic" w:cs="Calibri"/>
          <w:i/>
          <w:color w:val="000000"/>
          <w:sz w:val="16"/>
        </w:rPr>
        <w:t xml:space="preserve">Fuente: </w:t>
      </w:r>
      <w:r>
        <w:rPr>
          <w:rFonts w:ascii="Century Gothic" w:hAnsi="Century Gothic" w:cs="Calibri"/>
          <w:i/>
          <w:color w:val="000000"/>
          <w:sz w:val="16"/>
        </w:rPr>
        <w:t>SIREXPE</w:t>
      </w:r>
    </w:p>
    <w:p w:rsidR="00381593" w:rsidRDefault="00381593" w:rsidP="00004DBB">
      <w:pPr>
        <w:rPr>
          <w:rFonts w:ascii="Century Gothic" w:hAnsi="Century Gothic" w:cs="Calibri"/>
          <w:i/>
          <w:color w:val="000000"/>
          <w:sz w:val="16"/>
        </w:rPr>
      </w:pPr>
    </w:p>
    <w:p w:rsidR="00381593" w:rsidRDefault="00381593" w:rsidP="00004DBB">
      <w:pPr>
        <w:rPr>
          <w:rFonts w:ascii="Century Gothic" w:hAnsi="Century Gothic" w:cs="Calibri"/>
          <w:i/>
          <w:color w:val="000000"/>
          <w:sz w:val="16"/>
        </w:rPr>
      </w:pPr>
    </w:p>
    <w:p w:rsidR="00381593" w:rsidRPr="00740CEA" w:rsidRDefault="00381593" w:rsidP="00004DBB">
      <w:pPr>
        <w:rPr>
          <w:rFonts w:ascii="Century Gothic" w:hAnsi="Century Gothic" w:cs="Calibri"/>
          <w:i/>
          <w:color w:val="000000"/>
          <w:sz w:val="16"/>
        </w:rPr>
      </w:pPr>
    </w:p>
    <w:p w:rsidR="00BE4A02" w:rsidRPr="00B51CE3" w:rsidRDefault="00E012B6" w:rsidP="00E61FA9">
      <w:pPr>
        <w:pStyle w:val="Ttulo4"/>
        <w:numPr>
          <w:ilvl w:val="3"/>
          <w:numId w:val="18"/>
        </w:numPr>
        <w:spacing w:after="120"/>
        <w:rPr>
          <w:sz w:val="24"/>
        </w:rPr>
      </w:pPr>
      <w:bookmarkStart w:id="22" w:name="_Toc467228652"/>
      <w:r w:rsidRPr="00B51CE3">
        <w:rPr>
          <w:sz w:val="24"/>
        </w:rPr>
        <w:t>PORTAFOLIO DE SERVICIOS</w:t>
      </w:r>
      <w:r w:rsidR="003B1CC4">
        <w:rPr>
          <w:sz w:val="24"/>
        </w:rPr>
        <w:t xml:space="preserve">  </w:t>
      </w:r>
      <w:bookmarkEnd w:id="22"/>
    </w:p>
    <w:p w:rsidR="00384423" w:rsidRPr="00740CEA" w:rsidRDefault="006700C3" w:rsidP="00384423">
      <w:pPr>
        <w:spacing w:before="200" w:line="276" w:lineRule="auto"/>
        <w:jc w:val="both"/>
        <w:rPr>
          <w:rFonts w:ascii="Century Gothic" w:hAnsi="Century Gothic"/>
        </w:rPr>
      </w:pPr>
      <w:r w:rsidRPr="006700C3">
        <w:rPr>
          <w:rFonts w:ascii="Century Gothic" w:hAnsi="Century Gothic"/>
        </w:rPr>
        <w:t xml:space="preserve"> </w:t>
      </w:r>
      <w:r w:rsidR="00384423" w:rsidRPr="00740CEA">
        <w:rPr>
          <w:rFonts w:ascii="Century Gothic" w:hAnsi="Century Gothic"/>
        </w:rPr>
        <w:t>La oferta de servicios en Policlínicos y Consultorios Magisteriales incluye: Consulta de medicina general con enfoque en medicina familiar, atención en especialidades básicas de medicina interna, ginecología, cirugía general  y psiquiatría, dispensación de medicamentos en botiquines, atención psicológica, terapia respiratoria, toma de electrocardiogramas,</w:t>
      </w:r>
      <w:r w:rsidR="00384423">
        <w:rPr>
          <w:rFonts w:ascii="Century Gothic" w:hAnsi="Century Gothic"/>
        </w:rPr>
        <w:t xml:space="preserve"> atención odontológica institucional en San Salvador, Santa Ana y San Miguel,</w:t>
      </w:r>
      <w:r w:rsidR="00384423" w:rsidRPr="00740CEA">
        <w:rPr>
          <w:rFonts w:ascii="Century Gothic" w:hAnsi="Century Gothic"/>
        </w:rPr>
        <w:t xml:space="preserve"> además de los servicios de laboratorios clínicos regionales, ubicados en seis Policlínicos Magisteriales estratégicos: San Salvador, Apopa, Santa Ana, Coj</w:t>
      </w:r>
      <w:r w:rsidR="00384423">
        <w:rPr>
          <w:rFonts w:ascii="Century Gothic" w:hAnsi="Century Gothic"/>
        </w:rPr>
        <w:t>utepeque, Usulután y San Miguel; clínicas radiológicas panorámicas en San Salvador y San Miguel.</w:t>
      </w:r>
      <w:r w:rsidR="00384423" w:rsidRPr="00740CEA">
        <w:rPr>
          <w:rFonts w:ascii="Century Gothic" w:hAnsi="Century Gothic"/>
        </w:rPr>
        <w:t xml:space="preserve"> </w:t>
      </w:r>
    </w:p>
    <w:p w:rsidR="006700C3" w:rsidRDefault="00384423" w:rsidP="00384423">
      <w:pPr>
        <w:spacing w:before="200" w:line="276" w:lineRule="auto"/>
        <w:jc w:val="both"/>
        <w:rPr>
          <w:rFonts w:ascii="Century Gothic" w:hAnsi="Century Gothic"/>
        </w:rPr>
      </w:pPr>
      <w:r w:rsidRPr="00740CEA">
        <w:rPr>
          <w:rFonts w:ascii="Century Gothic" w:hAnsi="Century Gothic"/>
        </w:rPr>
        <w:t>Los servicios de atención primaria brindada en Policlínicos y Consultorios Magisteriales, se complementan con dispensación de medicamentos en farmacias privadas y de la red CEFAFA; y con referencias médicas para los siguientes servicios:</w:t>
      </w:r>
    </w:p>
    <w:p w:rsidR="006700C3" w:rsidRPr="006700C3" w:rsidRDefault="006700C3" w:rsidP="006700C3">
      <w:pPr>
        <w:pStyle w:val="Prrafodelista"/>
        <w:numPr>
          <w:ilvl w:val="0"/>
          <w:numId w:val="36"/>
        </w:numPr>
        <w:spacing w:before="200"/>
        <w:jc w:val="both"/>
        <w:rPr>
          <w:rFonts w:ascii="Century Gothic" w:hAnsi="Century Gothic"/>
        </w:rPr>
      </w:pPr>
      <w:r w:rsidRPr="006700C3">
        <w:rPr>
          <w:rFonts w:ascii="Century Gothic" w:hAnsi="Century Gothic"/>
        </w:rPr>
        <w:t>Medicina especializada y odontología.</w:t>
      </w:r>
    </w:p>
    <w:p w:rsidR="006700C3" w:rsidRPr="006700C3" w:rsidRDefault="006700C3" w:rsidP="006700C3">
      <w:pPr>
        <w:pStyle w:val="Prrafodelista"/>
        <w:numPr>
          <w:ilvl w:val="0"/>
          <w:numId w:val="36"/>
        </w:numPr>
        <w:spacing w:before="200"/>
        <w:jc w:val="both"/>
        <w:rPr>
          <w:rFonts w:ascii="Century Gothic" w:hAnsi="Century Gothic"/>
        </w:rPr>
      </w:pPr>
      <w:r w:rsidRPr="006700C3">
        <w:rPr>
          <w:rFonts w:ascii="Century Gothic" w:hAnsi="Century Gothic"/>
        </w:rPr>
        <w:t>Apoyo diagnóstico en laboratorios clínicos, patológicos, radiológicos e imágenes, electro diagnóstico.</w:t>
      </w:r>
    </w:p>
    <w:p w:rsidR="006700C3" w:rsidRPr="006700C3" w:rsidRDefault="006700C3" w:rsidP="006700C3">
      <w:pPr>
        <w:pStyle w:val="Prrafodelista"/>
        <w:numPr>
          <w:ilvl w:val="0"/>
          <w:numId w:val="36"/>
        </w:numPr>
        <w:spacing w:before="200"/>
        <w:jc w:val="both"/>
        <w:rPr>
          <w:rFonts w:ascii="Century Gothic" w:hAnsi="Century Gothic"/>
        </w:rPr>
      </w:pPr>
      <w:r w:rsidRPr="006700C3">
        <w:rPr>
          <w:rFonts w:ascii="Century Gothic" w:hAnsi="Century Gothic"/>
        </w:rPr>
        <w:t xml:space="preserve">Red de servicios médico-hospitalarios públicos y privados que brindan hospitalizaciones, así como atención en consulta externa, procedimientos ambulatorios, cirugías ambulatorias, estudios de </w:t>
      </w:r>
      <w:r w:rsidR="00213253" w:rsidRPr="006700C3">
        <w:rPr>
          <w:rFonts w:ascii="Century Gothic" w:hAnsi="Century Gothic"/>
        </w:rPr>
        <w:t>imágenes, despacho</w:t>
      </w:r>
      <w:r w:rsidRPr="006700C3">
        <w:rPr>
          <w:rFonts w:ascii="Century Gothic" w:hAnsi="Century Gothic"/>
        </w:rPr>
        <w:t xml:space="preserve"> de medicamentos, fisioterapia, rehabilitación, evaluación y tratamiento de enfermedades oncológicas, renales, entre otras enfermedades crónicas.</w:t>
      </w:r>
    </w:p>
    <w:p w:rsidR="00381593" w:rsidRDefault="00381593" w:rsidP="006700C3">
      <w:pPr>
        <w:spacing w:before="200" w:line="276" w:lineRule="auto"/>
        <w:jc w:val="both"/>
        <w:rPr>
          <w:rFonts w:ascii="Century Gothic" w:hAnsi="Century Gothic"/>
        </w:rPr>
      </w:pPr>
    </w:p>
    <w:p w:rsidR="006700C3" w:rsidRPr="006700C3" w:rsidRDefault="006700C3" w:rsidP="006700C3">
      <w:pPr>
        <w:spacing w:before="200" w:line="276" w:lineRule="auto"/>
        <w:jc w:val="both"/>
        <w:rPr>
          <w:rFonts w:ascii="Century Gothic" w:hAnsi="Century Gothic"/>
        </w:rPr>
      </w:pPr>
      <w:r w:rsidRPr="006700C3">
        <w:rPr>
          <w:rFonts w:ascii="Century Gothic" w:hAnsi="Century Gothic"/>
        </w:rPr>
        <w:t>Los hospitales también brindan servicios que no requieren referencia médica, como las atenciones de emergencia y máximas urgencias.</w:t>
      </w:r>
    </w:p>
    <w:p w:rsidR="006700C3" w:rsidRPr="006700C3" w:rsidRDefault="00384423" w:rsidP="006700C3">
      <w:pPr>
        <w:spacing w:before="200" w:line="276" w:lineRule="auto"/>
        <w:jc w:val="both"/>
        <w:rPr>
          <w:rFonts w:ascii="Century Gothic" w:hAnsi="Century Gothic"/>
        </w:rPr>
      </w:pPr>
      <w:r w:rsidRPr="00740CEA">
        <w:rPr>
          <w:rFonts w:ascii="Century Gothic" w:hAnsi="Century Gothic"/>
        </w:rPr>
        <w:t xml:space="preserve">El ISBM como parte integrante del Sistema Nacional de Salud participó activamente en actividades de los programas nacionales, tales como: Salud Mental, Jornadas de Combate al Dengue, Campañas contra el tabaco, Campañas contra el Consumo del Alcohol, Prevención de quemaduras por productos pirotécnicos, Comité Nacional de Salud Visual 20/20, Comité Nacional de Salud Bucal, mesa técnica de elaboración de las normas nacionales para el diagnóstico, prevención y tratamiento del Cáncer. </w:t>
      </w:r>
      <w:r w:rsidR="00213253" w:rsidRPr="00740CEA">
        <w:rPr>
          <w:rFonts w:ascii="Century Gothic" w:hAnsi="Century Gothic"/>
        </w:rPr>
        <w:t>Además,</w:t>
      </w:r>
      <w:r w:rsidRPr="00740CEA">
        <w:rPr>
          <w:rFonts w:ascii="Century Gothic" w:hAnsi="Century Gothic"/>
        </w:rPr>
        <w:t xml:space="preserve"> forma parte del equipo permanente de trabajo de la Comisión Interinstitucional de Salud (CISALUD), en la CISALUD Política a través del Director Presidente y en la CISALUD Técnica a través del Subdirector de Salud</w:t>
      </w:r>
      <w:r w:rsidR="006D5A64" w:rsidRPr="00734583">
        <w:rPr>
          <w:rFonts w:ascii="Century Gothic" w:hAnsi="Century Gothic"/>
          <w:color w:val="002060"/>
        </w:rPr>
        <w:t>.</w:t>
      </w:r>
      <w:r w:rsidR="006700C3" w:rsidRPr="006700C3">
        <w:rPr>
          <w:rFonts w:ascii="Century Gothic" w:hAnsi="Century Gothic"/>
        </w:rPr>
        <w:t xml:space="preserve"> </w:t>
      </w:r>
    </w:p>
    <w:p w:rsidR="00BE4A02" w:rsidRPr="008D067D" w:rsidRDefault="00BE4A02" w:rsidP="00BE4A02">
      <w:pPr>
        <w:pStyle w:val="Default"/>
        <w:jc w:val="both"/>
        <w:rPr>
          <w:rFonts w:ascii="Century Gothic" w:hAnsi="Century Gothic" w:cs="Times New Roman"/>
          <w:b/>
          <w:i/>
          <w:color w:val="355BA9"/>
          <w:lang w:eastAsia="es-SV"/>
        </w:rPr>
      </w:pPr>
    </w:p>
    <w:p w:rsidR="00381593" w:rsidRPr="008D067D" w:rsidRDefault="00381593" w:rsidP="00BE4A02">
      <w:pPr>
        <w:pStyle w:val="Default"/>
        <w:jc w:val="both"/>
        <w:rPr>
          <w:rFonts w:ascii="Century Gothic" w:hAnsi="Century Gothic" w:cs="Times New Roman"/>
          <w:b/>
          <w:i/>
          <w:color w:val="355BA9"/>
          <w:lang w:eastAsia="es-SV"/>
        </w:rPr>
      </w:pPr>
    </w:p>
    <w:p w:rsidR="00BE4A02" w:rsidRDefault="006938FE" w:rsidP="00381D10">
      <w:pPr>
        <w:pStyle w:val="Ttulo5"/>
        <w:numPr>
          <w:ilvl w:val="4"/>
          <w:numId w:val="14"/>
        </w:numPr>
        <w:spacing w:after="120"/>
        <w:ind w:left="851"/>
        <w:rPr>
          <w:b/>
        </w:rPr>
      </w:pPr>
      <w:bookmarkStart w:id="23" w:name="_Toc420396704"/>
      <w:bookmarkStart w:id="24" w:name="_Toc467228653"/>
      <w:r w:rsidRPr="00A00102">
        <w:rPr>
          <w:b/>
        </w:rPr>
        <w:t>Servicios</w:t>
      </w:r>
      <w:r w:rsidRPr="000F5D60">
        <w:rPr>
          <w:b/>
        </w:rPr>
        <w:t xml:space="preserve"> brindados en el p</w:t>
      </w:r>
      <w:r w:rsidR="00BE4A02" w:rsidRPr="000F5D60">
        <w:rPr>
          <w:b/>
        </w:rPr>
        <w:t>rimer nivel de atención</w:t>
      </w:r>
      <w:bookmarkEnd w:id="23"/>
      <w:bookmarkEnd w:id="24"/>
      <w:r w:rsidR="00BE4A02" w:rsidRPr="000F5D60">
        <w:rPr>
          <w:b/>
        </w:rPr>
        <w:t xml:space="preserve"> </w:t>
      </w:r>
    </w:p>
    <w:p w:rsidR="00384423" w:rsidRPr="00384423" w:rsidRDefault="00384423" w:rsidP="00384423"/>
    <w:p w:rsidR="00BE4A02" w:rsidRDefault="00A00102" w:rsidP="000F5D60">
      <w:pPr>
        <w:spacing w:before="200" w:line="276" w:lineRule="auto"/>
        <w:jc w:val="both"/>
        <w:rPr>
          <w:rFonts w:ascii="Century Gothic" w:hAnsi="Century Gothic"/>
        </w:rPr>
      </w:pPr>
      <w:r w:rsidRPr="00740CEA">
        <w:rPr>
          <w:rFonts w:ascii="Century Gothic" w:hAnsi="Century Gothic"/>
        </w:rPr>
        <w:t>Dentro de los servicios brindados están</w:t>
      </w:r>
      <w:r w:rsidRPr="00384423">
        <w:rPr>
          <w:rFonts w:ascii="Century Gothic" w:hAnsi="Century Gothic"/>
        </w:rPr>
        <w:t>: la consulta médica de medicina general, de seguimiento en la atención al paciente con enfermedad crónica, fisioterapia (San Salvador, Santa Ana y Ahuachapán), nebulizaciones, control de la glucosa, atención de niño sano y control del embarazo</w:t>
      </w:r>
      <w:r w:rsidR="00BE4A02" w:rsidRPr="00384423">
        <w:rPr>
          <w:rFonts w:ascii="Century Gothic" w:hAnsi="Century Gothic"/>
        </w:rPr>
        <w:t>.</w:t>
      </w:r>
    </w:p>
    <w:p w:rsidR="00384423" w:rsidRDefault="00384423" w:rsidP="000F5D60">
      <w:pPr>
        <w:spacing w:before="200" w:line="276" w:lineRule="auto"/>
        <w:jc w:val="both"/>
        <w:rPr>
          <w:rFonts w:ascii="Century Gothic" w:hAnsi="Century Gothic"/>
        </w:rPr>
      </w:pPr>
    </w:p>
    <w:p w:rsidR="00A00102" w:rsidRDefault="00755625" w:rsidP="00A00102">
      <w:pPr>
        <w:spacing w:before="200" w:line="276" w:lineRule="auto"/>
        <w:jc w:val="center"/>
        <w:rPr>
          <w:rFonts w:ascii="Century Gothic" w:hAnsi="Century Gothic"/>
        </w:rPr>
      </w:pPr>
      <w:r>
        <w:rPr>
          <w:noProof/>
          <w:lang w:eastAsia="es-SV"/>
        </w:rPr>
        <w:drawing>
          <wp:inline distT="0" distB="0" distL="0" distR="0">
            <wp:extent cx="5114925" cy="3286125"/>
            <wp:effectExtent l="19050" t="0" r="9525" b="0"/>
            <wp:docPr id="2" name="Gráfico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rrowheads="1"/>
                    </pic:cNvPicPr>
                  </pic:nvPicPr>
                  <pic:blipFill>
                    <a:blip r:embed="rId9" cstate="print"/>
                    <a:srcRect/>
                    <a:stretch>
                      <a:fillRect/>
                    </a:stretch>
                  </pic:blipFill>
                  <pic:spPr bwMode="auto">
                    <a:xfrm>
                      <a:off x="0" y="0"/>
                      <a:ext cx="5114925" cy="3286125"/>
                    </a:xfrm>
                    <a:prstGeom prst="rect">
                      <a:avLst/>
                    </a:prstGeom>
                    <a:noFill/>
                    <a:ln w="9525">
                      <a:noFill/>
                      <a:miter lim="800000"/>
                      <a:headEnd/>
                      <a:tailEnd/>
                    </a:ln>
                  </pic:spPr>
                </pic:pic>
              </a:graphicData>
            </a:graphic>
          </wp:inline>
        </w:drawing>
      </w:r>
    </w:p>
    <w:p w:rsidR="00C16675" w:rsidRDefault="00C16675" w:rsidP="00BE4A02">
      <w:pPr>
        <w:jc w:val="both"/>
        <w:rPr>
          <w:rFonts w:ascii="Century Gothic" w:hAnsi="Century Gothic"/>
        </w:rPr>
      </w:pPr>
    </w:p>
    <w:p w:rsidR="00384423" w:rsidRDefault="00384423" w:rsidP="00BE4A02">
      <w:pPr>
        <w:jc w:val="both"/>
        <w:rPr>
          <w:rFonts w:ascii="Century Gothic" w:hAnsi="Century Gothic"/>
        </w:rPr>
      </w:pPr>
    </w:p>
    <w:tbl>
      <w:tblPr>
        <w:tblW w:w="7445" w:type="dxa"/>
        <w:jc w:val="center"/>
        <w:tblCellMar>
          <w:left w:w="70" w:type="dxa"/>
          <w:right w:w="70" w:type="dxa"/>
        </w:tblCellMar>
        <w:tblLook w:val="04A0"/>
      </w:tblPr>
      <w:tblGrid>
        <w:gridCol w:w="3760"/>
        <w:gridCol w:w="2041"/>
        <w:gridCol w:w="1644"/>
      </w:tblGrid>
      <w:tr w:rsidR="004147CC" w:rsidRPr="008D067D" w:rsidTr="00104AD9">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AÑOS</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TOTAL</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 xml:space="preserve">PROMEDIO </w:t>
            </w:r>
          </w:p>
        </w:tc>
      </w:tr>
      <w:tr w:rsidR="004147CC" w:rsidRPr="008D067D" w:rsidTr="00104AD9">
        <w:trPr>
          <w:trHeight w:val="300"/>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147CC" w:rsidRPr="00FE3BB0" w:rsidRDefault="004147CC" w:rsidP="00104AD9">
            <w:pPr>
              <w:rPr>
                <w:rFonts w:eastAsia="Times New Roman"/>
                <w:color w:val="000000"/>
                <w:sz w:val="18"/>
                <w:szCs w:val="18"/>
                <w:lang w:eastAsia="es-SV"/>
              </w:rPr>
            </w:pPr>
            <w:r w:rsidRPr="00FE3BB0">
              <w:rPr>
                <w:rFonts w:eastAsia="Times New Roman"/>
                <w:color w:val="000000"/>
                <w:sz w:val="18"/>
                <w:szCs w:val="18"/>
                <w:lang w:eastAsia="es-SV"/>
              </w:rPr>
              <w:t>JUNIO A DICIEMBRE AÑO 2015</w:t>
            </w:r>
          </w:p>
        </w:tc>
        <w:tc>
          <w:tcPr>
            <w:tcW w:w="2041" w:type="dxa"/>
            <w:tcBorders>
              <w:top w:val="nil"/>
              <w:left w:val="nil"/>
              <w:bottom w:val="single" w:sz="4" w:space="0" w:color="auto"/>
              <w:right w:val="single" w:sz="4" w:space="0" w:color="auto"/>
            </w:tcBorders>
            <w:shd w:val="clear" w:color="auto" w:fill="auto"/>
            <w:noWrap/>
            <w:vAlign w:val="center"/>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332,037</w:t>
            </w:r>
          </w:p>
        </w:tc>
        <w:tc>
          <w:tcPr>
            <w:tcW w:w="1644" w:type="dxa"/>
            <w:tcBorders>
              <w:top w:val="nil"/>
              <w:left w:val="nil"/>
              <w:bottom w:val="single" w:sz="4" w:space="0" w:color="auto"/>
              <w:right w:val="single" w:sz="4" w:space="0" w:color="auto"/>
            </w:tcBorders>
            <w:shd w:val="clear" w:color="auto" w:fill="auto"/>
            <w:noWrap/>
            <w:vAlign w:val="bottom"/>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47,434</w:t>
            </w:r>
          </w:p>
        </w:tc>
      </w:tr>
      <w:tr w:rsidR="004147CC" w:rsidRPr="008D067D" w:rsidTr="00104AD9">
        <w:trPr>
          <w:trHeight w:val="300"/>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147CC" w:rsidRPr="00FE3BB0" w:rsidRDefault="004147CC" w:rsidP="00104AD9">
            <w:pPr>
              <w:rPr>
                <w:rFonts w:eastAsia="Times New Roman"/>
                <w:color w:val="000000"/>
                <w:sz w:val="18"/>
                <w:szCs w:val="18"/>
                <w:lang w:eastAsia="es-SV"/>
              </w:rPr>
            </w:pPr>
            <w:r w:rsidRPr="00FE3BB0">
              <w:rPr>
                <w:rFonts w:eastAsia="Times New Roman"/>
                <w:color w:val="000000"/>
                <w:sz w:val="18"/>
                <w:szCs w:val="18"/>
                <w:lang w:eastAsia="es-SV"/>
              </w:rPr>
              <w:t>ENERO  A AGOSTO AÑO 2016</w:t>
            </w:r>
          </w:p>
        </w:tc>
        <w:tc>
          <w:tcPr>
            <w:tcW w:w="2041" w:type="dxa"/>
            <w:tcBorders>
              <w:top w:val="nil"/>
              <w:left w:val="nil"/>
              <w:bottom w:val="single" w:sz="4" w:space="0" w:color="auto"/>
              <w:right w:val="single" w:sz="4" w:space="0" w:color="auto"/>
            </w:tcBorders>
            <w:shd w:val="clear" w:color="auto" w:fill="auto"/>
            <w:noWrap/>
            <w:vAlign w:val="center"/>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364,288</w:t>
            </w:r>
          </w:p>
        </w:tc>
        <w:tc>
          <w:tcPr>
            <w:tcW w:w="1644" w:type="dxa"/>
            <w:tcBorders>
              <w:top w:val="nil"/>
              <w:left w:val="nil"/>
              <w:bottom w:val="single" w:sz="4" w:space="0" w:color="auto"/>
              <w:right w:val="single" w:sz="4" w:space="0" w:color="auto"/>
            </w:tcBorders>
            <w:shd w:val="clear" w:color="auto" w:fill="auto"/>
            <w:noWrap/>
            <w:vAlign w:val="bottom"/>
            <w:hideMark/>
          </w:tcPr>
          <w:p w:rsidR="004147CC" w:rsidRPr="00FE3BB0" w:rsidRDefault="004147CC" w:rsidP="00104AD9">
            <w:pPr>
              <w:jc w:val="center"/>
              <w:rPr>
                <w:rFonts w:eastAsia="Times New Roman"/>
                <w:color w:val="000000"/>
                <w:sz w:val="18"/>
                <w:szCs w:val="18"/>
                <w:lang w:eastAsia="es-SV"/>
              </w:rPr>
            </w:pPr>
            <w:r w:rsidRPr="00FE3BB0">
              <w:rPr>
                <w:rFonts w:eastAsia="Times New Roman"/>
                <w:color w:val="000000"/>
                <w:sz w:val="18"/>
                <w:szCs w:val="18"/>
                <w:lang w:eastAsia="es-SV"/>
              </w:rPr>
              <w:t>45,536</w:t>
            </w:r>
          </w:p>
        </w:tc>
      </w:tr>
    </w:tbl>
    <w:p w:rsidR="00BE4A02" w:rsidRDefault="009C5149" w:rsidP="00BE4A02">
      <w:pPr>
        <w:jc w:val="both"/>
        <w:rPr>
          <w:rFonts w:ascii="Century Gothic" w:hAnsi="Century Gothic"/>
          <w:sz w:val="18"/>
          <w:szCs w:val="18"/>
        </w:rPr>
      </w:pPr>
      <w:r>
        <w:rPr>
          <w:rFonts w:ascii="Century Gothic" w:hAnsi="Century Gothic"/>
          <w:sz w:val="18"/>
          <w:szCs w:val="18"/>
        </w:rPr>
        <w:t xml:space="preserve">           </w:t>
      </w:r>
      <w:r w:rsidR="00BE4A02" w:rsidRPr="00740CEA">
        <w:rPr>
          <w:rFonts w:ascii="Century Gothic" w:hAnsi="Century Gothic"/>
          <w:sz w:val="18"/>
          <w:szCs w:val="18"/>
        </w:rPr>
        <w:t xml:space="preserve">   Fuente: </w:t>
      </w:r>
      <w:r w:rsidR="00C16675">
        <w:rPr>
          <w:rFonts w:ascii="Century Gothic" w:hAnsi="Century Gothic"/>
          <w:sz w:val="18"/>
          <w:szCs w:val="18"/>
        </w:rPr>
        <w:t>Sistema de registro de consultas de</w:t>
      </w:r>
      <w:r w:rsidR="00BE4A02" w:rsidRPr="00740CEA">
        <w:rPr>
          <w:rFonts w:ascii="Century Gothic" w:hAnsi="Century Gothic"/>
          <w:sz w:val="18"/>
          <w:szCs w:val="18"/>
        </w:rPr>
        <w:t xml:space="preserve"> Policlínicos y Consultorios Magisteriales.</w:t>
      </w:r>
    </w:p>
    <w:p w:rsidR="00C16675" w:rsidRDefault="00C16675" w:rsidP="00BE4A02">
      <w:pPr>
        <w:jc w:val="both"/>
        <w:rPr>
          <w:rFonts w:ascii="Century Gothic" w:hAnsi="Century Gothic"/>
          <w:sz w:val="18"/>
          <w:szCs w:val="18"/>
        </w:rPr>
      </w:pPr>
    </w:p>
    <w:p w:rsidR="00384423" w:rsidRDefault="00384423" w:rsidP="00BE4A02">
      <w:pPr>
        <w:jc w:val="both"/>
        <w:rPr>
          <w:rFonts w:ascii="Century Gothic" w:hAnsi="Century Gothic"/>
        </w:rPr>
      </w:pPr>
    </w:p>
    <w:p w:rsidR="006E59E0" w:rsidRPr="00740CEA" w:rsidRDefault="006E59E0" w:rsidP="00BE4A02">
      <w:pPr>
        <w:jc w:val="both"/>
        <w:rPr>
          <w:rFonts w:ascii="Century Gothic" w:hAnsi="Century Gothic"/>
          <w:sz w:val="18"/>
          <w:szCs w:val="18"/>
        </w:rPr>
      </w:pPr>
      <w:r w:rsidRPr="00740CEA">
        <w:rPr>
          <w:rFonts w:ascii="Century Gothic" w:hAnsi="Century Gothic"/>
        </w:rPr>
        <w:t>Es importante destacar que el promedio mensual de consultas médicas en Policlínicos y Consulto</w:t>
      </w:r>
      <w:r>
        <w:rPr>
          <w:rFonts w:ascii="Century Gothic" w:hAnsi="Century Gothic"/>
        </w:rPr>
        <w:t>rios Magisteriales durante el periodo de junio a diciembre de año 2015 fue de 47,434 y para el periodo de enero a agosto del año 2016 fue de 45,536</w:t>
      </w:r>
      <w:r w:rsidR="009C5149">
        <w:rPr>
          <w:rFonts w:ascii="Century Gothic" w:hAnsi="Century Gothic"/>
        </w:rPr>
        <w:t>.</w:t>
      </w:r>
    </w:p>
    <w:p w:rsidR="00384423" w:rsidRDefault="00384423" w:rsidP="009C5149">
      <w:pPr>
        <w:spacing w:before="200" w:line="276" w:lineRule="auto"/>
        <w:jc w:val="center"/>
        <w:rPr>
          <w:rFonts w:ascii="Century Gothic" w:hAnsi="Century Gothic"/>
          <w:b/>
        </w:rPr>
      </w:pPr>
    </w:p>
    <w:p w:rsidR="00384423" w:rsidRDefault="00384423" w:rsidP="009C5149">
      <w:pPr>
        <w:spacing w:before="200" w:line="276" w:lineRule="auto"/>
        <w:jc w:val="center"/>
        <w:rPr>
          <w:rFonts w:ascii="Century Gothic" w:hAnsi="Century Gothic"/>
          <w:b/>
        </w:rPr>
      </w:pPr>
    </w:p>
    <w:p w:rsidR="009C5149" w:rsidRPr="000E756C" w:rsidRDefault="009C5149" w:rsidP="009C5149">
      <w:pPr>
        <w:spacing w:before="200" w:line="276" w:lineRule="auto"/>
        <w:jc w:val="center"/>
        <w:rPr>
          <w:rFonts w:ascii="Century Gothic" w:hAnsi="Century Gothic"/>
          <w:b/>
        </w:rPr>
      </w:pPr>
      <w:r w:rsidRPr="000E756C">
        <w:rPr>
          <w:rFonts w:ascii="Century Gothic" w:hAnsi="Century Gothic"/>
          <w:b/>
        </w:rPr>
        <w:t>SERVICIOS DE LABORATORIO CLÍNICO</w:t>
      </w:r>
    </w:p>
    <w:tbl>
      <w:tblPr>
        <w:tblW w:w="9884" w:type="dxa"/>
        <w:tblInd w:w="-356" w:type="dxa"/>
        <w:tblCellMar>
          <w:left w:w="70" w:type="dxa"/>
          <w:right w:w="70" w:type="dxa"/>
        </w:tblCellMar>
        <w:tblLook w:val="04A0"/>
      </w:tblPr>
      <w:tblGrid>
        <w:gridCol w:w="1227"/>
        <w:gridCol w:w="1127"/>
        <w:gridCol w:w="1263"/>
        <w:gridCol w:w="992"/>
        <w:gridCol w:w="850"/>
        <w:gridCol w:w="1418"/>
        <w:gridCol w:w="1210"/>
        <w:gridCol w:w="827"/>
        <w:gridCol w:w="970"/>
      </w:tblGrid>
      <w:tr w:rsidR="009C5149" w:rsidRPr="008D067D" w:rsidTr="008D067D">
        <w:trPr>
          <w:trHeight w:val="300"/>
        </w:trPr>
        <w:tc>
          <w:tcPr>
            <w:tcW w:w="1227" w:type="dxa"/>
            <w:tcBorders>
              <w:top w:val="single" w:sz="4" w:space="0" w:color="auto"/>
              <w:left w:val="single" w:sz="4" w:space="0" w:color="auto"/>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PERIODO</w:t>
            </w:r>
          </w:p>
        </w:tc>
        <w:tc>
          <w:tcPr>
            <w:tcW w:w="4232" w:type="dxa"/>
            <w:gridSpan w:val="4"/>
            <w:tcBorders>
              <w:top w:val="single" w:sz="4" w:space="0" w:color="auto"/>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JUNIO A DICIEMBRE AÑO 2015</w:t>
            </w:r>
          </w:p>
        </w:tc>
        <w:tc>
          <w:tcPr>
            <w:tcW w:w="4425" w:type="dxa"/>
            <w:gridSpan w:val="4"/>
            <w:tcBorders>
              <w:top w:val="single" w:sz="4" w:space="0" w:color="auto"/>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ENERO A AGOSTO AÑO 2016</w:t>
            </w:r>
          </w:p>
        </w:tc>
      </w:tr>
      <w:tr w:rsidR="009C5149" w:rsidRPr="008D067D" w:rsidTr="008D067D">
        <w:trPr>
          <w:trHeight w:val="300"/>
        </w:trPr>
        <w:tc>
          <w:tcPr>
            <w:tcW w:w="1227" w:type="dxa"/>
            <w:vMerge w:val="restart"/>
            <w:tcBorders>
              <w:top w:val="nil"/>
              <w:left w:val="single" w:sz="4" w:space="0" w:color="auto"/>
              <w:bottom w:val="single" w:sz="4" w:space="0" w:color="auto"/>
              <w:right w:val="single" w:sz="4" w:space="0" w:color="auto"/>
            </w:tcBorders>
            <w:shd w:val="clear" w:color="auto" w:fill="FBD4B4"/>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ÁREA DE LABORATORIO CLÍNICO</w:t>
            </w:r>
          </w:p>
        </w:tc>
        <w:tc>
          <w:tcPr>
            <w:tcW w:w="3382" w:type="dxa"/>
            <w:gridSpan w:val="3"/>
            <w:tcBorders>
              <w:top w:val="single" w:sz="4" w:space="0" w:color="auto"/>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TIPO DE LABORATORIO</w:t>
            </w:r>
          </w:p>
        </w:tc>
        <w:tc>
          <w:tcPr>
            <w:tcW w:w="850" w:type="dxa"/>
            <w:vMerge w:val="restart"/>
            <w:tcBorders>
              <w:top w:val="nil"/>
              <w:left w:val="single" w:sz="4" w:space="0" w:color="auto"/>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TOTAL</w:t>
            </w:r>
          </w:p>
        </w:tc>
        <w:tc>
          <w:tcPr>
            <w:tcW w:w="3455" w:type="dxa"/>
            <w:gridSpan w:val="3"/>
            <w:tcBorders>
              <w:top w:val="single" w:sz="4" w:space="0" w:color="auto"/>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TIPO DE LABORATORIO</w:t>
            </w:r>
          </w:p>
        </w:tc>
        <w:tc>
          <w:tcPr>
            <w:tcW w:w="970" w:type="dxa"/>
            <w:vMerge w:val="restart"/>
            <w:tcBorders>
              <w:top w:val="nil"/>
              <w:left w:val="single" w:sz="4" w:space="0" w:color="auto"/>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TOTAL</w:t>
            </w:r>
          </w:p>
        </w:tc>
      </w:tr>
      <w:tr w:rsidR="009C5149" w:rsidRPr="008D067D" w:rsidTr="008D067D">
        <w:trPr>
          <w:trHeight w:val="300"/>
        </w:trPr>
        <w:tc>
          <w:tcPr>
            <w:tcW w:w="1227" w:type="dxa"/>
            <w:vMerge/>
            <w:tcBorders>
              <w:top w:val="nil"/>
              <w:left w:val="single" w:sz="4" w:space="0" w:color="auto"/>
              <w:bottom w:val="single" w:sz="4" w:space="0" w:color="auto"/>
              <w:right w:val="single" w:sz="4" w:space="0" w:color="auto"/>
            </w:tcBorders>
            <w:vAlign w:val="center"/>
            <w:hideMark/>
          </w:tcPr>
          <w:p w:rsidR="009C5149" w:rsidRPr="00533E59" w:rsidRDefault="009C5149" w:rsidP="00104AD9">
            <w:pPr>
              <w:rPr>
                <w:rFonts w:eastAsia="Times New Roman"/>
                <w:b/>
                <w:color w:val="000000"/>
                <w:sz w:val="16"/>
                <w:szCs w:val="16"/>
                <w:lang w:eastAsia="es-SV"/>
              </w:rPr>
            </w:pPr>
          </w:p>
        </w:tc>
        <w:tc>
          <w:tcPr>
            <w:tcW w:w="1127"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PROVEEDORES</w:t>
            </w:r>
          </w:p>
        </w:tc>
        <w:tc>
          <w:tcPr>
            <w:tcW w:w="1263"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HOSPITALARIOS</w:t>
            </w:r>
          </w:p>
        </w:tc>
        <w:tc>
          <w:tcPr>
            <w:tcW w:w="992"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ISBM</w:t>
            </w:r>
          </w:p>
        </w:tc>
        <w:tc>
          <w:tcPr>
            <w:tcW w:w="850" w:type="dxa"/>
            <w:vMerge/>
            <w:tcBorders>
              <w:top w:val="nil"/>
              <w:left w:val="single" w:sz="4" w:space="0" w:color="auto"/>
              <w:bottom w:val="single" w:sz="4" w:space="0" w:color="auto"/>
              <w:right w:val="single" w:sz="4" w:space="0" w:color="auto"/>
            </w:tcBorders>
            <w:vAlign w:val="center"/>
            <w:hideMark/>
          </w:tcPr>
          <w:p w:rsidR="009C5149" w:rsidRPr="00533E59" w:rsidRDefault="009C5149" w:rsidP="00104AD9">
            <w:pPr>
              <w:rPr>
                <w:rFonts w:eastAsia="Times New Roman"/>
                <w:b/>
                <w:color w:val="000000"/>
                <w:sz w:val="16"/>
                <w:szCs w:val="16"/>
                <w:lang w:eastAsia="es-SV"/>
              </w:rPr>
            </w:pPr>
          </w:p>
        </w:tc>
        <w:tc>
          <w:tcPr>
            <w:tcW w:w="1418"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PROVEEDORES</w:t>
            </w:r>
          </w:p>
        </w:tc>
        <w:tc>
          <w:tcPr>
            <w:tcW w:w="1210"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HOSPITALARIOS</w:t>
            </w:r>
          </w:p>
        </w:tc>
        <w:tc>
          <w:tcPr>
            <w:tcW w:w="827" w:type="dxa"/>
            <w:tcBorders>
              <w:top w:val="nil"/>
              <w:left w:val="nil"/>
              <w:bottom w:val="single" w:sz="4" w:space="0" w:color="auto"/>
              <w:right w:val="single" w:sz="4" w:space="0" w:color="auto"/>
            </w:tcBorders>
            <w:shd w:val="clear" w:color="auto" w:fill="FBD4B4"/>
            <w:noWrap/>
            <w:vAlign w:val="bottom"/>
            <w:hideMark/>
          </w:tcPr>
          <w:p w:rsidR="009C5149" w:rsidRPr="00533E59" w:rsidRDefault="009C5149" w:rsidP="00104AD9">
            <w:pPr>
              <w:jc w:val="center"/>
              <w:rPr>
                <w:rFonts w:eastAsia="Times New Roman"/>
                <w:b/>
                <w:color w:val="000000"/>
                <w:sz w:val="16"/>
                <w:szCs w:val="16"/>
                <w:lang w:eastAsia="es-SV"/>
              </w:rPr>
            </w:pPr>
            <w:r w:rsidRPr="00533E59">
              <w:rPr>
                <w:rFonts w:eastAsia="Times New Roman"/>
                <w:b/>
                <w:color w:val="000000"/>
                <w:sz w:val="16"/>
                <w:szCs w:val="16"/>
                <w:lang w:eastAsia="es-SV"/>
              </w:rPr>
              <w:t>ISBM</w:t>
            </w:r>
          </w:p>
        </w:tc>
        <w:tc>
          <w:tcPr>
            <w:tcW w:w="970" w:type="dxa"/>
            <w:vMerge/>
            <w:tcBorders>
              <w:top w:val="nil"/>
              <w:left w:val="single" w:sz="4" w:space="0" w:color="auto"/>
              <w:bottom w:val="single" w:sz="4" w:space="0" w:color="auto"/>
              <w:right w:val="single" w:sz="4" w:space="0" w:color="auto"/>
            </w:tcBorders>
            <w:vAlign w:val="center"/>
            <w:hideMark/>
          </w:tcPr>
          <w:p w:rsidR="009C5149" w:rsidRPr="00533E59" w:rsidRDefault="009C5149" w:rsidP="00104AD9">
            <w:pPr>
              <w:rPr>
                <w:rFonts w:eastAsia="Times New Roman"/>
                <w:b/>
                <w:color w:val="000000"/>
                <w:sz w:val="16"/>
                <w:szCs w:val="16"/>
                <w:lang w:eastAsia="es-SV"/>
              </w:rPr>
            </w:pP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HEMATOLOGÍA</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28,371</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1,234</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3,573</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33,178</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34,882</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2,270</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8,066</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45,218</w:t>
            </w: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QUÍMICA CLÍNICA</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76,590</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2,153</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37,275</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116,018</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108,563</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3,962</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74,203</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186,728</w:t>
            </w:r>
          </w:p>
        </w:tc>
      </w:tr>
      <w:tr w:rsidR="009C5149" w:rsidRPr="008D067D" w:rsidTr="007F2604">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SEROLOGÍA</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3,487</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285</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298</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4,070</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4,205</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525</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563</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5,293</w:t>
            </w:r>
          </w:p>
        </w:tc>
      </w:tr>
      <w:tr w:rsidR="009C5149" w:rsidRPr="008D067D" w:rsidTr="007F2604">
        <w:trPr>
          <w:trHeight w:val="30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COPROLOGÍA</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11,031</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11,043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20,990</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22</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1,258</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22,270</w:t>
            </w: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UROANÁLISIS</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17,698</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144</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0</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17,842</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29,211</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266</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2,784</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32,261</w:t>
            </w:r>
          </w:p>
        </w:tc>
      </w:tr>
      <w:tr w:rsidR="009C5149" w:rsidRPr="008D067D" w:rsidTr="00711440">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PRUEBAS RÁPIDAS</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4,349</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624</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1,365</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6,338</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6,634</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1,149</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2,202</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9,985</w:t>
            </w:r>
          </w:p>
        </w:tc>
      </w:tr>
      <w:tr w:rsidR="009C5149" w:rsidRPr="008D067D" w:rsidTr="00711440">
        <w:trPr>
          <w:trHeight w:val="30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BACTERIOLOGÍA</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4,638</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5,050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1,838</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758</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0</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2,596</w:t>
            </w: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PRUEBAS ESPECIALES</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9,418</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193</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1,765</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11,376</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8,802</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355</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2,778</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11,935</w:t>
            </w: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COAGULACIÓN</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1,398</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32</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156</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1,586</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2,822</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59</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109</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2,990</w:t>
            </w:r>
          </w:p>
        </w:tc>
      </w:tr>
      <w:tr w:rsidR="009C5149" w:rsidRPr="008D067D" w:rsidTr="009C5149">
        <w:trPr>
          <w:trHeight w:val="30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9C5149" w:rsidRPr="00533E59" w:rsidRDefault="009C5149" w:rsidP="00104AD9">
            <w:pPr>
              <w:rPr>
                <w:rFonts w:eastAsia="Times New Roman"/>
                <w:b/>
                <w:color w:val="000000"/>
                <w:sz w:val="16"/>
                <w:szCs w:val="16"/>
                <w:lang w:eastAsia="es-SV"/>
              </w:rPr>
            </w:pPr>
            <w:r w:rsidRPr="00533E59">
              <w:rPr>
                <w:rFonts w:eastAsia="Times New Roman"/>
                <w:b/>
                <w:color w:val="000000"/>
                <w:sz w:val="16"/>
                <w:szCs w:val="16"/>
                <w:lang w:eastAsia="es-SV"/>
              </w:rPr>
              <w:t>TOTAL</w:t>
            </w:r>
          </w:p>
        </w:tc>
        <w:tc>
          <w:tcPr>
            <w:tcW w:w="11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156,980</w:t>
            </w:r>
          </w:p>
        </w:tc>
        <w:tc>
          <w:tcPr>
            <w:tcW w:w="1263"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5,089</w:t>
            </w:r>
          </w:p>
        </w:tc>
        <w:tc>
          <w:tcPr>
            <w:tcW w:w="992"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44,432</w:t>
            </w:r>
          </w:p>
        </w:tc>
        <w:tc>
          <w:tcPr>
            <w:tcW w:w="85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206,501</w:t>
            </w:r>
          </w:p>
        </w:tc>
        <w:tc>
          <w:tcPr>
            <w:tcW w:w="1418"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217,947</w:t>
            </w:r>
          </w:p>
        </w:tc>
        <w:tc>
          <w:tcPr>
            <w:tcW w:w="121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9,366</w:t>
            </w:r>
          </w:p>
        </w:tc>
        <w:tc>
          <w:tcPr>
            <w:tcW w:w="827"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91,963</w:t>
            </w:r>
          </w:p>
        </w:tc>
        <w:tc>
          <w:tcPr>
            <w:tcW w:w="970" w:type="dxa"/>
            <w:tcBorders>
              <w:top w:val="nil"/>
              <w:left w:val="nil"/>
              <w:bottom w:val="single" w:sz="4" w:space="0" w:color="auto"/>
              <w:right w:val="single" w:sz="4" w:space="0" w:color="auto"/>
            </w:tcBorders>
            <w:shd w:val="clear" w:color="auto" w:fill="auto"/>
            <w:noWrap/>
            <w:vAlign w:val="bottom"/>
            <w:hideMark/>
          </w:tcPr>
          <w:p w:rsidR="009C5149" w:rsidRPr="00533E59" w:rsidRDefault="009C5149" w:rsidP="00104AD9">
            <w:pPr>
              <w:jc w:val="right"/>
              <w:rPr>
                <w:rFonts w:eastAsia="Times New Roman"/>
                <w:color w:val="000000"/>
                <w:sz w:val="16"/>
                <w:szCs w:val="16"/>
                <w:lang w:eastAsia="es-SV"/>
              </w:rPr>
            </w:pPr>
            <w:r w:rsidRPr="00533E59">
              <w:rPr>
                <w:rFonts w:eastAsia="Times New Roman"/>
                <w:color w:val="000000"/>
                <w:sz w:val="16"/>
                <w:szCs w:val="16"/>
                <w:lang w:eastAsia="es-SV"/>
              </w:rPr>
              <w:t>319,276</w:t>
            </w:r>
          </w:p>
        </w:tc>
      </w:tr>
    </w:tbl>
    <w:p w:rsidR="009C5149" w:rsidRDefault="009C5149" w:rsidP="009C5149">
      <w:pPr>
        <w:jc w:val="both"/>
        <w:rPr>
          <w:rFonts w:ascii="Century Gothic" w:hAnsi="Century Gothic"/>
          <w:sz w:val="18"/>
          <w:szCs w:val="18"/>
        </w:rPr>
      </w:pPr>
      <w:r w:rsidRPr="00740CEA">
        <w:rPr>
          <w:rFonts w:ascii="Century Gothic" w:hAnsi="Century Gothic"/>
          <w:sz w:val="18"/>
          <w:szCs w:val="18"/>
        </w:rPr>
        <w:t xml:space="preserve">Fuente: </w:t>
      </w:r>
      <w:r>
        <w:rPr>
          <w:rFonts w:ascii="Century Gothic" w:hAnsi="Century Gothic"/>
          <w:sz w:val="18"/>
          <w:szCs w:val="18"/>
        </w:rPr>
        <w:t>Sistema de registro de atenciones de laboratorio clínico</w:t>
      </w:r>
      <w:r w:rsidRPr="00740CEA">
        <w:rPr>
          <w:rFonts w:ascii="Century Gothic" w:hAnsi="Century Gothic"/>
          <w:sz w:val="18"/>
          <w:szCs w:val="18"/>
        </w:rPr>
        <w:t>.</w:t>
      </w:r>
    </w:p>
    <w:p w:rsidR="009C5149" w:rsidRDefault="009C5149" w:rsidP="009C5149">
      <w:pPr>
        <w:rPr>
          <w:rFonts w:ascii="Century Gothic" w:hAnsi="Century Gothic"/>
        </w:rPr>
      </w:pPr>
    </w:p>
    <w:p w:rsidR="009C5149" w:rsidRDefault="009C5149" w:rsidP="009C5149">
      <w:pPr>
        <w:jc w:val="center"/>
        <w:rPr>
          <w:rFonts w:ascii="Century Gothic" w:hAnsi="Century Gothic"/>
        </w:rPr>
      </w:pPr>
    </w:p>
    <w:p w:rsidR="00D3373E" w:rsidRPr="000E756C" w:rsidRDefault="00D3373E" w:rsidP="00D3373E">
      <w:pPr>
        <w:spacing w:before="200" w:line="276" w:lineRule="auto"/>
        <w:jc w:val="center"/>
        <w:rPr>
          <w:rFonts w:ascii="Century Gothic" w:hAnsi="Century Gothic"/>
          <w:b/>
        </w:rPr>
      </w:pPr>
      <w:r w:rsidRPr="000E756C">
        <w:rPr>
          <w:rFonts w:ascii="Century Gothic" w:hAnsi="Century Gothic"/>
          <w:b/>
        </w:rPr>
        <w:t>ATENCIONES ODONTOLÓGICAS</w:t>
      </w:r>
    </w:p>
    <w:tbl>
      <w:tblPr>
        <w:tblW w:w="8946" w:type="dxa"/>
        <w:tblInd w:w="55" w:type="dxa"/>
        <w:tblCellMar>
          <w:left w:w="70" w:type="dxa"/>
          <w:right w:w="70" w:type="dxa"/>
        </w:tblCellMar>
        <w:tblLook w:val="04A0"/>
      </w:tblPr>
      <w:tblGrid>
        <w:gridCol w:w="2142"/>
        <w:gridCol w:w="1275"/>
        <w:gridCol w:w="1134"/>
        <w:gridCol w:w="993"/>
        <w:gridCol w:w="1275"/>
        <w:gridCol w:w="1134"/>
        <w:gridCol w:w="993"/>
      </w:tblGrid>
      <w:tr w:rsidR="002F0B8A" w:rsidRPr="008D067D" w:rsidTr="008D067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PERIODO</w:t>
            </w:r>
          </w:p>
        </w:tc>
        <w:tc>
          <w:tcPr>
            <w:tcW w:w="3402" w:type="dxa"/>
            <w:gridSpan w:val="3"/>
            <w:tcBorders>
              <w:top w:val="single" w:sz="4" w:space="0" w:color="auto"/>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JUNIO A DICIEMBRE AÑO 2015</w:t>
            </w:r>
          </w:p>
        </w:tc>
        <w:tc>
          <w:tcPr>
            <w:tcW w:w="3402" w:type="dxa"/>
            <w:gridSpan w:val="3"/>
            <w:tcBorders>
              <w:top w:val="single" w:sz="4" w:space="0" w:color="auto"/>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ENERO A AGOSTO AÑO 2016</w:t>
            </w:r>
          </w:p>
        </w:tc>
      </w:tr>
      <w:tr w:rsidR="002F0B8A" w:rsidRPr="008D067D" w:rsidTr="008D067D">
        <w:trPr>
          <w:trHeight w:val="900"/>
        </w:trPr>
        <w:tc>
          <w:tcPr>
            <w:tcW w:w="2142" w:type="dxa"/>
            <w:tcBorders>
              <w:top w:val="nil"/>
              <w:left w:val="single" w:sz="4" w:space="0" w:color="auto"/>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PROCEDIMIENTO</w:t>
            </w:r>
          </w:p>
        </w:tc>
        <w:tc>
          <w:tcPr>
            <w:tcW w:w="1275"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CENTRO ODONTOLÓGICO ISBM</w:t>
            </w:r>
          </w:p>
        </w:tc>
        <w:tc>
          <w:tcPr>
            <w:tcW w:w="1134"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PROVEEDORES DE SERVICIOS</w:t>
            </w:r>
          </w:p>
        </w:tc>
        <w:tc>
          <w:tcPr>
            <w:tcW w:w="993"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TOTAL</w:t>
            </w:r>
          </w:p>
        </w:tc>
        <w:tc>
          <w:tcPr>
            <w:tcW w:w="1275"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CENTRO ODONTOLÓGICO ISBM</w:t>
            </w:r>
          </w:p>
        </w:tc>
        <w:tc>
          <w:tcPr>
            <w:tcW w:w="1134"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PROVEEDORES DE SERVICIOS</w:t>
            </w:r>
          </w:p>
        </w:tc>
        <w:tc>
          <w:tcPr>
            <w:tcW w:w="993" w:type="dxa"/>
            <w:tcBorders>
              <w:top w:val="nil"/>
              <w:left w:val="nil"/>
              <w:bottom w:val="single" w:sz="4" w:space="0" w:color="auto"/>
              <w:right w:val="single" w:sz="4" w:space="0" w:color="auto"/>
            </w:tcBorders>
            <w:shd w:val="clear" w:color="auto" w:fill="FBD4B4"/>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TOTAL</w:t>
            </w:r>
          </w:p>
        </w:tc>
      </w:tr>
      <w:tr w:rsidR="002F0B8A" w:rsidRPr="008D067D" w:rsidTr="00104AD9">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DIAGNÓSTICO</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4,942</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4,563</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9,505</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6,326</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2,029</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8,355</w:t>
            </w:r>
          </w:p>
        </w:tc>
      </w:tr>
      <w:tr w:rsidR="002F0B8A" w:rsidRPr="008D067D" w:rsidTr="00104AD9">
        <w:trPr>
          <w:trHeight w:val="67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PROFILAXIS, DETARTRAJE (APLICACIÓN DE FLÚOR)</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4,461</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8,225</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12,686</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5,710</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2,966</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8,676</w:t>
            </w:r>
          </w:p>
        </w:tc>
      </w:tr>
      <w:tr w:rsidR="002F0B8A" w:rsidRPr="008D067D" w:rsidTr="00104AD9">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SELLANTES DE FOSAS Y FISURAS</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4,175</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1,427</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5,602</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5,344</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722</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6,066</w:t>
            </w:r>
          </w:p>
        </w:tc>
      </w:tr>
      <w:tr w:rsidR="002F0B8A" w:rsidRPr="008D067D" w:rsidTr="00104AD9">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EXTRACCIONES</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449</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1,326</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1,775</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574</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378</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952</w:t>
            </w:r>
          </w:p>
        </w:tc>
      </w:tr>
      <w:tr w:rsidR="002F0B8A" w:rsidRPr="008D067D" w:rsidTr="00104AD9">
        <w:trPr>
          <w:trHeight w:val="40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OBTURACIÓN DE RESINA</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3,207</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12,901</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16,108</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4,106</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4,744</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8,850</w:t>
            </w:r>
          </w:p>
        </w:tc>
      </w:tr>
      <w:tr w:rsidR="002F0B8A" w:rsidRPr="008D067D" w:rsidTr="00104AD9">
        <w:trPr>
          <w:trHeight w:val="61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OBTURACIÓN DE AMALGAMA DE PLATA</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200</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617</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817</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256</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304</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560</w:t>
            </w:r>
          </w:p>
        </w:tc>
      </w:tr>
      <w:tr w:rsidR="002F0B8A" w:rsidRPr="008D067D" w:rsidTr="00104AD9">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rPr>
                <w:rFonts w:eastAsia="Times New Roman"/>
                <w:b/>
                <w:color w:val="000000"/>
                <w:sz w:val="16"/>
                <w:szCs w:val="16"/>
                <w:lang w:eastAsia="es-SV"/>
              </w:rPr>
            </w:pPr>
            <w:r w:rsidRPr="000E756C">
              <w:rPr>
                <w:rFonts w:eastAsia="Times New Roman"/>
                <w:b/>
                <w:color w:val="000000"/>
                <w:sz w:val="16"/>
                <w:szCs w:val="16"/>
                <w:lang w:eastAsia="es-SV"/>
              </w:rPr>
              <w:t>No. DE USUARIOS ATENDIDOS</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15,226</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15,224</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30,450</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19,490</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5,918</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25,408</w:t>
            </w:r>
          </w:p>
        </w:tc>
      </w:tr>
      <w:tr w:rsidR="002F0B8A" w:rsidRPr="008D067D" w:rsidTr="00104AD9">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b/>
                <w:color w:val="000000"/>
                <w:sz w:val="16"/>
                <w:szCs w:val="16"/>
                <w:lang w:eastAsia="es-SV"/>
              </w:rPr>
            </w:pPr>
            <w:r w:rsidRPr="000E756C">
              <w:rPr>
                <w:rFonts w:eastAsia="Times New Roman"/>
                <w:b/>
                <w:color w:val="000000"/>
                <w:sz w:val="16"/>
                <w:szCs w:val="16"/>
                <w:lang w:eastAsia="es-SV"/>
              </w:rPr>
              <w:t>TOTAL</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32,660</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44,283</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76,943</w:t>
            </w:r>
          </w:p>
        </w:tc>
        <w:tc>
          <w:tcPr>
            <w:tcW w:w="1275"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41,806</w:t>
            </w:r>
          </w:p>
        </w:tc>
        <w:tc>
          <w:tcPr>
            <w:tcW w:w="1134"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17,061</w:t>
            </w:r>
          </w:p>
        </w:tc>
        <w:tc>
          <w:tcPr>
            <w:tcW w:w="993" w:type="dxa"/>
            <w:tcBorders>
              <w:top w:val="nil"/>
              <w:left w:val="nil"/>
              <w:bottom w:val="single" w:sz="4" w:space="0" w:color="auto"/>
              <w:right w:val="single" w:sz="4" w:space="0" w:color="auto"/>
            </w:tcBorders>
            <w:shd w:val="clear" w:color="auto" w:fill="auto"/>
            <w:vAlign w:val="center"/>
            <w:hideMark/>
          </w:tcPr>
          <w:p w:rsidR="002F0B8A" w:rsidRPr="000E756C" w:rsidRDefault="002F0B8A" w:rsidP="00104AD9">
            <w:pPr>
              <w:jc w:val="center"/>
              <w:rPr>
                <w:rFonts w:eastAsia="Times New Roman"/>
                <w:color w:val="000000"/>
                <w:sz w:val="16"/>
                <w:szCs w:val="16"/>
                <w:lang w:eastAsia="es-SV"/>
              </w:rPr>
            </w:pPr>
            <w:r w:rsidRPr="000E756C">
              <w:rPr>
                <w:rFonts w:eastAsia="Times New Roman"/>
                <w:color w:val="000000"/>
                <w:sz w:val="16"/>
                <w:szCs w:val="16"/>
                <w:lang w:eastAsia="es-SV"/>
              </w:rPr>
              <w:t>58,867</w:t>
            </w:r>
          </w:p>
        </w:tc>
      </w:tr>
    </w:tbl>
    <w:p w:rsidR="009C5149" w:rsidRDefault="002F0B8A" w:rsidP="00BE4A02">
      <w:pPr>
        <w:jc w:val="both"/>
        <w:rPr>
          <w:rFonts w:ascii="Century Gothic" w:hAnsi="Century Gothic"/>
        </w:rPr>
      </w:pPr>
      <w:r w:rsidRPr="00740CEA">
        <w:rPr>
          <w:rFonts w:ascii="Century Gothic" w:hAnsi="Century Gothic"/>
          <w:sz w:val="18"/>
          <w:szCs w:val="18"/>
        </w:rPr>
        <w:t xml:space="preserve">Fuente: </w:t>
      </w:r>
      <w:r>
        <w:rPr>
          <w:rFonts w:ascii="Century Gothic" w:hAnsi="Century Gothic"/>
          <w:sz w:val="18"/>
          <w:szCs w:val="18"/>
        </w:rPr>
        <w:t>Informes mensuales de atenciones odontológicas</w:t>
      </w:r>
    </w:p>
    <w:p w:rsidR="009C5149" w:rsidRDefault="009C5149" w:rsidP="00BE4A02">
      <w:pPr>
        <w:jc w:val="both"/>
        <w:rPr>
          <w:rFonts w:ascii="Century Gothic" w:hAnsi="Century Gothic"/>
        </w:rPr>
      </w:pPr>
    </w:p>
    <w:p w:rsidR="009C5149" w:rsidRDefault="009C5149" w:rsidP="00BE4A02">
      <w:pPr>
        <w:jc w:val="both"/>
        <w:rPr>
          <w:rFonts w:ascii="Century Gothic" w:hAnsi="Century Gothic"/>
        </w:rPr>
      </w:pPr>
    </w:p>
    <w:p w:rsidR="009C5149" w:rsidRDefault="009C5149" w:rsidP="00BE4A02">
      <w:pPr>
        <w:jc w:val="both"/>
        <w:rPr>
          <w:rFonts w:ascii="Century Gothic" w:hAnsi="Century Gothic"/>
        </w:rPr>
      </w:pPr>
    </w:p>
    <w:p w:rsidR="009C5149" w:rsidRDefault="009C5149" w:rsidP="00BE4A02">
      <w:pPr>
        <w:jc w:val="both"/>
        <w:rPr>
          <w:rFonts w:ascii="Century Gothic" w:hAnsi="Century Gothic"/>
        </w:rPr>
      </w:pPr>
    </w:p>
    <w:p w:rsidR="00501CDA" w:rsidRPr="000F5D60" w:rsidRDefault="00501CDA" w:rsidP="00381D10">
      <w:pPr>
        <w:pStyle w:val="Ttulo5"/>
        <w:numPr>
          <w:ilvl w:val="4"/>
          <w:numId w:val="14"/>
        </w:numPr>
        <w:spacing w:after="120"/>
        <w:ind w:left="851"/>
        <w:rPr>
          <w:b/>
        </w:rPr>
      </w:pPr>
      <w:bookmarkStart w:id="25" w:name="_Toc420396709"/>
      <w:bookmarkStart w:id="26" w:name="_Toc467228654"/>
      <w:r w:rsidRPr="000F5D60">
        <w:rPr>
          <w:b/>
        </w:rPr>
        <w:t>Atención de medicina especializada y sub-especializada</w:t>
      </w:r>
      <w:bookmarkEnd w:id="25"/>
      <w:r w:rsidRPr="000F5D60">
        <w:rPr>
          <w:b/>
        </w:rPr>
        <w:t>.</w:t>
      </w:r>
      <w:bookmarkEnd w:id="26"/>
    </w:p>
    <w:p w:rsidR="006938FE" w:rsidRDefault="008548E3" w:rsidP="000F5D60">
      <w:pPr>
        <w:spacing w:before="200" w:line="276" w:lineRule="auto"/>
        <w:jc w:val="both"/>
        <w:rPr>
          <w:rFonts w:ascii="Century Gothic" w:hAnsi="Century Gothic"/>
        </w:rPr>
      </w:pPr>
      <w:r w:rsidRPr="00740CEA">
        <w:rPr>
          <w:rFonts w:ascii="Century Gothic" w:hAnsi="Century Gothic"/>
        </w:rPr>
        <w:t xml:space="preserve">El Programa Especial de Salud del Instituto, además de los servicios en </w:t>
      </w:r>
      <w:r>
        <w:rPr>
          <w:rFonts w:ascii="Century Gothic" w:hAnsi="Century Gothic"/>
        </w:rPr>
        <w:t>a</w:t>
      </w:r>
      <w:r w:rsidRPr="00740CEA">
        <w:rPr>
          <w:rFonts w:ascii="Century Gothic" w:hAnsi="Century Gothic"/>
        </w:rPr>
        <w:t xml:space="preserve">tención </w:t>
      </w:r>
      <w:r>
        <w:rPr>
          <w:rFonts w:ascii="Century Gothic" w:hAnsi="Century Gothic"/>
        </w:rPr>
        <w:t>p</w:t>
      </w:r>
      <w:r w:rsidRPr="00740CEA">
        <w:rPr>
          <w:rFonts w:ascii="Century Gothic" w:hAnsi="Century Gothic"/>
        </w:rPr>
        <w:t xml:space="preserve">rimaria que se prestan directamente en Policlínicos y Consultorios Magisteriales, cuenta con </w:t>
      </w:r>
      <w:r>
        <w:rPr>
          <w:rFonts w:ascii="Century Gothic" w:hAnsi="Century Gothic"/>
        </w:rPr>
        <w:t xml:space="preserve">Servicios Médicos </w:t>
      </w:r>
      <w:r w:rsidRPr="00740CEA">
        <w:rPr>
          <w:rFonts w:ascii="Century Gothic" w:hAnsi="Century Gothic"/>
        </w:rPr>
        <w:t>de Especialidad y Subespecialidad, contratados a través de procesos establecidos mediante la LACAP, para brindar serv</w:t>
      </w:r>
      <w:r>
        <w:rPr>
          <w:rFonts w:ascii="Century Gothic" w:hAnsi="Century Gothic"/>
        </w:rPr>
        <w:t xml:space="preserve">icios de salud oportunos </w:t>
      </w:r>
      <w:r w:rsidRPr="00740CEA">
        <w:rPr>
          <w:rFonts w:ascii="Century Gothic" w:hAnsi="Century Gothic"/>
        </w:rPr>
        <w:t>a la población usuaria</w:t>
      </w:r>
      <w:r>
        <w:rPr>
          <w:rFonts w:ascii="Century Gothic" w:hAnsi="Century Gothic"/>
        </w:rPr>
        <w:t>,</w:t>
      </w:r>
      <w:r w:rsidRPr="00740CEA">
        <w:rPr>
          <w:rFonts w:ascii="Century Gothic" w:hAnsi="Century Gothic"/>
        </w:rPr>
        <w:t xml:space="preserve"> con lo que estos profesionales se convierten en apoyo resolutivo a los médicos magisteriales y contribuyen con la atención integral en salud a nivel nacional</w:t>
      </w:r>
      <w:r w:rsidR="00501CDA" w:rsidRPr="00740CEA">
        <w:rPr>
          <w:rFonts w:ascii="Century Gothic" w:hAnsi="Century Gothic"/>
        </w:rPr>
        <w:t xml:space="preserve">. </w:t>
      </w:r>
    </w:p>
    <w:p w:rsidR="006938FE" w:rsidRDefault="00755625" w:rsidP="00501CDA">
      <w:pPr>
        <w:jc w:val="both"/>
        <w:rPr>
          <w:rFonts w:ascii="Century Gothic" w:hAnsi="Century Gothic"/>
        </w:rPr>
      </w:pPr>
      <w:r>
        <w:rPr>
          <w:noProof/>
          <w:lang w:eastAsia="es-SV"/>
        </w:rPr>
        <w:drawing>
          <wp:inline distT="0" distB="0" distL="0" distR="0">
            <wp:extent cx="5629275" cy="2295525"/>
            <wp:effectExtent l="19050" t="0" r="9525" b="0"/>
            <wp:docPr id="3" name="Gráfic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a:picLocks noChangeArrowheads="1"/>
                    </pic:cNvPicPr>
                  </pic:nvPicPr>
                  <pic:blipFill>
                    <a:blip r:embed="rId10" cstate="print"/>
                    <a:srcRect/>
                    <a:stretch>
                      <a:fillRect/>
                    </a:stretch>
                  </pic:blipFill>
                  <pic:spPr bwMode="auto">
                    <a:xfrm>
                      <a:off x="0" y="0"/>
                      <a:ext cx="5629275" cy="2295525"/>
                    </a:xfrm>
                    <a:prstGeom prst="rect">
                      <a:avLst/>
                    </a:prstGeom>
                    <a:noFill/>
                    <a:ln w="9525">
                      <a:noFill/>
                      <a:miter lim="800000"/>
                      <a:headEnd/>
                      <a:tailEnd/>
                    </a:ln>
                  </pic:spPr>
                </pic:pic>
              </a:graphicData>
            </a:graphic>
          </wp:inline>
        </w:drawing>
      </w:r>
    </w:p>
    <w:p w:rsidR="006938FE" w:rsidRDefault="006938FE" w:rsidP="00501CDA">
      <w:pPr>
        <w:jc w:val="both"/>
        <w:rPr>
          <w:rFonts w:ascii="Century Gothic" w:hAnsi="Century Gothic"/>
        </w:rPr>
      </w:pPr>
    </w:p>
    <w:tbl>
      <w:tblPr>
        <w:tblW w:w="8580" w:type="dxa"/>
        <w:jc w:val="center"/>
        <w:tblCellMar>
          <w:left w:w="70" w:type="dxa"/>
          <w:right w:w="70" w:type="dxa"/>
        </w:tblCellMar>
        <w:tblLook w:val="04A0"/>
      </w:tblPr>
      <w:tblGrid>
        <w:gridCol w:w="2320"/>
        <w:gridCol w:w="2140"/>
        <w:gridCol w:w="1720"/>
        <w:gridCol w:w="1200"/>
        <w:gridCol w:w="1200"/>
      </w:tblGrid>
      <w:tr w:rsidR="005B0FB8" w:rsidRPr="008D067D" w:rsidTr="00104AD9">
        <w:trPr>
          <w:trHeight w:val="480"/>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ESPECIALIDAD</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JUNIO A DICIEMBRE AÑO 2015</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ENERO  A AGOSTO AÑO 2016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TOTAL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PROMEDIO MENSUAL</w:t>
            </w:r>
          </w:p>
        </w:tc>
      </w:tr>
      <w:tr w:rsidR="005B0FB8" w:rsidRPr="008D067D" w:rsidTr="00104AD9">
        <w:trPr>
          <w:trHeight w:val="30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rPr>
                <w:rFonts w:eastAsia="Times New Roman"/>
                <w:color w:val="000000"/>
                <w:sz w:val="18"/>
                <w:szCs w:val="18"/>
                <w:lang w:eastAsia="es-SV"/>
              </w:rPr>
            </w:pPr>
            <w:r w:rsidRPr="00831E99">
              <w:rPr>
                <w:rFonts w:eastAsia="Times New Roman"/>
                <w:color w:val="000000"/>
                <w:sz w:val="18"/>
                <w:szCs w:val="18"/>
                <w:lang w:eastAsia="es-SV"/>
              </w:rPr>
              <w:t>Medicina Interna</w:t>
            </w:r>
          </w:p>
        </w:tc>
        <w:tc>
          <w:tcPr>
            <w:tcW w:w="214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11,833</w:t>
            </w:r>
          </w:p>
        </w:tc>
        <w:tc>
          <w:tcPr>
            <w:tcW w:w="172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11,667</w:t>
            </w:r>
          </w:p>
        </w:tc>
        <w:tc>
          <w:tcPr>
            <w:tcW w:w="120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23,500</w:t>
            </w:r>
          </w:p>
        </w:tc>
        <w:tc>
          <w:tcPr>
            <w:tcW w:w="1200" w:type="dxa"/>
            <w:tcBorders>
              <w:top w:val="nil"/>
              <w:left w:val="nil"/>
              <w:bottom w:val="single" w:sz="4" w:space="0" w:color="auto"/>
              <w:right w:val="single" w:sz="4" w:space="0" w:color="auto"/>
            </w:tcBorders>
            <w:shd w:val="clear" w:color="auto" w:fill="auto"/>
            <w:vAlign w:val="bottom"/>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1,567</w:t>
            </w:r>
          </w:p>
        </w:tc>
      </w:tr>
      <w:tr w:rsidR="005B0FB8" w:rsidRPr="008D067D" w:rsidTr="00104AD9">
        <w:trPr>
          <w:trHeight w:val="30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rPr>
                <w:rFonts w:eastAsia="Times New Roman"/>
                <w:color w:val="000000"/>
                <w:sz w:val="18"/>
                <w:szCs w:val="18"/>
                <w:lang w:eastAsia="es-SV"/>
              </w:rPr>
            </w:pPr>
            <w:r w:rsidRPr="00831E99">
              <w:rPr>
                <w:rFonts w:eastAsia="Times New Roman"/>
                <w:color w:val="000000"/>
                <w:sz w:val="18"/>
                <w:szCs w:val="18"/>
                <w:lang w:eastAsia="es-SV"/>
              </w:rPr>
              <w:t>Pediatría</w:t>
            </w:r>
          </w:p>
        </w:tc>
        <w:tc>
          <w:tcPr>
            <w:tcW w:w="214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2,629</w:t>
            </w:r>
          </w:p>
        </w:tc>
        <w:tc>
          <w:tcPr>
            <w:tcW w:w="172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2445</w:t>
            </w:r>
          </w:p>
        </w:tc>
        <w:tc>
          <w:tcPr>
            <w:tcW w:w="120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5,074</w:t>
            </w:r>
          </w:p>
        </w:tc>
        <w:tc>
          <w:tcPr>
            <w:tcW w:w="1200" w:type="dxa"/>
            <w:tcBorders>
              <w:top w:val="nil"/>
              <w:left w:val="nil"/>
              <w:bottom w:val="single" w:sz="4" w:space="0" w:color="auto"/>
              <w:right w:val="single" w:sz="4" w:space="0" w:color="auto"/>
            </w:tcBorders>
            <w:shd w:val="clear" w:color="auto" w:fill="auto"/>
            <w:vAlign w:val="bottom"/>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338</w:t>
            </w:r>
          </w:p>
        </w:tc>
      </w:tr>
      <w:tr w:rsidR="005B0FB8" w:rsidRPr="008D067D" w:rsidTr="00104AD9">
        <w:trPr>
          <w:trHeight w:val="30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rPr>
                <w:rFonts w:eastAsia="Times New Roman"/>
                <w:color w:val="000000"/>
                <w:sz w:val="18"/>
                <w:szCs w:val="18"/>
                <w:lang w:eastAsia="es-SV"/>
              </w:rPr>
            </w:pPr>
            <w:r w:rsidRPr="00831E99">
              <w:rPr>
                <w:rFonts w:eastAsia="Times New Roman"/>
                <w:color w:val="000000"/>
                <w:sz w:val="18"/>
                <w:szCs w:val="18"/>
                <w:lang w:eastAsia="es-SV"/>
              </w:rPr>
              <w:t>Ginecología y Obstetricia</w:t>
            </w:r>
          </w:p>
        </w:tc>
        <w:tc>
          <w:tcPr>
            <w:tcW w:w="214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6493</w:t>
            </w:r>
          </w:p>
        </w:tc>
        <w:tc>
          <w:tcPr>
            <w:tcW w:w="172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4203</w:t>
            </w:r>
          </w:p>
        </w:tc>
        <w:tc>
          <w:tcPr>
            <w:tcW w:w="120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10,696</w:t>
            </w:r>
          </w:p>
        </w:tc>
        <w:tc>
          <w:tcPr>
            <w:tcW w:w="1200" w:type="dxa"/>
            <w:tcBorders>
              <w:top w:val="nil"/>
              <w:left w:val="nil"/>
              <w:bottom w:val="single" w:sz="4" w:space="0" w:color="auto"/>
              <w:right w:val="single" w:sz="4" w:space="0" w:color="auto"/>
            </w:tcBorders>
            <w:shd w:val="clear" w:color="auto" w:fill="auto"/>
            <w:vAlign w:val="bottom"/>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713</w:t>
            </w:r>
          </w:p>
        </w:tc>
      </w:tr>
      <w:tr w:rsidR="005B0FB8" w:rsidRPr="008D067D" w:rsidTr="00104AD9">
        <w:trPr>
          <w:trHeight w:val="30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rPr>
                <w:rFonts w:eastAsia="Times New Roman"/>
                <w:color w:val="000000"/>
                <w:sz w:val="18"/>
                <w:szCs w:val="18"/>
                <w:lang w:eastAsia="es-SV"/>
              </w:rPr>
            </w:pPr>
            <w:r w:rsidRPr="00831E99">
              <w:rPr>
                <w:rFonts w:eastAsia="Times New Roman"/>
                <w:color w:val="000000"/>
                <w:sz w:val="18"/>
                <w:szCs w:val="18"/>
                <w:lang w:eastAsia="es-SV"/>
              </w:rPr>
              <w:t>Cirugía</w:t>
            </w:r>
          </w:p>
        </w:tc>
        <w:tc>
          <w:tcPr>
            <w:tcW w:w="214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12,955</w:t>
            </w:r>
          </w:p>
        </w:tc>
        <w:tc>
          <w:tcPr>
            <w:tcW w:w="172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13,739</w:t>
            </w:r>
          </w:p>
        </w:tc>
        <w:tc>
          <w:tcPr>
            <w:tcW w:w="120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26,694</w:t>
            </w:r>
          </w:p>
        </w:tc>
        <w:tc>
          <w:tcPr>
            <w:tcW w:w="1200" w:type="dxa"/>
            <w:tcBorders>
              <w:top w:val="nil"/>
              <w:left w:val="nil"/>
              <w:bottom w:val="single" w:sz="4" w:space="0" w:color="auto"/>
              <w:right w:val="single" w:sz="4" w:space="0" w:color="auto"/>
            </w:tcBorders>
            <w:shd w:val="clear" w:color="auto" w:fill="auto"/>
            <w:vAlign w:val="bottom"/>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1,780</w:t>
            </w:r>
          </w:p>
        </w:tc>
      </w:tr>
      <w:tr w:rsidR="005B0FB8" w:rsidRPr="008D067D" w:rsidTr="00104AD9">
        <w:trPr>
          <w:trHeight w:val="30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5B0FB8" w:rsidRPr="00831E99" w:rsidRDefault="005B0FB8" w:rsidP="00104AD9">
            <w:pPr>
              <w:rPr>
                <w:rFonts w:eastAsia="Times New Roman"/>
                <w:color w:val="000000"/>
                <w:sz w:val="18"/>
                <w:szCs w:val="18"/>
                <w:lang w:eastAsia="es-SV"/>
              </w:rPr>
            </w:pPr>
            <w:r w:rsidRPr="00831E99">
              <w:rPr>
                <w:rFonts w:eastAsia="Times New Roman"/>
                <w:color w:val="000000"/>
                <w:sz w:val="18"/>
                <w:szCs w:val="18"/>
                <w:lang w:eastAsia="es-SV"/>
              </w:rPr>
              <w:t>Total</w:t>
            </w:r>
          </w:p>
        </w:tc>
        <w:tc>
          <w:tcPr>
            <w:tcW w:w="214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33,910</w:t>
            </w:r>
          </w:p>
        </w:tc>
        <w:tc>
          <w:tcPr>
            <w:tcW w:w="172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32,054</w:t>
            </w:r>
          </w:p>
        </w:tc>
        <w:tc>
          <w:tcPr>
            <w:tcW w:w="1200" w:type="dxa"/>
            <w:tcBorders>
              <w:top w:val="nil"/>
              <w:left w:val="nil"/>
              <w:bottom w:val="single" w:sz="4" w:space="0" w:color="auto"/>
              <w:right w:val="single" w:sz="4" w:space="0" w:color="auto"/>
            </w:tcBorders>
            <w:shd w:val="clear" w:color="auto" w:fill="auto"/>
            <w:vAlign w:val="center"/>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65,964</w:t>
            </w:r>
          </w:p>
        </w:tc>
        <w:tc>
          <w:tcPr>
            <w:tcW w:w="1200" w:type="dxa"/>
            <w:tcBorders>
              <w:top w:val="nil"/>
              <w:left w:val="nil"/>
              <w:bottom w:val="single" w:sz="4" w:space="0" w:color="auto"/>
              <w:right w:val="single" w:sz="4" w:space="0" w:color="auto"/>
            </w:tcBorders>
            <w:shd w:val="clear" w:color="auto" w:fill="auto"/>
            <w:vAlign w:val="bottom"/>
            <w:hideMark/>
          </w:tcPr>
          <w:p w:rsidR="005B0FB8" w:rsidRPr="00831E99" w:rsidRDefault="005B0FB8" w:rsidP="00104AD9">
            <w:pPr>
              <w:jc w:val="center"/>
              <w:rPr>
                <w:rFonts w:eastAsia="Times New Roman"/>
                <w:color w:val="000000"/>
                <w:sz w:val="18"/>
                <w:szCs w:val="18"/>
                <w:lang w:eastAsia="es-SV"/>
              </w:rPr>
            </w:pPr>
            <w:r w:rsidRPr="00831E99">
              <w:rPr>
                <w:rFonts w:eastAsia="Times New Roman"/>
                <w:color w:val="000000"/>
                <w:sz w:val="18"/>
                <w:szCs w:val="18"/>
                <w:lang w:eastAsia="es-SV"/>
              </w:rPr>
              <w:t>4,398</w:t>
            </w:r>
          </w:p>
        </w:tc>
      </w:tr>
    </w:tbl>
    <w:p w:rsidR="006938FE" w:rsidRDefault="006938FE" w:rsidP="006938FE">
      <w:pPr>
        <w:jc w:val="both"/>
        <w:rPr>
          <w:rFonts w:ascii="Century Gothic" w:hAnsi="Century Gothic"/>
          <w:sz w:val="18"/>
          <w:szCs w:val="18"/>
        </w:rPr>
      </w:pPr>
      <w:r w:rsidRPr="00740CEA">
        <w:rPr>
          <w:rFonts w:ascii="Century Gothic" w:hAnsi="Century Gothic"/>
          <w:sz w:val="18"/>
          <w:szCs w:val="18"/>
        </w:rPr>
        <w:t xml:space="preserve">   Fuente: </w:t>
      </w:r>
      <w:r>
        <w:rPr>
          <w:rFonts w:ascii="Century Gothic" w:hAnsi="Century Gothic"/>
          <w:sz w:val="18"/>
          <w:szCs w:val="18"/>
        </w:rPr>
        <w:t>Informe</w:t>
      </w:r>
      <w:r w:rsidR="00FE797E">
        <w:rPr>
          <w:rFonts w:ascii="Century Gothic" w:hAnsi="Century Gothic"/>
          <w:sz w:val="18"/>
          <w:szCs w:val="18"/>
        </w:rPr>
        <w:t>s</w:t>
      </w:r>
      <w:r>
        <w:rPr>
          <w:rFonts w:ascii="Century Gothic" w:hAnsi="Century Gothic"/>
          <w:sz w:val="18"/>
          <w:szCs w:val="18"/>
        </w:rPr>
        <w:t xml:space="preserve"> </w:t>
      </w:r>
      <w:r w:rsidR="00FE797E">
        <w:rPr>
          <w:rFonts w:ascii="Century Gothic" w:hAnsi="Century Gothic"/>
          <w:sz w:val="18"/>
          <w:szCs w:val="18"/>
        </w:rPr>
        <w:t>m</w:t>
      </w:r>
      <w:r>
        <w:rPr>
          <w:rFonts w:ascii="Century Gothic" w:hAnsi="Century Gothic"/>
          <w:sz w:val="18"/>
          <w:szCs w:val="18"/>
        </w:rPr>
        <w:t>ensual</w:t>
      </w:r>
      <w:r w:rsidR="00FE797E">
        <w:rPr>
          <w:rFonts w:ascii="Century Gothic" w:hAnsi="Century Gothic"/>
          <w:sz w:val="18"/>
          <w:szCs w:val="18"/>
        </w:rPr>
        <w:t>es</w:t>
      </w:r>
      <w:r>
        <w:rPr>
          <w:rFonts w:ascii="Century Gothic" w:hAnsi="Century Gothic"/>
          <w:sz w:val="18"/>
          <w:szCs w:val="18"/>
        </w:rPr>
        <w:t xml:space="preserve"> de Médicos Especialistas</w:t>
      </w:r>
      <w:r w:rsidRPr="00740CEA">
        <w:rPr>
          <w:rFonts w:ascii="Century Gothic" w:hAnsi="Century Gothic"/>
          <w:sz w:val="18"/>
          <w:szCs w:val="18"/>
        </w:rPr>
        <w:t>.</w:t>
      </w:r>
    </w:p>
    <w:p w:rsidR="006938FE" w:rsidRDefault="006938FE" w:rsidP="00501CDA">
      <w:pPr>
        <w:jc w:val="both"/>
        <w:rPr>
          <w:rFonts w:ascii="Century Gothic" w:hAnsi="Century Gothic"/>
        </w:rPr>
      </w:pPr>
    </w:p>
    <w:p w:rsidR="00501CDA" w:rsidRPr="00740CEA" w:rsidRDefault="00501CDA" w:rsidP="00501CDA">
      <w:pPr>
        <w:jc w:val="both"/>
        <w:rPr>
          <w:rFonts w:ascii="Century Gothic" w:hAnsi="Century Gothic"/>
          <w:sz w:val="24"/>
          <w:szCs w:val="24"/>
        </w:rPr>
      </w:pPr>
    </w:p>
    <w:p w:rsidR="00501CDA" w:rsidRPr="000F5D60" w:rsidRDefault="00501CDA" w:rsidP="00381D10">
      <w:pPr>
        <w:pStyle w:val="Ttulo5"/>
        <w:numPr>
          <w:ilvl w:val="4"/>
          <w:numId w:val="14"/>
        </w:numPr>
        <w:spacing w:after="120"/>
        <w:ind w:left="851"/>
        <w:rPr>
          <w:b/>
        </w:rPr>
      </w:pPr>
      <w:bookmarkStart w:id="27" w:name="_Toc420396710"/>
      <w:bookmarkStart w:id="28" w:name="_Toc467228655"/>
      <w:r w:rsidRPr="000F5D60">
        <w:rPr>
          <w:b/>
        </w:rPr>
        <w:t>Atención hospitalaria</w:t>
      </w:r>
      <w:bookmarkEnd w:id="27"/>
      <w:r w:rsidRPr="000F5D60">
        <w:rPr>
          <w:b/>
        </w:rPr>
        <w:t>.</w:t>
      </w:r>
      <w:bookmarkEnd w:id="28"/>
    </w:p>
    <w:p w:rsidR="000A6A3C" w:rsidRDefault="000A6A3C" w:rsidP="000F5D60">
      <w:pPr>
        <w:spacing w:before="200" w:line="276" w:lineRule="auto"/>
        <w:jc w:val="both"/>
        <w:rPr>
          <w:rFonts w:ascii="Century Gothic" w:hAnsi="Century Gothic"/>
        </w:rPr>
      </w:pPr>
      <w:r w:rsidRPr="00740CEA">
        <w:rPr>
          <w:rFonts w:ascii="Century Gothic" w:hAnsi="Century Gothic"/>
        </w:rPr>
        <w:t>La atención hospitalaria se brindó por medio de 6 hospitales privados y 1 centro de atención especializado en hemodiálisis, todos contratados mediante procedimientos LACAP; además de 21 hospitales del Ministerio de Salud (MINSAL) y el Instituto Salvadoreño de Rehabilitación Integral (ISRI), estos mediante convenios interinstitucionales. Dos grandes ventajas de esta colaboración interinstitucional son: las diferentes capacidades resolutivas de la red hospitalaria y su distribución geográfica a nivel nacional</w:t>
      </w:r>
      <w:r>
        <w:rPr>
          <w:rFonts w:ascii="Century Gothic" w:hAnsi="Century Gothic"/>
        </w:rPr>
        <w:t>.</w:t>
      </w:r>
    </w:p>
    <w:p w:rsidR="00D37E02" w:rsidRPr="00740CEA" w:rsidRDefault="00D37E02" w:rsidP="00D37E02">
      <w:pPr>
        <w:spacing w:before="200" w:line="276" w:lineRule="auto"/>
        <w:jc w:val="both"/>
        <w:rPr>
          <w:rFonts w:ascii="Century Gothic" w:hAnsi="Century Gothic"/>
        </w:rPr>
      </w:pPr>
      <w:r w:rsidRPr="00740CEA">
        <w:rPr>
          <w:rFonts w:ascii="Century Gothic" w:hAnsi="Century Gothic"/>
        </w:rPr>
        <w:t xml:space="preserve">La población usuaria ha sido atendida en los servicios de emergencias, hospitalización, consulta externa especializada, cirugías electivas, despacho de medicamentos y procedimientos especiales como quimioterapias, hemodiálisis y servicio de apoyo diagnóstico. </w:t>
      </w:r>
    </w:p>
    <w:p w:rsidR="00501CDA" w:rsidRDefault="00D37E02" w:rsidP="000F5D60">
      <w:pPr>
        <w:spacing w:before="200" w:line="276" w:lineRule="auto"/>
        <w:jc w:val="both"/>
        <w:rPr>
          <w:rFonts w:ascii="Century Gothic" w:hAnsi="Century Gothic"/>
        </w:rPr>
      </w:pPr>
      <w:r w:rsidRPr="00B03627">
        <w:rPr>
          <w:rFonts w:ascii="Century Gothic" w:hAnsi="Century Gothic"/>
        </w:rPr>
        <w:t>El comparativo de los ingresos hospitalarios, se presentan en la tabla siguiente</w:t>
      </w:r>
      <w:r w:rsidR="00501CDA" w:rsidRPr="00B03627">
        <w:rPr>
          <w:rFonts w:ascii="Century Gothic" w:hAnsi="Century Gothic"/>
        </w:rPr>
        <w:t>:</w:t>
      </w:r>
    </w:p>
    <w:p w:rsidR="00D37E02" w:rsidRPr="00740CEA" w:rsidRDefault="00D37E02" w:rsidP="000F5D60">
      <w:pPr>
        <w:spacing w:before="200" w:line="276" w:lineRule="auto"/>
        <w:jc w:val="both"/>
        <w:rPr>
          <w:rFonts w:ascii="Century Gothic" w:hAnsi="Century Gothic"/>
        </w:rPr>
      </w:pPr>
    </w:p>
    <w:p w:rsidR="00501CDA" w:rsidRPr="00740CEA" w:rsidRDefault="00755625" w:rsidP="00D37E02">
      <w:pPr>
        <w:pStyle w:val="Default"/>
        <w:jc w:val="center"/>
        <w:rPr>
          <w:rFonts w:ascii="Century Gothic" w:hAnsi="Century Gothic"/>
          <w:sz w:val="16"/>
          <w:szCs w:val="16"/>
        </w:rPr>
      </w:pPr>
      <w:r>
        <w:rPr>
          <w:noProof/>
          <w:lang w:eastAsia="es-SV"/>
        </w:rPr>
        <w:drawing>
          <wp:inline distT="0" distB="0" distL="0" distR="0">
            <wp:extent cx="5219700" cy="2581275"/>
            <wp:effectExtent l="19050" t="0" r="0" b="0"/>
            <wp:docPr id="4" name="Gráfico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9"/>
                    <pic:cNvPicPr>
                      <a:picLocks noChangeArrowheads="1"/>
                    </pic:cNvPicPr>
                  </pic:nvPicPr>
                  <pic:blipFill>
                    <a:blip r:embed="rId11" cstate="print"/>
                    <a:srcRect/>
                    <a:stretch>
                      <a:fillRect/>
                    </a:stretch>
                  </pic:blipFill>
                  <pic:spPr bwMode="auto">
                    <a:xfrm>
                      <a:off x="0" y="0"/>
                      <a:ext cx="5219700" cy="2581275"/>
                    </a:xfrm>
                    <a:prstGeom prst="rect">
                      <a:avLst/>
                    </a:prstGeom>
                    <a:noFill/>
                    <a:ln w="9525">
                      <a:noFill/>
                      <a:miter lim="800000"/>
                      <a:headEnd/>
                      <a:tailEnd/>
                    </a:ln>
                  </pic:spPr>
                </pic:pic>
              </a:graphicData>
            </a:graphic>
          </wp:inline>
        </w:drawing>
      </w:r>
    </w:p>
    <w:p w:rsidR="00D37E02" w:rsidRDefault="00501CDA" w:rsidP="00501CDA">
      <w:pPr>
        <w:pStyle w:val="Default"/>
        <w:rPr>
          <w:rFonts w:ascii="Century Gothic" w:hAnsi="Century Gothic"/>
          <w:sz w:val="16"/>
          <w:szCs w:val="16"/>
        </w:rPr>
      </w:pPr>
      <w:r w:rsidRPr="00740CEA">
        <w:rPr>
          <w:rFonts w:ascii="Century Gothic" w:hAnsi="Century Gothic"/>
          <w:sz w:val="16"/>
          <w:szCs w:val="16"/>
        </w:rPr>
        <w:t xml:space="preserve">           </w:t>
      </w:r>
    </w:p>
    <w:p w:rsidR="00384423" w:rsidRDefault="00384423" w:rsidP="00501CDA">
      <w:pPr>
        <w:pStyle w:val="Default"/>
        <w:rPr>
          <w:rFonts w:ascii="Century Gothic" w:hAnsi="Century Gothic"/>
          <w:sz w:val="16"/>
          <w:szCs w:val="16"/>
        </w:rPr>
      </w:pPr>
    </w:p>
    <w:p w:rsidR="00384423" w:rsidRDefault="00384423" w:rsidP="00501CDA">
      <w:pPr>
        <w:pStyle w:val="Default"/>
        <w:rPr>
          <w:rFonts w:ascii="Century Gothic" w:hAnsi="Century Gothic"/>
          <w:sz w:val="16"/>
          <w:szCs w:val="16"/>
        </w:rPr>
      </w:pPr>
    </w:p>
    <w:tbl>
      <w:tblPr>
        <w:tblW w:w="8363" w:type="dxa"/>
        <w:tblInd w:w="354" w:type="dxa"/>
        <w:tblCellMar>
          <w:left w:w="70" w:type="dxa"/>
          <w:right w:w="70" w:type="dxa"/>
        </w:tblCellMar>
        <w:tblLook w:val="04A0"/>
      </w:tblPr>
      <w:tblGrid>
        <w:gridCol w:w="1232"/>
        <w:gridCol w:w="2560"/>
        <w:gridCol w:w="2440"/>
        <w:gridCol w:w="1300"/>
        <w:gridCol w:w="831"/>
      </w:tblGrid>
      <w:tr w:rsidR="00D37E02" w:rsidRPr="008D067D" w:rsidTr="00D37E02">
        <w:trPr>
          <w:trHeight w:val="51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CIRUGÍA</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JUNIO A DICIEMBRE AÑO 2015</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ENERO  A AGOSTO AÑO 2016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TOTAL</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PROMEDIO MENSUAL</w:t>
            </w:r>
          </w:p>
        </w:tc>
      </w:tr>
      <w:tr w:rsidR="00D37E02" w:rsidRPr="008D067D" w:rsidTr="00D37E02">
        <w:trPr>
          <w:trHeight w:val="300"/>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D37E02" w:rsidRPr="00907EB3" w:rsidRDefault="00D37E02" w:rsidP="00104AD9">
            <w:pPr>
              <w:rPr>
                <w:rFonts w:eastAsia="Times New Roman"/>
                <w:color w:val="000000"/>
                <w:sz w:val="14"/>
                <w:szCs w:val="14"/>
                <w:lang w:eastAsia="es-SV"/>
              </w:rPr>
            </w:pPr>
            <w:r w:rsidRPr="00907EB3">
              <w:rPr>
                <w:rFonts w:eastAsia="Times New Roman"/>
                <w:color w:val="000000"/>
                <w:sz w:val="14"/>
                <w:szCs w:val="14"/>
                <w:lang w:eastAsia="es-SV"/>
              </w:rPr>
              <w:t>AMBULATORIA</w:t>
            </w:r>
          </w:p>
        </w:tc>
        <w:tc>
          <w:tcPr>
            <w:tcW w:w="256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824</w:t>
            </w:r>
          </w:p>
        </w:tc>
        <w:tc>
          <w:tcPr>
            <w:tcW w:w="244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1,130</w:t>
            </w:r>
          </w:p>
        </w:tc>
        <w:tc>
          <w:tcPr>
            <w:tcW w:w="130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1,954</w:t>
            </w:r>
          </w:p>
        </w:tc>
        <w:tc>
          <w:tcPr>
            <w:tcW w:w="831" w:type="dxa"/>
            <w:tcBorders>
              <w:top w:val="nil"/>
              <w:left w:val="nil"/>
              <w:bottom w:val="single" w:sz="4" w:space="0" w:color="auto"/>
              <w:right w:val="single" w:sz="4" w:space="0" w:color="auto"/>
            </w:tcBorders>
            <w:shd w:val="clear" w:color="auto" w:fill="auto"/>
            <w:noWrap/>
            <w:vAlign w:val="bottom"/>
            <w:hideMark/>
          </w:tcPr>
          <w:p w:rsidR="00D37E02" w:rsidRPr="00907EB3" w:rsidRDefault="00D37E02" w:rsidP="00104AD9">
            <w:pPr>
              <w:jc w:val="right"/>
              <w:rPr>
                <w:rFonts w:eastAsia="Times New Roman"/>
                <w:color w:val="000000"/>
                <w:sz w:val="14"/>
                <w:szCs w:val="14"/>
                <w:lang w:eastAsia="es-SV"/>
              </w:rPr>
            </w:pPr>
            <w:r w:rsidRPr="00907EB3">
              <w:rPr>
                <w:rFonts w:eastAsia="Times New Roman"/>
                <w:color w:val="000000"/>
                <w:sz w:val="14"/>
                <w:szCs w:val="14"/>
                <w:lang w:eastAsia="es-SV"/>
              </w:rPr>
              <w:t>130</w:t>
            </w:r>
          </w:p>
        </w:tc>
      </w:tr>
      <w:tr w:rsidR="00D37E02" w:rsidRPr="008D067D" w:rsidTr="00D37E02">
        <w:trPr>
          <w:trHeight w:val="300"/>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D37E02" w:rsidRPr="00907EB3" w:rsidRDefault="00D37E02" w:rsidP="00104AD9">
            <w:pPr>
              <w:rPr>
                <w:rFonts w:eastAsia="Times New Roman"/>
                <w:color w:val="000000"/>
                <w:sz w:val="14"/>
                <w:szCs w:val="14"/>
                <w:lang w:eastAsia="es-SV"/>
              </w:rPr>
            </w:pPr>
            <w:r w:rsidRPr="00907EB3">
              <w:rPr>
                <w:rFonts w:eastAsia="Times New Roman"/>
                <w:color w:val="000000"/>
                <w:sz w:val="14"/>
                <w:szCs w:val="14"/>
                <w:lang w:eastAsia="es-SV"/>
              </w:rPr>
              <w:t>EMERGENCIA</w:t>
            </w:r>
          </w:p>
        </w:tc>
        <w:tc>
          <w:tcPr>
            <w:tcW w:w="256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1,756</w:t>
            </w:r>
          </w:p>
        </w:tc>
        <w:tc>
          <w:tcPr>
            <w:tcW w:w="244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1,848</w:t>
            </w:r>
          </w:p>
        </w:tc>
        <w:tc>
          <w:tcPr>
            <w:tcW w:w="130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3,604</w:t>
            </w:r>
          </w:p>
        </w:tc>
        <w:tc>
          <w:tcPr>
            <w:tcW w:w="831" w:type="dxa"/>
            <w:tcBorders>
              <w:top w:val="nil"/>
              <w:left w:val="nil"/>
              <w:bottom w:val="single" w:sz="4" w:space="0" w:color="auto"/>
              <w:right w:val="single" w:sz="4" w:space="0" w:color="auto"/>
            </w:tcBorders>
            <w:shd w:val="clear" w:color="auto" w:fill="auto"/>
            <w:noWrap/>
            <w:vAlign w:val="bottom"/>
            <w:hideMark/>
          </w:tcPr>
          <w:p w:rsidR="00D37E02" w:rsidRPr="00907EB3" w:rsidRDefault="00D37E02" w:rsidP="00104AD9">
            <w:pPr>
              <w:jc w:val="right"/>
              <w:rPr>
                <w:rFonts w:eastAsia="Times New Roman"/>
                <w:color w:val="000000"/>
                <w:sz w:val="14"/>
                <w:szCs w:val="14"/>
                <w:lang w:eastAsia="es-SV"/>
              </w:rPr>
            </w:pPr>
            <w:r w:rsidRPr="00907EB3">
              <w:rPr>
                <w:rFonts w:eastAsia="Times New Roman"/>
                <w:color w:val="000000"/>
                <w:sz w:val="14"/>
                <w:szCs w:val="14"/>
                <w:lang w:eastAsia="es-SV"/>
              </w:rPr>
              <w:t>240</w:t>
            </w:r>
          </w:p>
        </w:tc>
      </w:tr>
      <w:tr w:rsidR="00D37E02" w:rsidRPr="008D067D" w:rsidTr="00D37E02">
        <w:trPr>
          <w:trHeight w:val="300"/>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D37E02" w:rsidRPr="00907EB3" w:rsidRDefault="00D37E02" w:rsidP="00104AD9">
            <w:pPr>
              <w:rPr>
                <w:rFonts w:eastAsia="Times New Roman"/>
                <w:color w:val="000000"/>
                <w:sz w:val="14"/>
                <w:szCs w:val="14"/>
                <w:lang w:eastAsia="es-SV"/>
              </w:rPr>
            </w:pPr>
            <w:r w:rsidRPr="00907EB3">
              <w:rPr>
                <w:rFonts w:eastAsia="Times New Roman"/>
                <w:color w:val="000000"/>
                <w:sz w:val="14"/>
                <w:szCs w:val="14"/>
                <w:lang w:eastAsia="es-SV"/>
              </w:rPr>
              <w:t>ELECTIVA</w:t>
            </w:r>
          </w:p>
        </w:tc>
        <w:tc>
          <w:tcPr>
            <w:tcW w:w="256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749</w:t>
            </w:r>
          </w:p>
        </w:tc>
        <w:tc>
          <w:tcPr>
            <w:tcW w:w="244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1,314</w:t>
            </w:r>
          </w:p>
        </w:tc>
        <w:tc>
          <w:tcPr>
            <w:tcW w:w="1300" w:type="dxa"/>
            <w:tcBorders>
              <w:top w:val="nil"/>
              <w:left w:val="nil"/>
              <w:bottom w:val="single" w:sz="4" w:space="0" w:color="auto"/>
              <w:right w:val="single" w:sz="4" w:space="0" w:color="auto"/>
            </w:tcBorders>
            <w:shd w:val="clear" w:color="auto" w:fill="auto"/>
            <w:vAlign w:val="center"/>
            <w:hideMark/>
          </w:tcPr>
          <w:p w:rsidR="00D37E02" w:rsidRPr="00907EB3" w:rsidRDefault="00D37E02" w:rsidP="00104AD9">
            <w:pPr>
              <w:jc w:val="center"/>
              <w:rPr>
                <w:rFonts w:eastAsia="Times New Roman"/>
                <w:color w:val="000000"/>
                <w:sz w:val="14"/>
                <w:szCs w:val="14"/>
                <w:lang w:eastAsia="es-SV"/>
              </w:rPr>
            </w:pPr>
            <w:r w:rsidRPr="00907EB3">
              <w:rPr>
                <w:rFonts w:eastAsia="Times New Roman"/>
                <w:color w:val="000000"/>
                <w:sz w:val="14"/>
                <w:szCs w:val="14"/>
                <w:lang w:eastAsia="es-SV"/>
              </w:rPr>
              <w:t>2,063</w:t>
            </w:r>
          </w:p>
        </w:tc>
        <w:tc>
          <w:tcPr>
            <w:tcW w:w="831" w:type="dxa"/>
            <w:tcBorders>
              <w:top w:val="nil"/>
              <w:left w:val="nil"/>
              <w:bottom w:val="single" w:sz="4" w:space="0" w:color="auto"/>
              <w:right w:val="single" w:sz="4" w:space="0" w:color="auto"/>
            </w:tcBorders>
            <w:shd w:val="clear" w:color="auto" w:fill="auto"/>
            <w:noWrap/>
            <w:vAlign w:val="bottom"/>
            <w:hideMark/>
          </w:tcPr>
          <w:p w:rsidR="00D37E02" w:rsidRPr="00907EB3" w:rsidRDefault="00D37E02" w:rsidP="00104AD9">
            <w:pPr>
              <w:jc w:val="right"/>
              <w:rPr>
                <w:rFonts w:eastAsia="Times New Roman"/>
                <w:color w:val="000000"/>
                <w:sz w:val="14"/>
                <w:szCs w:val="14"/>
                <w:lang w:eastAsia="es-SV"/>
              </w:rPr>
            </w:pPr>
            <w:r w:rsidRPr="00907EB3">
              <w:rPr>
                <w:rFonts w:eastAsia="Times New Roman"/>
                <w:color w:val="000000"/>
                <w:sz w:val="14"/>
                <w:szCs w:val="14"/>
                <w:lang w:eastAsia="es-SV"/>
              </w:rPr>
              <w:t>138</w:t>
            </w:r>
          </w:p>
        </w:tc>
      </w:tr>
    </w:tbl>
    <w:p w:rsidR="00501CDA" w:rsidRPr="00740CEA" w:rsidRDefault="00D37E02" w:rsidP="00501CDA">
      <w:pPr>
        <w:pStyle w:val="Default"/>
        <w:rPr>
          <w:rFonts w:ascii="Century Gothic" w:hAnsi="Century Gothic"/>
          <w:sz w:val="16"/>
          <w:szCs w:val="16"/>
        </w:rPr>
      </w:pPr>
      <w:r>
        <w:rPr>
          <w:rFonts w:ascii="Century Gothic" w:hAnsi="Century Gothic"/>
          <w:sz w:val="16"/>
          <w:szCs w:val="16"/>
        </w:rPr>
        <w:t xml:space="preserve">       </w:t>
      </w:r>
      <w:r w:rsidR="00FE797E">
        <w:rPr>
          <w:rFonts w:ascii="Century Gothic" w:hAnsi="Century Gothic"/>
          <w:sz w:val="16"/>
          <w:szCs w:val="16"/>
        </w:rPr>
        <w:t>Fuente: I</w:t>
      </w:r>
      <w:r w:rsidR="00501CDA" w:rsidRPr="00740CEA">
        <w:rPr>
          <w:rFonts w:ascii="Century Gothic" w:hAnsi="Century Gothic"/>
          <w:sz w:val="16"/>
          <w:szCs w:val="16"/>
        </w:rPr>
        <w:t>nformes mensuales de proveedores de Hospitales.</w:t>
      </w:r>
    </w:p>
    <w:p w:rsidR="00501CDA" w:rsidRDefault="00501CDA" w:rsidP="00BE4A02">
      <w:pPr>
        <w:jc w:val="both"/>
        <w:rPr>
          <w:rFonts w:ascii="Century Gothic" w:hAnsi="Century Gothic"/>
        </w:rPr>
      </w:pPr>
    </w:p>
    <w:p w:rsidR="000B73E0" w:rsidRDefault="000B73E0" w:rsidP="00BE4A02">
      <w:pPr>
        <w:jc w:val="both"/>
        <w:rPr>
          <w:rFonts w:ascii="Century Gothic" w:hAnsi="Century Gothic"/>
        </w:rPr>
      </w:pPr>
    </w:p>
    <w:p w:rsidR="002A2F8C" w:rsidRDefault="00755625" w:rsidP="002A2F8C">
      <w:pPr>
        <w:jc w:val="center"/>
        <w:rPr>
          <w:rFonts w:ascii="Century Gothic" w:hAnsi="Century Gothic"/>
        </w:rPr>
      </w:pPr>
      <w:r>
        <w:rPr>
          <w:noProof/>
          <w:lang w:eastAsia="es-SV"/>
        </w:rPr>
        <w:drawing>
          <wp:inline distT="0" distB="0" distL="0" distR="0">
            <wp:extent cx="4429125" cy="1952625"/>
            <wp:effectExtent l="19050" t="0" r="9525" b="0"/>
            <wp:docPr id="5" name="Gráfic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0"/>
                    <pic:cNvPicPr>
                      <a:picLocks noChangeArrowheads="1"/>
                    </pic:cNvPicPr>
                  </pic:nvPicPr>
                  <pic:blipFill>
                    <a:blip r:embed="rId12" cstate="print"/>
                    <a:srcRect/>
                    <a:stretch>
                      <a:fillRect/>
                    </a:stretch>
                  </pic:blipFill>
                  <pic:spPr bwMode="auto">
                    <a:xfrm>
                      <a:off x="0" y="0"/>
                      <a:ext cx="4429125" cy="1952625"/>
                    </a:xfrm>
                    <a:prstGeom prst="rect">
                      <a:avLst/>
                    </a:prstGeom>
                    <a:noFill/>
                    <a:ln w="9525">
                      <a:noFill/>
                      <a:miter lim="800000"/>
                      <a:headEnd/>
                      <a:tailEnd/>
                    </a:ln>
                  </pic:spPr>
                </pic:pic>
              </a:graphicData>
            </a:graphic>
          </wp:inline>
        </w:drawing>
      </w:r>
    </w:p>
    <w:p w:rsidR="002A2F8C" w:rsidRDefault="002A2F8C" w:rsidP="002A2F8C">
      <w:pPr>
        <w:jc w:val="center"/>
        <w:rPr>
          <w:rFonts w:ascii="Century Gothic" w:hAnsi="Century Gothic"/>
        </w:rPr>
      </w:pPr>
    </w:p>
    <w:tbl>
      <w:tblPr>
        <w:tblW w:w="7960" w:type="dxa"/>
        <w:jc w:val="center"/>
        <w:tblCellMar>
          <w:left w:w="70" w:type="dxa"/>
          <w:right w:w="70" w:type="dxa"/>
        </w:tblCellMar>
        <w:tblLook w:val="04A0"/>
      </w:tblPr>
      <w:tblGrid>
        <w:gridCol w:w="3220"/>
        <w:gridCol w:w="2480"/>
        <w:gridCol w:w="2260"/>
      </w:tblGrid>
      <w:tr w:rsidR="002A2F8C" w:rsidRPr="008D067D" w:rsidTr="00104AD9">
        <w:trPr>
          <w:trHeight w:val="40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PARTOS ATENDIDOS</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JUNIO A DICIEMBRE AÑO 2015</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ENERO  A AGOSTO AÑO 2016</w:t>
            </w:r>
          </w:p>
        </w:tc>
      </w:tr>
      <w:tr w:rsidR="002A2F8C" w:rsidRPr="008D067D" w:rsidTr="00104AD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rPr>
                <w:rFonts w:eastAsia="Times New Roman"/>
                <w:color w:val="000000"/>
                <w:sz w:val="18"/>
                <w:szCs w:val="18"/>
                <w:lang w:eastAsia="es-SV"/>
              </w:rPr>
            </w:pPr>
            <w:r w:rsidRPr="00907EB3">
              <w:rPr>
                <w:rFonts w:eastAsia="Times New Roman"/>
                <w:color w:val="000000"/>
                <w:sz w:val="18"/>
                <w:szCs w:val="18"/>
                <w:lang w:eastAsia="es-SV"/>
              </w:rPr>
              <w:t>VAGINAL</w:t>
            </w:r>
          </w:p>
        </w:tc>
        <w:tc>
          <w:tcPr>
            <w:tcW w:w="2480" w:type="dxa"/>
            <w:tcBorders>
              <w:top w:val="nil"/>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88</w:t>
            </w:r>
          </w:p>
        </w:tc>
        <w:tc>
          <w:tcPr>
            <w:tcW w:w="2260" w:type="dxa"/>
            <w:tcBorders>
              <w:top w:val="nil"/>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99</w:t>
            </w:r>
          </w:p>
        </w:tc>
      </w:tr>
      <w:tr w:rsidR="002A2F8C" w:rsidRPr="008D067D" w:rsidTr="00104AD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rPr>
                <w:rFonts w:eastAsia="Times New Roman"/>
                <w:color w:val="000000"/>
                <w:sz w:val="18"/>
                <w:szCs w:val="18"/>
                <w:lang w:eastAsia="es-SV"/>
              </w:rPr>
            </w:pPr>
            <w:r w:rsidRPr="00907EB3">
              <w:rPr>
                <w:rFonts w:eastAsia="Times New Roman"/>
                <w:color w:val="000000"/>
                <w:sz w:val="18"/>
                <w:szCs w:val="18"/>
                <w:lang w:eastAsia="es-SV"/>
              </w:rPr>
              <w:t>CESÁREA</w:t>
            </w:r>
          </w:p>
        </w:tc>
        <w:tc>
          <w:tcPr>
            <w:tcW w:w="2480" w:type="dxa"/>
            <w:tcBorders>
              <w:top w:val="nil"/>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227</w:t>
            </w:r>
          </w:p>
        </w:tc>
        <w:tc>
          <w:tcPr>
            <w:tcW w:w="2260" w:type="dxa"/>
            <w:tcBorders>
              <w:top w:val="nil"/>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210</w:t>
            </w:r>
          </w:p>
        </w:tc>
      </w:tr>
      <w:tr w:rsidR="002A2F8C" w:rsidRPr="008D067D" w:rsidTr="00104AD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rPr>
                <w:rFonts w:eastAsia="Times New Roman"/>
                <w:color w:val="000000"/>
                <w:sz w:val="18"/>
                <w:szCs w:val="18"/>
                <w:lang w:eastAsia="es-SV"/>
              </w:rPr>
            </w:pPr>
            <w:r w:rsidRPr="00907EB3">
              <w:rPr>
                <w:rFonts w:eastAsia="Times New Roman"/>
                <w:color w:val="000000"/>
                <w:sz w:val="18"/>
                <w:szCs w:val="18"/>
                <w:lang w:eastAsia="es-SV"/>
              </w:rPr>
              <w:t>PROMEDIO MENSUAL VAGINAL</w:t>
            </w:r>
          </w:p>
        </w:tc>
        <w:tc>
          <w:tcPr>
            <w:tcW w:w="2480" w:type="dxa"/>
            <w:tcBorders>
              <w:top w:val="nil"/>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15</w:t>
            </w:r>
          </w:p>
        </w:tc>
        <w:tc>
          <w:tcPr>
            <w:tcW w:w="2260" w:type="dxa"/>
            <w:tcBorders>
              <w:top w:val="nil"/>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17</w:t>
            </w:r>
          </w:p>
        </w:tc>
      </w:tr>
      <w:tr w:rsidR="002A2F8C" w:rsidRPr="008D067D" w:rsidTr="00104AD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rPr>
                <w:rFonts w:eastAsia="Times New Roman"/>
                <w:color w:val="000000"/>
                <w:sz w:val="18"/>
                <w:szCs w:val="18"/>
                <w:lang w:eastAsia="es-SV"/>
              </w:rPr>
            </w:pPr>
            <w:r w:rsidRPr="00907EB3">
              <w:rPr>
                <w:rFonts w:eastAsia="Times New Roman"/>
                <w:color w:val="000000"/>
                <w:sz w:val="18"/>
                <w:szCs w:val="18"/>
                <w:lang w:eastAsia="es-SV"/>
              </w:rPr>
              <w:t>PROMEDIO MENSUAL CESÁREA</w:t>
            </w:r>
          </w:p>
        </w:tc>
        <w:tc>
          <w:tcPr>
            <w:tcW w:w="2480" w:type="dxa"/>
            <w:tcBorders>
              <w:top w:val="nil"/>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38</w:t>
            </w:r>
          </w:p>
        </w:tc>
        <w:tc>
          <w:tcPr>
            <w:tcW w:w="2260" w:type="dxa"/>
            <w:tcBorders>
              <w:top w:val="nil"/>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35</w:t>
            </w:r>
          </w:p>
        </w:tc>
      </w:tr>
      <w:tr w:rsidR="002A2F8C" w:rsidRPr="008D067D" w:rsidTr="00104AD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Total</w:t>
            </w:r>
          </w:p>
        </w:tc>
        <w:tc>
          <w:tcPr>
            <w:tcW w:w="2480" w:type="dxa"/>
            <w:tcBorders>
              <w:top w:val="nil"/>
              <w:left w:val="nil"/>
              <w:bottom w:val="single" w:sz="4" w:space="0" w:color="auto"/>
              <w:right w:val="single" w:sz="4" w:space="0" w:color="auto"/>
            </w:tcBorders>
            <w:shd w:val="clear" w:color="auto" w:fill="auto"/>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315</w:t>
            </w:r>
          </w:p>
        </w:tc>
        <w:tc>
          <w:tcPr>
            <w:tcW w:w="2260" w:type="dxa"/>
            <w:tcBorders>
              <w:top w:val="nil"/>
              <w:left w:val="nil"/>
              <w:bottom w:val="single" w:sz="4" w:space="0" w:color="auto"/>
              <w:right w:val="single" w:sz="4" w:space="0" w:color="auto"/>
            </w:tcBorders>
            <w:shd w:val="clear" w:color="auto" w:fill="auto"/>
            <w:noWrap/>
            <w:vAlign w:val="center"/>
            <w:hideMark/>
          </w:tcPr>
          <w:p w:rsidR="002A2F8C" w:rsidRPr="00907EB3" w:rsidRDefault="002A2F8C" w:rsidP="00104AD9">
            <w:pPr>
              <w:jc w:val="center"/>
              <w:rPr>
                <w:rFonts w:eastAsia="Times New Roman"/>
                <w:color w:val="000000"/>
                <w:sz w:val="18"/>
                <w:szCs w:val="18"/>
                <w:lang w:eastAsia="es-SV"/>
              </w:rPr>
            </w:pPr>
            <w:r w:rsidRPr="00907EB3">
              <w:rPr>
                <w:rFonts w:eastAsia="Times New Roman"/>
                <w:color w:val="000000"/>
                <w:sz w:val="18"/>
                <w:szCs w:val="18"/>
                <w:lang w:eastAsia="es-SV"/>
              </w:rPr>
              <w:t>309</w:t>
            </w:r>
          </w:p>
        </w:tc>
      </w:tr>
    </w:tbl>
    <w:p w:rsidR="00384423" w:rsidRDefault="00384423" w:rsidP="002A2F8C">
      <w:pPr>
        <w:jc w:val="center"/>
        <w:rPr>
          <w:rFonts w:ascii="Century Gothic" w:hAnsi="Century Gothic"/>
          <w:b/>
        </w:rPr>
      </w:pPr>
    </w:p>
    <w:p w:rsidR="00384423" w:rsidRDefault="00384423" w:rsidP="002A2F8C">
      <w:pPr>
        <w:jc w:val="center"/>
        <w:rPr>
          <w:rFonts w:ascii="Century Gothic" w:hAnsi="Century Gothic"/>
          <w:b/>
        </w:rPr>
      </w:pPr>
    </w:p>
    <w:p w:rsidR="002A2F8C" w:rsidRPr="002A2F8C" w:rsidRDefault="002A2F8C" w:rsidP="002A2F8C">
      <w:pPr>
        <w:jc w:val="center"/>
        <w:rPr>
          <w:rFonts w:ascii="Century Gothic" w:hAnsi="Century Gothic"/>
          <w:b/>
        </w:rPr>
      </w:pPr>
      <w:r w:rsidRPr="002A2F8C">
        <w:rPr>
          <w:rFonts w:ascii="Century Gothic" w:hAnsi="Century Gothic"/>
          <w:b/>
        </w:rPr>
        <w:t>Atención de Usuarios con insuficiencia Renal:</w:t>
      </w:r>
    </w:p>
    <w:p w:rsidR="002A2F8C" w:rsidRDefault="002A2F8C" w:rsidP="002A2F8C">
      <w:pPr>
        <w:jc w:val="center"/>
        <w:rPr>
          <w:rFonts w:ascii="Century Gothic" w:hAnsi="Century Gothic"/>
        </w:rPr>
      </w:pPr>
      <w:r>
        <w:rPr>
          <w:rFonts w:ascii="Century Gothic" w:hAnsi="Century Gothic"/>
        </w:rPr>
        <w:t>Año 2015: 90 usuarios</w:t>
      </w:r>
    </w:p>
    <w:p w:rsidR="002A2F8C" w:rsidRDefault="002A2F8C" w:rsidP="002A2F8C">
      <w:pPr>
        <w:jc w:val="center"/>
        <w:rPr>
          <w:rFonts w:ascii="Century Gothic" w:hAnsi="Century Gothic"/>
          <w:sz w:val="20"/>
          <w:szCs w:val="20"/>
        </w:rPr>
      </w:pPr>
    </w:p>
    <w:p w:rsidR="002A2F8C" w:rsidRPr="00047B3D" w:rsidRDefault="002A2F8C" w:rsidP="002A2F8C">
      <w:pPr>
        <w:jc w:val="center"/>
        <w:rPr>
          <w:rFonts w:ascii="Century Gothic" w:hAnsi="Century Gothic"/>
          <w:sz w:val="20"/>
          <w:szCs w:val="20"/>
        </w:rPr>
      </w:pPr>
      <w:r w:rsidRPr="00047B3D">
        <w:rPr>
          <w:rFonts w:ascii="Century Gothic" w:hAnsi="Century Gothic"/>
          <w:sz w:val="20"/>
          <w:szCs w:val="20"/>
        </w:rPr>
        <w:t>ENERO A MAYO AÑO 2016</w:t>
      </w:r>
    </w:p>
    <w:tbl>
      <w:tblPr>
        <w:tblW w:w="5896" w:type="dxa"/>
        <w:jc w:val="center"/>
        <w:tblCellMar>
          <w:left w:w="70" w:type="dxa"/>
          <w:right w:w="70" w:type="dxa"/>
        </w:tblCellMar>
        <w:tblLook w:val="04A0"/>
      </w:tblPr>
      <w:tblGrid>
        <w:gridCol w:w="2268"/>
        <w:gridCol w:w="1644"/>
        <w:gridCol w:w="1984"/>
      </w:tblGrid>
      <w:tr w:rsidR="002A2F8C" w:rsidRPr="008D067D" w:rsidTr="00104AD9">
        <w:trPr>
          <w:trHeight w:val="510"/>
          <w:jc w:val="center"/>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b/>
                <w:bCs/>
                <w:sz w:val="16"/>
                <w:szCs w:val="16"/>
                <w:lang w:eastAsia="es-SV"/>
              </w:rPr>
            </w:pPr>
            <w:r w:rsidRPr="009152A4">
              <w:rPr>
                <w:rFonts w:eastAsia="Times New Roman"/>
                <w:b/>
                <w:bCs/>
                <w:sz w:val="16"/>
                <w:szCs w:val="16"/>
                <w:lang w:eastAsia="es-SV"/>
              </w:rPr>
              <w:t>CENTRO DE ATENCIÓN</w:t>
            </w:r>
          </w:p>
        </w:tc>
        <w:tc>
          <w:tcPr>
            <w:tcW w:w="1644" w:type="dxa"/>
            <w:tcBorders>
              <w:top w:val="single" w:sz="4" w:space="0" w:color="auto"/>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b/>
                <w:bCs/>
                <w:sz w:val="16"/>
                <w:szCs w:val="16"/>
                <w:lang w:eastAsia="es-SV"/>
              </w:rPr>
            </w:pPr>
            <w:r w:rsidRPr="009152A4">
              <w:rPr>
                <w:rFonts w:eastAsia="Times New Roman"/>
                <w:b/>
                <w:bCs/>
                <w:sz w:val="16"/>
                <w:szCs w:val="16"/>
                <w:lang w:eastAsia="es-SV"/>
              </w:rPr>
              <w:t>MUNICIPIO</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b/>
                <w:bCs/>
                <w:sz w:val="16"/>
                <w:szCs w:val="16"/>
                <w:lang w:eastAsia="es-SV"/>
              </w:rPr>
            </w:pPr>
            <w:r w:rsidRPr="009152A4">
              <w:rPr>
                <w:rFonts w:eastAsia="Times New Roman"/>
                <w:b/>
                <w:bCs/>
                <w:sz w:val="16"/>
                <w:szCs w:val="16"/>
                <w:lang w:eastAsia="es-SV"/>
              </w:rPr>
              <w:t>NÚMERO DE PACIENTES HEMODIÁLISIS</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MEDICAL SERVICIE</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SAN SALVADOR</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28</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HOSPITAL ROSALES</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SAN SALVADOR</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21</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 xml:space="preserve">HOSPITAL GUADALUPANO </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COJUTEPEQUE</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5</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 xml:space="preserve">HOSPITAL SAN JUAN DIOS   </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SANTA ANA</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4</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 xml:space="preserve">CLÍNICA PRIVADA </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SANTA ANA</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5</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CLÍNICA PRIVADA</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 xml:space="preserve">SAN MIGUEL </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11</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 xml:space="preserve">HOSPITAL SAN JUAN DIOS   </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 xml:space="preserve">SAN MIGUEL </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9</w:t>
            </w:r>
          </w:p>
        </w:tc>
      </w:tr>
      <w:tr w:rsidR="002A2F8C" w:rsidRPr="008D067D" w:rsidTr="00104AD9">
        <w:trPr>
          <w:trHeight w:val="283"/>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A2F8C" w:rsidRPr="009152A4" w:rsidRDefault="002A2F8C" w:rsidP="00104AD9">
            <w:pPr>
              <w:rPr>
                <w:rFonts w:eastAsia="Times New Roman"/>
                <w:b/>
                <w:bCs/>
                <w:sz w:val="16"/>
                <w:szCs w:val="16"/>
                <w:lang w:eastAsia="es-SV"/>
              </w:rPr>
            </w:pPr>
            <w:r w:rsidRPr="009152A4">
              <w:rPr>
                <w:rFonts w:eastAsia="Times New Roman"/>
                <w:b/>
                <w:bCs/>
                <w:sz w:val="16"/>
                <w:szCs w:val="16"/>
                <w:lang w:eastAsia="es-SV"/>
              </w:rPr>
              <w:t>TOTAL A NIVEL NACIONAL</w:t>
            </w:r>
          </w:p>
        </w:tc>
        <w:tc>
          <w:tcPr>
            <w:tcW w:w="164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 7</w:t>
            </w:r>
          </w:p>
        </w:tc>
        <w:tc>
          <w:tcPr>
            <w:tcW w:w="1984" w:type="dxa"/>
            <w:tcBorders>
              <w:top w:val="nil"/>
              <w:left w:val="nil"/>
              <w:bottom w:val="single" w:sz="4" w:space="0" w:color="auto"/>
              <w:right w:val="single" w:sz="4" w:space="0" w:color="auto"/>
            </w:tcBorders>
            <w:shd w:val="clear" w:color="000000" w:fill="FFFFFF"/>
            <w:vAlign w:val="center"/>
            <w:hideMark/>
          </w:tcPr>
          <w:p w:rsidR="002A2F8C" w:rsidRPr="009152A4" w:rsidRDefault="002A2F8C" w:rsidP="00104AD9">
            <w:pPr>
              <w:jc w:val="center"/>
              <w:rPr>
                <w:rFonts w:eastAsia="Times New Roman"/>
                <w:sz w:val="16"/>
                <w:szCs w:val="16"/>
                <w:lang w:eastAsia="es-SV"/>
              </w:rPr>
            </w:pPr>
            <w:r w:rsidRPr="009152A4">
              <w:rPr>
                <w:rFonts w:eastAsia="Times New Roman"/>
                <w:sz w:val="16"/>
                <w:szCs w:val="16"/>
                <w:lang w:eastAsia="es-SV"/>
              </w:rPr>
              <w:t>83</w:t>
            </w:r>
          </w:p>
        </w:tc>
      </w:tr>
    </w:tbl>
    <w:p w:rsidR="00F42306" w:rsidRPr="00047B3D" w:rsidRDefault="00F42306" w:rsidP="00F42306">
      <w:pPr>
        <w:jc w:val="center"/>
        <w:rPr>
          <w:rFonts w:ascii="Century Gothic" w:hAnsi="Century Gothic"/>
          <w:sz w:val="12"/>
          <w:szCs w:val="12"/>
        </w:rPr>
      </w:pPr>
      <w:r w:rsidRPr="00047B3D">
        <w:rPr>
          <w:rFonts w:ascii="Century Gothic" w:hAnsi="Century Gothic"/>
          <w:sz w:val="12"/>
          <w:szCs w:val="12"/>
        </w:rPr>
        <w:t>Fuente: Informe Mensual de Proveedores Médicos Hospitalarios</w:t>
      </w:r>
    </w:p>
    <w:p w:rsidR="002A2F8C" w:rsidRDefault="002A2F8C" w:rsidP="00BE4A02">
      <w:pPr>
        <w:jc w:val="both"/>
        <w:rPr>
          <w:rFonts w:ascii="Century Gothic" w:hAnsi="Century Gothic"/>
        </w:rPr>
      </w:pPr>
    </w:p>
    <w:p w:rsidR="00BE4A02" w:rsidRPr="000F5D60" w:rsidRDefault="00BE4A02" w:rsidP="00381D10">
      <w:pPr>
        <w:pStyle w:val="Ttulo5"/>
        <w:numPr>
          <w:ilvl w:val="4"/>
          <w:numId w:val="14"/>
        </w:numPr>
        <w:spacing w:after="120"/>
        <w:ind w:left="851"/>
        <w:rPr>
          <w:b/>
        </w:rPr>
      </w:pPr>
      <w:bookmarkStart w:id="29" w:name="_Toc420396706"/>
      <w:bookmarkStart w:id="30" w:name="_Toc467228656"/>
      <w:r w:rsidRPr="000F5D60">
        <w:rPr>
          <w:b/>
        </w:rPr>
        <w:t>Proyecto educación del cerebro</w:t>
      </w:r>
      <w:bookmarkEnd w:id="29"/>
      <w:r w:rsidR="000B73E0" w:rsidRPr="000F5D60">
        <w:rPr>
          <w:b/>
        </w:rPr>
        <w:t>.</w:t>
      </w:r>
      <w:bookmarkEnd w:id="30"/>
    </w:p>
    <w:p w:rsidR="00A32C9E" w:rsidRPr="00381593" w:rsidRDefault="00A32C9E" w:rsidP="00A32C9E">
      <w:pPr>
        <w:spacing w:before="200" w:line="276" w:lineRule="auto"/>
        <w:jc w:val="both"/>
        <w:rPr>
          <w:rFonts w:ascii="Century Gothic" w:hAnsi="Century Gothic"/>
        </w:rPr>
      </w:pPr>
      <w:r w:rsidRPr="00A32C9E">
        <w:rPr>
          <w:rFonts w:ascii="Century Gothic" w:hAnsi="Century Gothic"/>
        </w:rPr>
        <w:t xml:space="preserve">Durante el año 2015, el ISBM </w:t>
      </w:r>
      <w:r w:rsidR="002E7AC5" w:rsidRPr="00A32C9E">
        <w:rPr>
          <w:rFonts w:ascii="Century Gothic" w:hAnsi="Century Gothic"/>
        </w:rPr>
        <w:t>continuó el</w:t>
      </w:r>
      <w:r w:rsidRPr="00A32C9E">
        <w:rPr>
          <w:rFonts w:ascii="Century Gothic" w:hAnsi="Century Gothic"/>
        </w:rPr>
        <w:t xml:space="preserve"> proyecto de Educación del Cerebro impartida por IBREA, por sus siglas </w:t>
      </w:r>
      <w:r w:rsidR="002E7AC5" w:rsidRPr="00A32C9E">
        <w:rPr>
          <w:rFonts w:ascii="Century Gothic" w:hAnsi="Century Gothic"/>
        </w:rPr>
        <w:t>del inglés</w:t>
      </w:r>
      <w:r w:rsidRPr="00A32C9E">
        <w:rPr>
          <w:rFonts w:ascii="Century Gothic" w:hAnsi="Century Gothic"/>
        </w:rPr>
        <w:t xml:space="preserve"> (International Brain Education </w:t>
      </w:r>
      <w:r w:rsidR="002E7AC5" w:rsidRPr="00A32C9E">
        <w:rPr>
          <w:rFonts w:ascii="Century Gothic" w:hAnsi="Century Gothic"/>
        </w:rPr>
        <w:t>Association) en</w:t>
      </w:r>
      <w:r w:rsidRPr="00A32C9E">
        <w:rPr>
          <w:rFonts w:ascii="Century Gothic" w:hAnsi="Century Gothic"/>
        </w:rPr>
        <w:t xml:space="preserve"> el marco del convenio ISBM-MINED-IBREA, en dicho proyecto se sigue beneficiando a personal administrativo y docente del Ministerio de Educación, así como personal de salud del ISBM a nivel nacional, el programa consta de sesiones </w:t>
      </w:r>
      <w:r w:rsidRPr="002E7AC5">
        <w:rPr>
          <w:rFonts w:ascii="Century Gothic" w:hAnsi="Century Gothic"/>
        </w:rPr>
        <w:t>presenciales teóricas y prácticas, así como evaluaciones de los contenidos del curso.</w:t>
      </w:r>
      <w:r w:rsidR="002E7AC5" w:rsidRPr="002E7AC5">
        <w:rPr>
          <w:rFonts w:ascii="Century Gothic" w:hAnsi="Century Gothic"/>
        </w:rPr>
        <w:t xml:space="preserve"> </w:t>
      </w:r>
      <w:r w:rsidR="002E7AC5" w:rsidRPr="00381593">
        <w:rPr>
          <w:rFonts w:ascii="Century Gothic" w:hAnsi="Century Gothic"/>
        </w:rPr>
        <w:t>Empleados beneficiados del ISBM 53, empleados del MINED 1,147.</w:t>
      </w:r>
    </w:p>
    <w:p w:rsidR="00A32C9E" w:rsidRPr="00A32C9E" w:rsidRDefault="00A32C9E" w:rsidP="00A32C9E">
      <w:pPr>
        <w:spacing w:before="200" w:line="276" w:lineRule="auto"/>
        <w:jc w:val="both"/>
        <w:rPr>
          <w:rFonts w:ascii="Century Gothic" w:hAnsi="Century Gothic"/>
        </w:rPr>
      </w:pPr>
      <w:r w:rsidRPr="00A32C9E">
        <w:rPr>
          <w:rFonts w:ascii="Century Gothic" w:hAnsi="Century Gothic"/>
        </w:rPr>
        <w:t>Al finalizar el curso, se acreditaron 130 Instructores y 1,200 graduados aproximadamente empleados del MINED e ISBM el cual fue desarrollado a nivel nacional.  Este proyecto continuará para incrementar el número de docentes capacitados/as en estas metodologías, el ISBM está trabajando en la atención integral del docente, favoreciendo una cultura de paz en el sistema educativo salvadoreño a través de la mejora de la salud, el manejo del estrés, la autoestima y la capacidad cognitiva y la toma de decisiones</w:t>
      </w:r>
      <w:r w:rsidR="002E7AC5">
        <w:rPr>
          <w:rFonts w:ascii="Century Gothic" w:hAnsi="Century Gothic"/>
        </w:rPr>
        <w:t>.</w:t>
      </w:r>
    </w:p>
    <w:p w:rsidR="00381593" w:rsidRDefault="00381593" w:rsidP="00A32C9E">
      <w:pPr>
        <w:spacing w:before="200" w:line="276" w:lineRule="auto"/>
        <w:jc w:val="both"/>
        <w:rPr>
          <w:rFonts w:ascii="Century Gothic" w:hAnsi="Century Gothic"/>
        </w:rPr>
      </w:pPr>
    </w:p>
    <w:p w:rsidR="00B26CC9" w:rsidRPr="00381593" w:rsidRDefault="00A32C9E" w:rsidP="00A32C9E">
      <w:pPr>
        <w:spacing w:before="200" w:line="276" w:lineRule="auto"/>
        <w:jc w:val="both"/>
        <w:rPr>
          <w:rFonts w:ascii="Century Gothic" w:hAnsi="Century Gothic"/>
        </w:rPr>
      </w:pPr>
      <w:r w:rsidRPr="00A32C9E">
        <w:rPr>
          <w:rFonts w:ascii="Century Gothic" w:hAnsi="Century Gothic"/>
        </w:rPr>
        <w:t xml:space="preserve">Para el año 2016 el Consejo Directivo del ISBM, acordó la suscripción de MEMORÁNDUM DE ENTENDIMIENTO con la Organización Internacional para la Educación del Cerebro “IBREA”, el Ministerio de Educación de el Salvador, “MINED”; y el Instituto Salvadoreño de Bienestar Magisterial, “ISBM”, para continuar a nivel nacional </w:t>
      </w:r>
      <w:r w:rsidRPr="00381593">
        <w:rPr>
          <w:rFonts w:ascii="Century Gothic" w:hAnsi="Century Gothic"/>
        </w:rPr>
        <w:t>con el programa “Educación del Cerebro”; donde se tiene proyectado la capacitación y certificación de 210 docentes, los cuales se pretende que capaciten a 2,800 docentes más para que posteriormente sean evaluados por el personal de IBREA</w:t>
      </w:r>
      <w:r w:rsidR="00B26CC9" w:rsidRPr="00381593">
        <w:rPr>
          <w:rFonts w:ascii="Century Gothic" w:hAnsi="Century Gothic"/>
        </w:rPr>
        <w:t>.</w:t>
      </w:r>
    </w:p>
    <w:p w:rsidR="009D1190" w:rsidRPr="00381593" w:rsidRDefault="00B26CC9" w:rsidP="00A32C9E">
      <w:pPr>
        <w:spacing w:before="200" w:line="276" w:lineRule="auto"/>
        <w:jc w:val="both"/>
        <w:rPr>
          <w:rFonts w:ascii="Century Gothic" w:hAnsi="Century Gothic"/>
        </w:rPr>
      </w:pPr>
      <w:r w:rsidRPr="00381593">
        <w:rPr>
          <w:rFonts w:ascii="Century Gothic" w:hAnsi="Century Gothic"/>
        </w:rPr>
        <w:t>Como valor agregado, mencionar que en las instalaciones del CIFCO, el día viernes 2 de diciembre de 2016, con la presencia del Director Presidente de ISBM profesor Rafael Antonio Coto y el Señor Ministro de Educación, Ingeniero Carlos Mauricio Canjura, se desarrolló el acto de clausura del Proyecto de Educación del Cerebro. En dicho acto participaron 275 docentes de los 14 departamentos del país; se entregó diplomas de acreditación de haber cumplido con el programa. Así mismo se presentaron datos de un estudio que realizó Personal médico de ISBM, en el cual se muestran los beneficios del programa en la salud de los participantes; al final del acto, un grupo de participantes desarrolló una presentación de lo aprendido durante el proceso, provocando que todo el pleno se incorporara en los ejercicios.</w:t>
      </w:r>
    </w:p>
    <w:p w:rsidR="00381593" w:rsidRDefault="00381593" w:rsidP="00042A69">
      <w:pPr>
        <w:spacing w:before="200" w:line="276" w:lineRule="auto"/>
        <w:jc w:val="both"/>
        <w:rPr>
          <w:rFonts w:ascii="Century Gothic" w:eastAsia="Times New Roman" w:hAnsi="Century Gothic"/>
          <w:color w:val="002060"/>
          <w:sz w:val="24"/>
          <w:szCs w:val="24"/>
          <w:lang w:eastAsia="es-SV"/>
        </w:rPr>
      </w:pPr>
    </w:p>
    <w:p w:rsidR="00B26CC9" w:rsidRPr="00381593" w:rsidRDefault="00B26CC9" w:rsidP="00042A69">
      <w:pPr>
        <w:spacing w:before="200" w:line="276" w:lineRule="auto"/>
        <w:jc w:val="both"/>
        <w:rPr>
          <w:rFonts w:ascii="Century Gothic" w:eastAsia="Times New Roman" w:hAnsi="Century Gothic"/>
          <w:sz w:val="24"/>
          <w:szCs w:val="24"/>
          <w:lang w:eastAsia="es-SV"/>
        </w:rPr>
      </w:pPr>
      <w:r w:rsidRPr="00381593">
        <w:rPr>
          <w:rFonts w:ascii="Century Gothic" w:eastAsia="Times New Roman" w:hAnsi="Century Gothic"/>
          <w:sz w:val="24"/>
          <w:szCs w:val="24"/>
          <w:lang w:eastAsia="es-SV"/>
        </w:rPr>
        <w:t>Síntesis del evento:</w:t>
      </w:r>
    </w:p>
    <w:p w:rsidR="00042A69" w:rsidRPr="00381593" w:rsidRDefault="00042A69" w:rsidP="00B26CC9">
      <w:pPr>
        <w:pStyle w:val="Prrafodelista"/>
        <w:numPr>
          <w:ilvl w:val="0"/>
          <w:numId w:val="43"/>
        </w:numPr>
        <w:spacing w:before="200"/>
        <w:jc w:val="both"/>
        <w:rPr>
          <w:rFonts w:ascii="Century Gothic" w:eastAsia="Times New Roman" w:hAnsi="Century Gothic"/>
          <w:sz w:val="24"/>
          <w:szCs w:val="24"/>
          <w:lang w:eastAsia="es-SV"/>
        </w:rPr>
      </w:pPr>
      <w:r w:rsidRPr="00381593">
        <w:rPr>
          <w:rFonts w:ascii="Century Gothic" w:eastAsia="Times New Roman" w:hAnsi="Century Gothic"/>
          <w:sz w:val="24"/>
          <w:szCs w:val="24"/>
          <w:lang w:eastAsia="es-SV"/>
        </w:rPr>
        <w:t>Participantes en la clausura:</w:t>
      </w:r>
      <w:r w:rsidR="00B26CC9" w:rsidRPr="00381593">
        <w:rPr>
          <w:rFonts w:ascii="Century Gothic" w:eastAsia="Times New Roman" w:hAnsi="Century Gothic"/>
          <w:sz w:val="24"/>
          <w:szCs w:val="24"/>
          <w:lang w:eastAsia="es-SV"/>
        </w:rPr>
        <w:t xml:space="preserve"> </w:t>
      </w:r>
      <w:r w:rsidRPr="00381593">
        <w:rPr>
          <w:rFonts w:ascii="Century Gothic" w:eastAsia="Times New Roman" w:hAnsi="Century Gothic"/>
          <w:sz w:val="24"/>
          <w:szCs w:val="24"/>
          <w:lang w:eastAsia="es-SV"/>
        </w:rPr>
        <w:t xml:space="preserve"> 275 docentes</w:t>
      </w:r>
    </w:p>
    <w:p w:rsidR="00042A69" w:rsidRPr="00381593" w:rsidRDefault="00042A69" w:rsidP="00B26CC9">
      <w:pPr>
        <w:pStyle w:val="Prrafodelista"/>
        <w:numPr>
          <w:ilvl w:val="0"/>
          <w:numId w:val="43"/>
        </w:numPr>
        <w:spacing w:before="200"/>
        <w:jc w:val="both"/>
        <w:rPr>
          <w:rFonts w:ascii="Century Gothic" w:eastAsia="Times New Roman" w:hAnsi="Century Gothic"/>
          <w:sz w:val="24"/>
          <w:szCs w:val="24"/>
          <w:lang w:eastAsia="es-SV"/>
        </w:rPr>
      </w:pPr>
      <w:r w:rsidRPr="00381593">
        <w:rPr>
          <w:rFonts w:ascii="Century Gothic" w:eastAsia="Times New Roman" w:hAnsi="Century Gothic"/>
          <w:sz w:val="24"/>
          <w:szCs w:val="24"/>
          <w:lang w:eastAsia="es-SV"/>
        </w:rPr>
        <w:t>Participación del Ministro de Educación y Director Presidente del ISBM</w:t>
      </w:r>
    </w:p>
    <w:p w:rsidR="00042A69" w:rsidRPr="00381593" w:rsidRDefault="00042A69" w:rsidP="00B26CC9">
      <w:pPr>
        <w:pStyle w:val="Prrafodelista"/>
        <w:numPr>
          <w:ilvl w:val="0"/>
          <w:numId w:val="43"/>
        </w:numPr>
        <w:spacing w:before="200"/>
        <w:jc w:val="both"/>
        <w:rPr>
          <w:rFonts w:ascii="Century Gothic" w:eastAsia="Times New Roman" w:hAnsi="Century Gothic"/>
          <w:sz w:val="24"/>
          <w:szCs w:val="24"/>
          <w:lang w:eastAsia="es-SV"/>
        </w:rPr>
      </w:pPr>
      <w:r w:rsidRPr="00381593">
        <w:rPr>
          <w:rFonts w:ascii="Century Gothic" w:eastAsia="Times New Roman" w:hAnsi="Century Gothic"/>
          <w:sz w:val="24"/>
          <w:szCs w:val="24"/>
          <w:lang w:eastAsia="es-SV"/>
        </w:rPr>
        <w:t>Se presentó resultados metabólicos de exámenes clínicos el antes y después del Proceso IBREA mostrando una mejoría en su Presión Arterial y metabólico en cuanto a triglicéridos y colesterol, además de la disminución de peso</w:t>
      </w:r>
    </w:p>
    <w:p w:rsidR="00042A69" w:rsidRPr="00381593" w:rsidRDefault="00B26CC9" w:rsidP="00B26CC9">
      <w:pPr>
        <w:pStyle w:val="Prrafodelista"/>
        <w:numPr>
          <w:ilvl w:val="0"/>
          <w:numId w:val="43"/>
        </w:numPr>
        <w:spacing w:before="200"/>
        <w:jc w:val="both"/>
        <w:rPr>
          <w:rFonts w:ascii="Century Gothic" w:eastAsia="Times New Roman" w:hAnsi="Century Gothic"/>
          <w:sz w:val="24"/>
          <w:szCs w:val="24"/>
          <w:lang w:eastAsia="es-SV"/>
        </w:rPr>
      </w:pPr>
      <w:r w:rsidRPr="00381593">
        <w:rPr>
          <w:rFonts w:ascii="Century Gothic" w:eastAsia="Times New Roman" w:hAnsi="Century Gothic"/>
          <w:sz w:val="24"/>
          <w:szCs w:val="24"/>
          <w:lang w:eastAsia="es-SV"/>
        </w:rPr>
        <w:t>Hubo t</w:t>
      </w:r>
      <w:r w:rsidR="00042A69" w:rsidRPr="00381593">
        <w:rPr>
          <w:rFonts w:ascii="Century Gothic" w:eastAsia="Times New Roman" w:hAnsi="Century Gothic"/>
          <w:sz w:val="24"/>
          <w:szCs w:val="24"/>
          <w:lang w:eastAsia="es-SV"/>
        </w:rPr>
        <w:t>estimonio</w:t>
      </w:r>
      <w:r w:rsidRPr="00381593">
        <w:rPr>
          <w:rFonts w:ascii="Century Gothic" w:eastAsia="Times New Roman" w:hAnsi="Century Gothic"/>
          <w:sz w:val="24"/>
          <w:szCs w:val="24"/>
          <w:lang w:eastAsia="es-SV"/>
        </w:rPr>
        <w:t>s</w:t>
      </w:r>
      <w:r w:rsidR="00042A69" w:rsidRPr="00381593">
        <w:rPr>
          <w:rFonts w:ascii="Century Gothic" w:eastAsia="Times New Roman" w:hAnsi="Century Gothic"/>
          <w:sz w:val="24"/>
          <w:szCs w:val="24"/>
          <w:lang w:eastAsia="es-SV"/>
        </w:rPr>
        <w:t xml:space="preserve"> por parte de docentes de la importancia y cambios que han tenido en cuanto al dominio del estrés.</w:t>
      </w:r>
    </w:p>
    <w:p w:rsidR="00BE4A02" w:rsidRPr="00381593" w:rsidRDefault="00BE4A02" w:rsidP="00BE4A02">
      <w:pPr>
        <w:pStyle w:val="Default"/>
        <w:jc w:val="both"/>
        <w:rPr>
          <w:rFonts w:ascii="Century Gothic" w:hAnsi="Century Gothic"/>
          <w:color w:val="auto"/>
          <w:sz w:val="16"/>
          <w:szCs w:val="16"/>
        </w:rPr>
      </w:pPr>
    </w:p>
    <w:p w:rsidR="00042A69" w:rsidRPr="00381593" w:rsidRDefault="00042A69" w:rsidP="00BE4A02">
      <w:pPr>
        <w:pStyle w:val="Default"/>
        <w:jc w:val="both"/>
        <w:rPr>
          <w:rFonts w:ascii="Century Gothic" w:hAnsi="Century Gothic"/>
          <w:color w:val="auto"/>
          <w:sz w:val="16"/>
          <w:szCs w:val="16"/>
        </w:rPr>
      </w:pPr>
    </w:p>
    <w:p w:rsidR="00042A69" w:rsidRPr="00381593" w:rsidRDefault="00042A69" w:rsidP="00BE4A02">
      <w:pPr>
        <w:pStyle w:val="Default"/>
        <w:jc w:val="both"/>
        <w:rPr>
          <w:rFonts w:ascii="Century Gothic" w:hAnsi="Century Gothic"/>
          <w:color w:val="auto"/>
          <w:sz w:val="16"/>
          <w:szCs w:val="16"/>
        </w:rPr>
      </w:pPr>
    </w:p>
    <w:p w:rsidR="00BE4A02" w:rsidRPr="00B51CE3" w:rsidRDefault="00BE4A02" w:rsidP="00E61FA9">
      <w:pPr>
        <w:pStyle w:val="Ttulo4"/>
        <w:numPr>
          <w:ilvl w:val="3"/>
          <w:numId w:val="18"/>
        </w:numPr>
        <w:spacing w:after="120"/>
        <w:rPr>
          <w:sz w:val="24"/>
        </w:rPr>
      </w:pPr>
      <w:bookmarkStart w:id="31" w:name="_Toc420396713"/>
      <w:bookmarkStart w:id="32" w:name="_Toc467228657"/>
      <w:r w:rsidRPr="00B51CE3">
        <w:rPr>
          <w:sz w:val="24"/>
        </w:rPr>
        <w:t>DISPENSACIÓN DE MEDICAMENTOS</w:t>
      </w:r>
      <w:bookmarkEnd w:id="31"/>
      <w:r w:rsidR="00AA07F4">
        <w:rPr>
          <w:sz w:val="24"/>
        </w:rPr>
        <w:t xml:space="preserve"> </w:t>
      </w:r>
      <w:bookmarkEnd w:id="32"/>
    </w:p>
    <w:p w:rsidR="00BE4A02" w:rsidRDefault="00987866" w:rsidP="000F5D60">
      <w:pPr>
        <w:spacing w:before="200" w:line="276" w:lineRule="auto"/>
        <w:jc w:val="both"/>
        <w:rPr>
          <w:rFonts w:ascii="Century Gothic" w:hAnsi="Century Gothic"/>
        </w:rPr>
      </w:pPr>
      <w:r w:rsidRPr="00740CEA">
        <w:rPr>
          <w:rFonts w:ascii="Century Gothic" w:hAnsi="Century Gothic"/>
        </w:rPr>
        <w:t>El despacho de medicamentos a la població</w:t>
      </w:r>
      <w:r>
        <w:rPr>
          <w:rFonts w:ascii="Century Gothic" w:hAnsi="Century Gothic"/>
        </w:rPr>
        <w:t>n usuaria se realizó mediante 60</w:t>
      </w:r>
      <w:r w:rsidRPr="00740CEA">
        <w:rPr>
          <w:rFonts w:ascii="Century Gothic" w:hAnsi="Century Gothic"/>
        </w:rPr>
        <w:t xml:space="preserve"> farmacias privadas contratadas por medio</w:t>
      </w:r>
      <w:r>
        <w:rPr>
          <w:rFonts w:ascii="Century Gothic" w:hAnsi="Century Gothic"/>
        </w:rPr>
        <w:t xml:space="preserve"> de procesos de la LACAP, 23 farmacias de la red </w:t>
      </w:r>
      <w:r w:rsidRPr="00740CEA">
        <w:rPr>
          <w:rFonts w:ascii="Century Gothic" w:hAnsi="Century Gothic"/>
        </w:rPr>
        <w:t>CEFAFA y 22 botiquines magisteriales institucionales</w:t>
      </w:r>
      <w:r w:rsidR="00BE4A02" w:rsidRPr="00740CEA">
        <w:rPr>
          <w:rFonts w:ascii="Century Gothic" w:hAnsi="Century Gothic"/>
        </w:rPr>
        <w:t>.</w:t>
      </w:r>
    </w:p>
    <w:p w:rsidR="008C709C" w:rsidRDefault="008C709C" w:rsidP="001D643D">
      <w:pPr>
        <w:jc w:val="center"/>
        <w:rPr>
          <w:rStyle w:val="Textoennegrita"/>
        </w:rPr>
      </w:pPr>
    </w:p>
    <w:p w:rsidR="00E012B6" w:rsidRDefault="00E012B6" w:rsidP="001D643D">
      <w:pPr>
        <w:jc w:val="center"/>
        <w:rPr>
          <w:rStyle w:val="Textoennegrita"/>
        </w:rPr>
      </w:pPr>
      <w:r w:rsidRPr="001D643D">
        <w:rPr>
          <w:rStyle w:val="Textoennegrita"/>
        </w:rPr>
        <w:t>RECETAS DESPACHADAS POR CUADRO DE MEDICAMENTOS</w:t>
      </w:r>
    </w:p>
    <w:tbl>
      <w:tblPr>
        <w:tblW w:w="9087" w:type="dxa"/>
        <w:tblInd w:w="55" w:type="dxa"/>
        <w:tblCellMar>
          <w:left w:w="70" w:type="dxa"/>
          <w:right w:w="70" w:type="dxa"/>
        </w:tblCellMar>
        <w:tblLook w:val="04A0"/>
      </w:tblPr>
      <w:tblGrid>
        <w:gridCol w:w="2080"/>
        <w:gridCol w:w="1200"/>
        <w:gridCol w:w="1200"/>
        <w:gridCol w:w="1200"/>
        <w:gridCol w:w="1200"/>
        <w:gridCol w:w="1200"/>
        <w:gridCol w:w="1007"/>
      </w:tblGrid>
      <w:tr w:rsidR="00BB5D71" w:rsidRPr="008D067D" w:rsidTr="008407E4">
        <w:trPr>
          <w:trHeight w:val="315"/>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AÑO</w:t>
            </w:r>
          </w:p>
        </w:tc>
        <w:tc>
          <w:tcPr>
            <w:tcW w:w="36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JUNIO A DICIEMBRE AÑO 2015</w:t>
            </w:r>
          </w:p>
        </w:tc>
        <w:tc>
          <w:tcPr>
            <w:tcW w:w="3407" w:type="dxa"/>
            <w:gridSpan w:val="3"/>
            <w:tcBorders>
              <w:top w:val="single" w:sz="8" w:space="0" w:color="auto"/>
              <w:left w:val="nil"/>
              <w:bottom w:val="single" w:sz="8" w:space="0" w:color="auto"/>
              <w:right w:val="single" w:sz="8" w:space="0" w:color="000000"/>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ENERO A MAYO AÑO 2016</w:t>
            </w:r>
          </w:p>
        </w:tc>
      </w:tr>
      <w:tr w:rsidR="00BB5D71" w:rsidRPr="008D067D" w:rsidTr="008407E4">
        <w:trPr>
          <w:trHeight w:val="495"/>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rPr>
                <w:rFonts w:eastAsia="Times New Roman"/>
                <w:color w:val="000000"/>
                <w:sz w:val="18"/>
                <w:szCs w:val="18"/>
                <w:lang w:eastAsia="es-SV"/>
              </w:rPr>
            </w:pPr>
            <w:r w:rsidRPr="009152A4">
              <w:rPr>
                <w:rFonts w:eastAsia="Times New Roman"/>
                <w:color w:val="000000"/>
                <w:sz w:val="18"/>
                <w:szCs w:val="18"/>
                <w:lang w:eastAsia="es-SV"/>
              </w:rPr>
              <w:t>LUGAR DE DESPACHO</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CANTIDAD DE RECETAS</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MONTO</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PROMEDIO</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CANTIDAD DE RECETAS</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MONTO</w:t>
            </w:r>
          </w:p>
        </w:tc>
        <w:tc>
          <w:tcPr>
            <w:tcW w:w="1007"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center"/>
              <w:rPr>
                <w:rFonts w:eastAsia="Times New Roman"/>
                <w:color w:val="000000"/>
                <w:sz w:val="18"/>
                <w:szCs w:val="18"/>
                <w:lang w:eastAsia="es-SV"/>
              </w:rPr>
            </w:pPr>
            <w:r w:rsidRPr="009152A4">
              <w:rPr>
                <w:rFonts w:eastAsia="Times New Roman"/>
                <w:color w:val="000000"/>
                <w:sz w:val="18"/>
                <w:szCs w:val="18"/>
                <w:lang w:eastAsia="es-SV"/>
              </w:rPr>
              <w:t>PROMEDIO</w:t>
            </w:r>
          </w:p>
        </w:tc>
      </w:tr>
      <w:tr w:rsidR="00BB5D71" w:rsidRPr="008D067D" w:rsidTr="008407E4">
        <w:trPr>
          <w:trHeight w:val="315"/>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rPr>
                <w:rFonts w:eastAsia="Times New Roman"/>
                <w:color w:val="000000"/>
                <w:sz w:val="18"/>
                <w:szCs w:val="18"/>
                <w:lang w:eastAsia="es-SV"/>
              </w:rPr>
            </w:pPr>
            <w:r w:rsidRPr="009152A4">
              <w:rPr>
                <w:rFonts w:eastAsia="Times New Roman"/>
                <w:color w:val="000000"/>
                <w:sz w:val="18"/>
                <w:szCs w:val="18"/>
                <w:lang w:eastAsia="es-SV"/>
              </w:rPr>
              <w:t>FARMACIAS PRIVADAS</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632,545</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$6882,893.41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$10.88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419,778</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$4221,298.08</w:t>
            </w:r>
          </w:p>
        </w:tc>
        <w:tc>
          <w:tcPr>
            <w:tcW w:w="1007"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$10.06 </w:t>
            </w:r>
          </w:p>
        </w:tc>
      </w:tr>
      <w:tr w:rsidR="00BB5D71" w:rsidRPr="008D067D" w:rsidTr="008407E4">
        <w:trPr>
          <w:trHeight w:val="315"/>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rPr>
                <w:rFonts w:eastAsia="Times New Roman"/>
                <w:color w:val="000000"/>
                <w:sz w:val="18"/>
                <w:szCs w:val="18"/>
                <w:lang w:eastAsia="es-SV"/>
              </w:rPr>
            </w:pPr>
            <w:r w:rsidRPr="009152A4">
              <w:rPr>
                <w:rFonts w:eastAsia="Times New Roman"/>
                <w:color w:val="000000"/>
                <w:sz w:val="18"/>
                <w:szCs w:val="18"/>
                <w:lang w:eastAsia="es-SV"/>
              </w:rPr>
              <w:t>BOTIQUÍN MAGISTERIAL</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186,359</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$190,919.60</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$1.02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169,926</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$174,083.90</w:t>
            </w:r>
          </w:p>
        </w:tc>
        <w:tc>
          <w:tcPr>
            <w:tcW w:w="1007"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$1.02 </w:t>
            </w:r>
          </w:p>
        </w:tc>
      </w:tr>
      <w:tr w:rsidR="00BB5D71" w:rsidRPr="008D067D" w:rsidTr="008407E4">
        <w:trPr>
          <w:trHeight w:val="495"/>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rPr>
                <w:rFonts w:eastAsia="Times New Roman"/>
                <w:color w:val="000000"/>
                <w:sz w:val="18"/>
                <w:szCs w:val="18"/>
                <w:lang w:eastAsia="es-SV"/>
              </w:rPr>
            </w:pPr>
            <w:r w:rsidRPr="009152A4">
              <w:rPr>
                <w:rFonts w:eastAsia="Times New Roman"/>
                <w:color w:val="000000"/>
                <w:sz w:val="18"/>
                <w:szCs w:val="18"/>
                <w:lang w:eastAsia="es-SV"/>
              </w:rPr>
              <w:t>SECCIÓN DE MEDICAMENTOS</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887</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$487,899.52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$550.06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279</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$214,606.29 </w:t>
            </w:r>
          </w:p>
        </w:tc>
        <w:tc>
          <w:tcPr>
            <w:tcW w:w="1007"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$769.20 </w:t>
            </w:r>
          </w:p>
        </w:tc>
      </w:tr>
      <w:tr w:rsidR="00BB5D71" w:rsidRPr="008D067D" w:rsidTr="008407E4">
        <w:trPr>
          <w:trHeight w:val="315"/>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BB5D71" w:rsidRPr="009152A4" w:rsidRDefault="00BB5D71" w:rsidP="00104AD9">
            <w:pPr>
              <w:rPr>
                <w:rFonts w:eastAsia="Times New Roman"/>
                <w:color w:val="000000"/>
                <w:sz w:val="18"/>
                <w:szCs w:val="18"/>
                <w:lang w:eastAsia="es-SV"/>
              </w:rPr>
            </w:pPr>
            <w:r w:rsidRPr="009152A4">
              <w:rPr>
                <w:rFonts w:eastAsia="Times New Roman"/>
                <w:color w:val="000000"/>
                <w:sz w:val="18"/>
                <w:szCs w:val="18"/>
                <w:lang w:eastAsia="es-SV"/>
              </w:rPr>
              <w:t>TOTAL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819,791</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$7561,712.53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$561.96 </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589,983</w:t>
            </w:r>
          </w:p>
        </w:tc>
        <w:tc>
          <w:tcPr>
            <w:tcW w:w="1200"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4609,988</w:t>
            </w:r>
          </w:p>
        </w:tc>
        <w:tc>
          <w:tcPr>
            <w:tcW w:w="1007" w:type="dxa"/>
            <w:tcBorders>
              <w:top w:val="nil"/>
              <w:left w:val="nil"/>
              <w:bottom w:val="single" w:sz="8" w:space="0" w:color="auto"/>
              <w:right w:val="single" w:sz="8" w:space="0" w:color="auto"/>
            </w:tcBorders>
            <w:shd w:val="clear" w:color="auto" w:fill="auto"/>
            <w:vAlign w:val="center"/>
            <w:hideMark/>
          </w:tcPr>
          <w:p w:rsidR="00BB5D71" w:rsidRPr="009152A4" w:rsidRDefault="00BB5D71" w:rsidP="00104AD9">
            <w:pPr>
              <w:jc w:val="right"/>
              <w:rPr>
                <w:rFonts w:eastAsia="Times New Roman"/>
                <w:color w:val="000000"/>
                <w:sz w:val="18"/>
                <w:szCs w:val="18"/>
                <w:lang w:eastAsia="es-SV"/>
              </w:rPr>
            </w:pPr>
            <w:r w:rsidRPr="009152A4">
              <w:rPr>
                <w:rFonts w:eastAsia="Times New Roman"/>
                <w:color w:val="000000"/>
                <w:sz w:val="18"/>
                <w:szCs w:val="18"/>
                <w:lang w:eastAsia="es-SV"/>
              </w:rPr>
              <w:t xml:space="preserve">$780.28 </w:t>
            </w:r>
          </w:p>
        </w:tc>
      </w:tr>
    </w:tbl>
    <w:p w:rsidR="0041276A" w:rsidRDefault="00BB5D71" w:rsidP="00BB5D71">
      <w:pPr>
        <w:jc w:val="center"/>
        <w:rPr>
          <w:rFonts w:ascii="Century Gothic" w:hAnsi="Century Gothic"/>
        </w:rPr>
      </w:pPr>
      <w:r>
        <w:rPr>
          <w:rFonts w:ascii="Century Gothic" w:hAnsi="Century Gothic"/>
          <w:sz w:val="16"/>
          <w:szCs w:val="16"/>
        </w:rPr>
        <w:t>Fuente: Sistema de despacho de medicamentos (farmacias privadas y Botiquines Magisteriales</w:t>
      </w:r>
    </w:p>
    <w:p w:rsidR="00DC1250" w:rsidRDefault="008407E4" w:rsidP="008407E4">
      <w:pPr>
        <w:spacing w:before="200" w:line="276" w:lineRule="auto"/>
        <w:jc w:val="both"/>
        <w:rPr>
          <w:rFonts w:ascii="Century Gothic" w:hAnsi="Century Gothic"/>
        </w:rPr>
      </w:pPr>
      <w:r w:rsidRPr="00740CEA">
        <w:rPr>
          <w:rFonts w:ascii="Century Gothic" w:hAnsi="Century Gothic"/>
        </w:rPr>
        <w:t xml:space="preserve">Los Botiquines Magisteriales, ubicados en cada uno de los </w:t>
      </w:r>
      <w:r w:rsidR="002E7AC5" w:rsidRPr="00740CEA">
        <w:rPr>
          <w:rFonts w:ascii="Century Gothic" w:hAnsi="Century Gothic"/>
        </w:rPr>
        <w:t>Policlínicos, permiten</w:t>
      </w:r>
      <w:r>
        <w:rPr>
          <w:rFonts w:ascii="Century Gothic" w:hAnsi="Century Gothic"/>
        </w:rPr>
        <w:t xml:space="preserve"> dispensar el medicamento oportunamente</w:t>
      </w:r>
      <w:r w:rsidRPr="00740CEA">
        <w:rPr>
          <w:rFonts w:ascii="Century Gothic" w:hAnsi="Century Gothic"/>
        </w:rPr>
        <w:t xml:space="preserve"> y reduce los costos de tiempo y traslado a los docentes</w:t>
      </w:r>
      <w:r w:rsidR="00DC1250">
        <w:rPr>
          <w:rFonts w:ascii="Century Gothic" w:hAnsi="Century Gothic"/>
        </w:rPr>
        <w:t>.</w:t>
      </w:r>
    </w:p>
    <w:p w:rsidR="00DC1250" w:rsidRDefault="00DC1250" w:rsidP="008407E4">
      <w:pPr>
        <w:spacing w:before="200" w:line="276" w:lineRule="auto"/>
        <w:jc w:val="both"/>
        <w:rPr>
          <w:rFonts w:ascii="Century Gothic" w:hAnsi="Century Gothic"/>
        </w:rPr>
      </w:pPr>
    </w:p>
    <w:p w:rsidR="00DC1250" w:rsidRDefault="00DC1250" w:rsidP="008407E4">
      <w:pPr>
        <w:spacing w:before="200" w:line="276" w:lineRule="auto"/>
        <w:jc w:val="both"/>
        <w:rPr>
          <w:rFonts w:ascii="Century Gothic" w:hAnsi="Century Gothic"/>
        </w:rPr>
      </w:pPr>
      <w:r>
        <w:rPr>
          <w:rFonts w:ascii="Century Gothic" w:hAnsi="Century Gothic"/>
        </w:rPr>
        <w:t xml:space="preserve">Durante el </w:t>
      </w:r>
      <w:r w:rsidRPr="00740CEA">
        <w:rPr>
          <w:rFonts w:ascii="Century Gothic" w:hAnsi="Century Gothic"/>
        </w:rPr>
        <w:t xml:space="preserve">período se mejoró el abastecimiento del cuadro básico de medicamentos de nuestros botiquines magisteriales hasta el 89%, gracias al convenio con el Programa de las Naciones Unidas (PNUD), que permite obtener medicamentos de calidad a precio competitivo, esto nos ha permitido dispensar mayor </w:t>
      </w:r>
      <w:r w:rsidRPr="002E7AC5">
        <w:rPr>
          <w:rFonts w:ascii="Century Gothic" w:hAnsi="Century Gothic"/>
        </w:rPr>
        <w:t xml:space="preserve">cantidad de medicamentos con un menor costo que el de años precedentes. </w:t>
      </w:r>
    </w:p>
    <w:p w:rsidR="00DC1250" w:rsidRPr="00381593" w:rsidRDefault="00DC1250" w:rsidP="008407E4">
      <w:pPr>
        <w:spacing w:before="200" w:line="276" w:lineRule="auto"/>
        <w:jc w:val="both"/>
        <w:rPr>
          <w:rFonts w:ascii="Century Gothic" w:hAnsi="Century Gothic"/>
        </w:rPr>
      </w:pPr>
      <w:r w:rsidRPr="00381593">
        <w:rPr>
          <w:rFonts w:ascii="Century Gothic" w:hAnsi="Century Gothic"/>
        </w:rPr>
        <w:t>De un total de 170 medicamentos, la existencia con la compra vía PNUD es de 125, y con la compra local 26 medicamentos, haciendo el total de existencia de 151</w:t>
      </w:r>
      <w:r w:rsidR="00381593">
        <w:rPr>
          <w:rFonts w:ascii="Century Gothic" w:hAnsi="Century Gothic"/>
        </w:rPr>
        <w:t>.</w:t>
      </w:r>
    </w:p>
    <w:p w:rsidR="00BB5D71" w:rsidRPr="00381593" w:rsidRDefault="002E7AC5" w:rsidP="008407E4">
      <w:pPr>
        <w:jc w:val="both"/>
        <w:rPr>
          <w:rFonts w:ascii="Century Gothic" w:hAnsi="Century Gothic"/>
        </w:rPr>
      </w:pPr>
      <w:r w:rsidRPr="00381593">
        <w:rPr>
          <w:rFonts w:ascii="Century Gothic" w:hAnsi="Century Gothic"/>
        </w:rPr>
        <w:t xml:space="preserve"> </w:t>
      </w:r>
      <w:r w:rsidR="00024156" w:rsidRPr="00381593">
        <w:rPr>
          <w:rFonts w:ascii="Century Gothic" w:hAnsi="Century Gothic"/>
        </w:rPr>
        <w:t xml:space="preserve"> </w:t>
      </w:r>
    </w:p>
    <w:p w:rsidR="00711440" w:rsidRPr="00381593" w:rsidRDefault="00711440" w:rsidP="008407E4">
      <w:pPr>
        <w:jc w:val="both"/>
        <w:rPr>
          <w:rFonts w:ascii="Century Gothic" w:hAnsi="Century Gothic"/>
        </w:rPr>
      </w:pPr>
    </w:p>
    <w:p w:rsidR="00711440" w:rsidRDefault="00711440" w:rsidP="008407E4">
      <w:pPr>
        <w:jc w:val="both"/>
        <w:rPr>
          <w:rFonts w:ascii="Century Gothic" w:hAnsi="Century Gothic"/>
        </w:rPr>
      </w:pPr>
    </w:p>
    <w:p w:rsidR="00381593" w:rsidRDefault="00381593" w:rsidP="008407E4">
      <w:pPr>
        <w:jc w:val="both"/>
        <w:rPr>
          <w:rFonts w:ascii="Century Gothic" w:hAnsi="Century Gothic"/>
        </w:rPr>
      </w:pPr>
    </w:p>
    <w:p w:rsidR="00381593" w:rsidRDefault="00381593" w:rsidP="008407E4">
      <w:pPr>
        <w:jc w:val="both"/>
        <w:rPr>
          <w:rFonts w:ascii="Century Gothic" w:hAnsi="Century Gothic"/>
        </w:rPr>
      </w:pPr>
    </w:p>
    <w:p w:rsidR="00381593" w:rsidRDefault="00381593" w:rsidP="008407E4">
      <w:pPr>
        <w:jc w:val="both"/>
        <w:rPr>
          <w:rFonts w:ascii="Century Gothic" w:hAnsi="Century Gothic"/>
        </w:rPr>
      </w:pPr>
    </w:p>
    <w:p w:rsidR="00381593" w:rsidRDefault="00381593" w:rsidP="008407E4">
      <w:pPr>
        <w:jc w:val="both"/>
        <w:rPr>
          <w:rFonts w:ascii="Century Gothic" w:hAnsi="Century Gothic"/>
        </w:rPr>
      </w:pPr>
    </w:p>
    <w:p w:rsidR="00E012B6" w:rsidRPr="001262BC" w:rsidRDefault="00E012B6" w:rsidP="00E61FA9">
      <w:pPr>
        <w:pStyle w:val="Ttulo4"/>
        <w:numPr>
          <w:ilvl w:val="3"/>
          <w:numId w:val="18"/>
        </w:numPr>
        <w:spacing w:after="120"/>
        <w:rPr>
          <w:sz w:val="24"/>
        </w:rPr>
      </w:pPr>
      <w:bookmarkStart w:id="33" w:name="_Toc467228658"/>
      <w:r w:rsidRPr="001262BC">
        <w:rPr>
          <w:sz w:val="24"/>
        </w:rPr>
        <w:t>PRESTACIONES Y BENEFICIOS</w:t>
      </w:r>
      <w:bookmarkEnd w:id="33"/>
    </w:p>
    <w:p w:rsidR="00E012B6" w:rsidRDefault="00A12198" w:rsidP="001D643D">
      <w:pPr>
        <w:spacing w:before="200" w:line="276" w:lineRule="auto"/>
        <w:jc w:val="both"/>
        <w:rPr>
          <w:rFonts w:ascii="Century Gothic" w:hAnsi="Century Gothic"/>
        </w:rPr>
      </w:pPr>
      <w:r w:rsidRPr="001262BC">
        <w:rPr>
          <w:rFonts w:ascii="Century Gothic" w:hAnsi="Century Gothic"/>
        </w:rPr>
        <w:t>Como parte d</w:t>
      </w:r>
      <w:r w:rsidRPr="00711440">
        <w:rPr>
          <w:rFonts w:ascii="Century Gothic" w:hAnsi="Century Gothic"/>
        </w:rPr>
        <w:t>e las prestaciones y beneficios brindados se tienen: Subsidios por Incapacidad Temporal, Subsidio por Incapacidad Permanente y Ayuda por Gastos Funerarios.</w:t>
      </w:r>
    </w:p>
    <w:p w:rsidR="00381593" w:rsidRPr="00711440" w:rsidRDefault="00381593" w:rsidP="001D643D">
      <w:pPr>
        <w:spacing w:before="200" w:line="276" w:lineRule="auto"/>
        <w:jc w:val="both"/>
        <w:rPr>
          <w:rFonts w:ascii="Century Gothic" w:hAnsi="Century Gothic"/>
        </w:rPr>
      </w:pPr>
    </w:p>
    <w:tbl>
      <w:tblPr>
        <w:tblW w:w="10499" w:type="dxa"/>
        <w:tblInd w:w="-356" w:type="dxa"/>
        <w:tblCellMar>
          <w:left w:w="0" w:type="dxa"/>
          <w:right w:w="0" w:type="dxa"/>
        </w:tblCellMar>
        <w:tblLook w:val="04A0"/>
      </w:tblPr>
      <w:tblGrid>
        <w:gridCol w:w="2351"/>
        <w:gridCol w:w="1323"/>
        <w:gridCol w:w="1409"/>
        <w:gridCol w:w="1323"/>
        <w:gridCol w:w="1274"/>
        <w:gridCol w:w="1458"/>
        <w:gridCol w:w="1361"/>
      </w:tblGrid>
      <w:tr w:rsidR="00711440" w:rsidRPr="008D067D" w:rsidTr="00711440">
        <w:trPr>
          <w:trHeight w:val="840"/>
        </w:trPr>
        <w:tc>
          <w:tcPr>
            <w:tcW w:w="2284" w:type="dxa"/>
            <w:vMerge w:val="restart"/>
            <w:tcBorders>
              <w:top w:val="single" w:sz="8" w:space="0" w:color="000000"/>
              <w:left w:val="single" w:sz="8" w:space="0" w:color="000000"/>
              <w:bottom w:val="single" w:sz="8" w:space="0" w:color="000000"/>
              <w:right w:val="single" w:sz="8" w:space="0" w:color="000000"/>
            </w:tcBorders>
            <w:shd w:val="clear" w:color="auto" w:fill="D8E4BC"/>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PRESTACIÓN/BENEFICIO</w:t>
            </w:r>
            <w:r w:rsidRPr="00711440">
              <w:rPr>
                <w:rFonts w:ascii="Arial" w:hAnsi="Arial" w:cs="Arial"/>
                <w:color w:val="000000"/>
                <w:sz w:val="18"/>
                <w:szCs w:val="18"/>
                <w:lang w:eastAsia="es-SV"/>
              </w:rPr>
              <w:t xml:space="preserve"> </w:t>
            </w:r>
          </w:p>
        </w:tc>
        <w:tc>
          <w:tcPr>
            <w:tcW w:w="2758" w:type="dxa"/>
            <w:gridSpan w:val="2"/>
            <w:tcBorders>
              <w:top w:val="single" w:sz="8" w:space="0" w:color="000000"/>
              <w:left w:val="nil"/>
              <w:bottom w:val="nil"/>
              <w:right w:val="single" w:sz="8" w:space="0" w:color="000000"/>
            </w:tcBorders>
            <w:shd w:val="clear" w:color="auto" w:fill="D8E4BC"/>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Junio - Diciembre </w:t>
            </w:r>
          </w:p>
        </w:tc>
        <w:tc>
          <w:tcPr>
            <w:tcW w:w="2614" w:type="dxa"/>
            <w:gridSpan w:val="2"/>
            <w:tcBorders>
              <w:top w:val="single" w:sz="8" w:space="0" w:color="000000"/>
              <w:left w:val="nil"/>
              <w:bottom w:val="nil"/>
              <w:right w:val="single" w:sz="8" w:space="0" w:color="000000"/>
            </w:tcBorders>
            <w:shd w:val="clear" w:color="auto" w:fill="D8E4BC"/>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Enero - Agosto</w:t>
            </w:r>
          </w:p>
        </w:tc>
        <w:tc>
          <w:tcPr>
            <w:tcW w:w="2843" w:type="dxa"/>
            <w:gridSpan w:val="2"/>
            <w:tcBorders>
              <w:top w:val="single" w:sz="8" w:space="0" w:color="000000"/>
              <w:left w:val="nil"/>
              <w:bottom w:val="nil"/>
              <w:right w:val="single" w:sz="8" w:space="0" w:color="000000"/>
            </w:tcBorders>
            <w:shd w:val="clear" w:color="auto" w:fill="C4D79B"/>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TOTAL</w:t>
            </w:r>
          </w:p>
        </w:tc>
      </w:tr>
      <w:tr w:rsidR="00711440" w:rsidRPr="008D067D" w:rsidTr="00711440">
        <w:trPr>
          <w:trHeight w:val="324"/>
        </w:trPr>
        <w:tc>
          <w:tcPr>
            <w:tcW w:w="2284" w:type="dxa"/>
            <w:vMerge/>
            <w:tcBorders>
              <w:top w:val="single" w:sz="8" w:space="0" w:color="000000"/>
              <w:left w:val="single" w:sz="8" w:space="0" w:color="000000"/>
              <w:bottom w:val="single" w:sz="8" w:space="0" w:color="000000"/>
              <w:right w:val="single" w:sz="8" w:space="0" w:color="000000"/>
            </w:tcBorders>
            <w:vAlign w:val="center"/>
            <w:hideMark/>
          </w:tcPr>
          <w:p w:rsidR="00711440" w:rsidRPr="00711440" w:rsidRDefault="00711440" w:rsidP="00BC7BE8">
            <w:pPr>
              <w:rPr>
                <w:rFonts w:ascii="Arial" w:hAnsi="Arial" w:cs="Arial"/>
                <w:b/>
                <w:bCs/>
                <w:color w:val="000000"/>
                <w:sz w:val="18"/>
                <w:szCs w:val="18"/>
                <w:lang w:eastAsia="es-SV"/>
              </w:rPr>
            </w:pPr>
          </w:p>
        </w:tc>
        <w:tc>
          <w:tcPr>
            <w:tcW w:w="2758" w:type="dxa"/>
            <w:gridSpan w:val="2"/>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2015</w:t>
            </w:r>
          </w:p>
        </w:tc>
        <w:tc>
          <w:tcPr>
            <w:tcW w:w="2614" w:type="dxa"/>
            <w:gridSpan w:val="2"/>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2016</w:t>
            </w:r>
          </w:p>
        </w:tc>
        <w:tc>
          <w:tcPr>
            <w:tcW w:w="2843" w:type="dxa"/>
            <w:gridSpan w:val="2"/>
            <w:tcBorders>
              <w:top w:val="nil"/>
              <w:left w:val="nil"/>
              <w:bottom w:val="single" w:sz="8" w:space="0" w:color="000000"/>
              <w:right w:val="single" w:sz="8" w:space="0" w:color="000000"/>
            </w:tcBorders>
            <w:shd w:val="clear" w:color="auto" w:fill="C4D79B"/>
            <w:tcMar>
              <w:top w:w="0" w:type="dxa"/>
              <w:left w:w="70" w:type="dxa"/>
              <w:bottom w:w="0" w:type="dxa"/>
              <w:right w:w="70" w:type="dxa"/>
            </w:tcMar>
            <w:vAlign w:val="center"/>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JUNIO 2015- AGOSTO 2016</w:t>
            </w:r>
          </w:p>
        </w:tc>
      </w:tr>
      <w:tr w:rsidR="00BC7BE8" w:rsidRPr="008D067D" w:rsidTr="00711440">
        <w:trPr>
          <w:trHeight w:val="636"/>
        </w:trPr>
        <w:tc>
          <w:tcPr>
            <w:tcW w:w="2284" w:type="dxa"/>
            <w:vMerge/>
            <w:tcBorders>
              <w:top w:val="single" w:sz="8" w:space="0" w:color="000000"/>
              <w:left w:val="single" w:sz="8" w:space="0" w:color="000000"/>
              <w:bottom w:val="single" w:sz="8" w:space="0" w:color="000000"/>
              <w:right w:val="single" w:sz="8" w:space="0" w:color="000000"/>
            </w:tcBorders>
            <w:vAlign w:val="center"/>
            <w:hideMark/>
          </w:tcPr>
          <w:p w:rsidR="00711440" w:rsidRPr="00711440" w:rsidRDefault="00711440" w:rsidP="00BC7BE8">
            <w:pPr>
              <w:rPr>
                <w:rFonts w:ascii="Arial" w:hAnsi="Arial" w:cs="Arial"/>
                <w:b/>
                <w:bCs/>
                <w:color w:val="000000"/>
                <w:sz w:val="18"/>
                <w:szCs w:val="18"/>
                <w:lang w:eastAsia="es-SV"/>
              </w:rPr>
            </w:pPr>
          </w:p>
        </w:tc>
        <w:tc>
          <w:tcPr>
            <w:tcW w:w="1338"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No. solicitudes</w:t>
            </w:r>
            <w:r w:rsidRPr="00711440">
              <w:rPr>
                <w:rFonts w:ascii="Arial" w:hAnsi="Arial" w:cs="Arial"/>
                <w:color w:val="000000"/>
                <w:sz w:val="18"/>
                <w:szCs w:val="18"/>
                <w:lang w:eastAsia="es-SV"/>
              </w:rPr>
              <w:t xml:space="preserve"> </w:t>
            </w:r>
          </w:p>
        </w:tc>
        <w:tc>
          <w:tcPr>
            <w:tcW w:w="1420"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MONTO</w:t>
            </w:r>
            <w:r w:rsidRPr="00711440">
              <w:rPr>
                <w:rFonts w:ascii="Arial" w:hAnsi="Arial" w:cs="Arial"/>
                <w:color w:val="000000"/>
                <w:sz w:val="18"/>
                <w:szCs w:val="18"/>
                <w:lang w:eastAsia="es-SV"/>
              </w:rPr>
              <w:t xml:space="preserve"> </w:t>
            </w:r>
          </w:p>
        </w:tc>
        <w:tc>
          <w:tcPr>
            <w:tcW w:w="1338"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No. solicitudes</w:t>
            </w:r>
            <w:r w:rsidRPr="00711440">
              <w:rPr>
                <w:rFonts w:ascii="Arial" w:hAnsi="Arial" w:cs="Arial"/>
                <w:color w:val="000000"/>
                <w:sz w:val="18"/>
                <w:szCs w:val="18"/>
                <w:lang w:eastAsia="es-SV"/>
              </w:rPr>
              <w:t xml:space="preserve"> </w:t>
            </w:r>
          </w:p>
        </w:tc>
        <w:tc>
          <w:tcPr>
            <w:tcW w:w="1276"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MONTO</w:t>
            </w:r>
            <w:r w:rsidRPr="00711440">
              <w:rPr>
                <w:rFonts w:ascii="Arial" w:hAnsi="Arial" w:cs="Arial"/>
                <w:color w:val="000000"/>
                <w:sz w:val="18"/>
                <w:szCs w:val="18"/>
                <w:lang w:eastAsia="es-SV"/>
              </w:rPr>
              <w:t xml:space="preserve"> </w:t>
            </w:r>
          </w:p>
        </w:tc>
        <w:tc>
          <w:tcPr>
            <w:tcW w:w="1482" w:type="dxa"/>
            <w:tcBorders>
              <w:top w:val="nil"/>
              <w:left w:val="nil"/>
              <w:bottom w:val="single" w:sz="8" w:space="0" w:color="000000"/>
              <w:right w:val="single" w:sz="8" w:space="0" w:color="000000"/>
            </w:tcBorders>
            <w:shd w:val="clear" w:color="auto" w:fill="C4D79B"/>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No. solicitudes</w:t>
            </w:r>
            <w:r w:rsidRPr="00711440">
              <w:rPr>
                <w:rFonts w:ascii="Arial" w:hAnsi="Arial" w:cs="Arial"/>
                <w:color w:val="000000"/>
                <w:sz w:val="18"/>
                <w:szCs w:val="18"/>
                <w:lang w:eastAsia="es-SV"/>
              </w:rPr>
              <w:t xml:space="preserve"> </w:t>
            </w:r>
          </w:p>
        </w:tc>
        <w:tc>
          <w:tcPr>
            <w:tcW w:w="1361" w:type="dxa"/>
            <w:tcBorders>
              <w:top w:val="nil"/>
              <w:left w:val="nil"/>
              <w:bottom w:val="single" w:sz="8" w:space="0" w:color="000000"/>
              <w:right w:val="single" w:sz="8" w:space="0" w:color="000000"/>
            </w:tcBorders>
            <w:shd w:val="clear" w:color="auto" w:fill="C4D79B"/>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MONTO</w:t>
            </w:r>
            <w:r w:rsidRPr="00711440">
              <w:rPr>
                <w:rFonts w:ascii="Arial" w:hAnsi="Arial" w:cs="Arial"/>
                <w:color w:val="000000"/>
                <w:sz w:val="18"/>
                <w:szCs w:val="18"/>
                <w:lang w:eastAsia="es-SV"/>
              </w:rPr>
              <w:t xml:space="preserve"> </w:t>
            </w:r>
          </w:p>
        </w:tc>
      </w:tr>
      <w:tr w:rsidR="00711440" w:rsidRPr="008D067D" w:rsidTr="00BC7BE8">
        <w:trPr>
          <w:trHeight w:val="870"/>
        </w:trPr>
        <w:tc>
          <w:tcPr>
            <w:tcW w:w="2284" w:type="dxa"/>
            <w:tcBorders>
              <w:top w:val="nil"/>
              <w:left w:val="single" w:sz="8" w:space="0" w:color="000000"/>
              <w:bottom w:val="single" w:sz="4" w:space="0" w:color="auto"/>
              <w:right w:val="single" w:sz="8" w:space="0" w:color="000000"/>
            </w:tcBorders>
            <w:shd w:val="clear" w:color="auto" w:fill="EBF1DE"/>
            <w:tcMar>
              <w:top w:w="0" w:type="dxa"/>
              <w:left w:w="70" w:type="dxa"/>
              <w:bottom w:w="0" w:type="dxa"/>
              <w:right w:w="70" w:type="dxa"/>
            </w:tcMar>
            <w:vAlign w:val="center"/>
            <w:hideMark/>
          </w:tcPr>
          <w:p w:rsidR="00711440" w:rsidRPr="00711440" w:rsidRDefault="00711440" w:rsidP="00BC7BE8">
            <w:pPr>
              <w:jc w:val="both"/>
              <w:rPr>
                <w:b/>
                <w:bCs/>
                <w:color w:val="000000"/>
                <w:lang w:eastAsia="es-SV"/>
              </w:rPr>
            </w:pPr>
            <w:r w:rsidRPr="00711440">
              <w:rPr>
                <w:b/>
                <w:bCs/>
                <w:color w:val="000000"/>
                <w:lang w:eastAsia="es-SV"/>
              </w:rPr>
              <w:t>Subsidios por</w:t>
            </w:r>
          </w:p>
          <w:p w:rsidR="00711440" w:rsidRPr="00711440" w:rsidRDefault="00711440" w:rsidP="00BC7BE8">
            <w:pPr>
              <w:jc w:val="both"/>
              <w:rPr>
                <w:b/>
                <w:bCs/>
                <w:color w:val="000000"/>
                <w:lang w:eastAsia="es-SV"/>
              </w:rPr>
            </w:pPr>
            <w:r w:rsidRPr="00711440">
              <w:rPr>
                <w:b/>
                <w:bCs/>
                <w:color w:val="000000"/>
                <w:lang w:eastAsia="es-SV"/>
              </w:rPr>
              <w:t xml:space="preserve"> Incapacidad Temporal  </w:t>
            </w:r>
          </w:p>
        </w:tc>
        <w:tc>
          <w:tcPr>
            <w:tcW w:w="1338" w:type="dxa"/>
            <w:tcBorders>
              <w:top w:val="nil"/>
              <w:left w:val="nil"/>
              <w:bottom w:val="single" w:sz="4" w:space="0" w:color="auto"/>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104</w:t>
            </w:r>
          </w:p>
        </w:tc>
        <w:tc>
          <w:tcPr>
            <w:tcW w:w="1420" w:type="dxa"/>
            <w:tcBorders>
              <w:top w:val="nil"/>
              <w:left w:val="nil"/>
              <w:bottom w:val="single" w:sz="4" w:space="0" w:color="auto"/>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 xml:space="preserve">$92,295.85 </w:t>
            </w:r>
          </w:p>
        </w:tc>
        <w:tc>
          <w:tcPr>
            <w:tcW w:w="1338" w:type="dxa"/>
            <w:tcBorders>
              <w:top w:val="nil"/>
              <w:left w:val="nil"/>
              <w:bottom w:val="single" w:sz="4" w:space="0" w:color="auto"/>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68</w:t>
            </w:r>
          </w:p>
        </w:tc>
        <w:tc>
          <w:tcPr>
            <w:tcW w:w="1276" w:type="dxa"/>
            <w:tcBorders>
              <w:top w:val="nil"/>
              <w:left w:val="nil"/>
              <w:bottom w:val="single" w:sz="4" w:space="0" w:color="auto"/>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 xml:space="preserve">$58,765.87 </w:t>
            </w:r>
          </w:p>
        </w:tc>
        <w:tc>
          <w:tcPr>
            <w:tcW w:w="1482" w:type="dxa"/>
            <w:tcBorders>
              <w:top w:val="nil"/>
              <w:left w:val="nil"/>
              <w:bottom w:val="single" w:sz="4" w:space="0" w:color="auto"/>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172</w:t>
            </w:r>
          </w:p>
        </w:tc>
        <w:tc>
          <w:tcPr>
            <w:tcW w:w="1361" w:type="dxa"/>
            <w:tcBorders>
              <w:top w:val="nil"/>
              <w:left w:val="nil"/>
              <w:bottom w:val="single" w:sz="4" w:space="0" w:color="auto"/>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b/>
                <w:bCs/>
                <w:color w:val="000000"/>
                <w:sz w:val="24"/>
                <w:szCs w:val="24"/>
                <w:lang w:eastAsia="es-SV"/>
              </w:rPr>
            </w:pPr>
            <w:r w:rsidRPr="00711440">
              <w:rPr>
                <w:b/>
                <w:bCs/>
                <w:color w:val="000000"/>
                <w:sz w:val="24"/>
                <w:szCs w:val="24"/>
                <w:lang w:eastAsia="es-SV"/>
              </w:rPr>
              <w:t xml:space="preserve">$151,061.72 </w:t>
            </w:r>
          </w:p>
        </w:tc>
      </w:tr>
      <w:tr w:rsidR="00711440" w:rsidRPr="008D067D" w:rsidTr="00BC7BE8">
        <w:trPr>
          <w:trHeight w:val="885"/>
        </w:trPr>
        <w:tc>
          <w:tcPr>
            <w:tcW w:w="2284" w:type="dxa"/>
            <w:tcBorders>
              <w:top w:val="single" w:sz="4" w:space="0" w:color="auto"/>
              <w:left w:val="single" w:sz="8" w:space="0" w:color="000000"/>
              <w:bottom w:val="single" w:sz="8" w:space="0" w:color="000000"/>
              <w:right w:val="single" w:sz="8" w:space="0" w:color="000000"/>
            </w:tcBorders>
            <w:shd w:val="clear" w:color="auto" w:fill="EBF1DE"/>
            <w:tcMar>
              <w:top w:w="0" w:type="dxa"/>
              <w:left w:w="70" w:type="dxa"/>
              <w:bottom w:w="0" w:type="dxa"/>
              <w:right w:w="70" w:type="dxa"/>
            </w:tcMar>
            <w:vAlign w:val="center"/>
            <w:hideMark/>
          </w:tcPr>
          <w:p w:rsidR="00711440" w:rsidRPr="00BC7BE8" w:rsidRDefault="00711440" w:rsidP="00BC7BE8">
            <w:pPr>
              <w:rPr>
                <w:rFonts w:ascii="Arial" w:hAnsi="Arial" w:cs="Arial"/>
                <w:b/>
                <w:bCs/>
                <w:color w:val="000000"/>
                <w:sz w:val="18"/>
                <w:szCs w:val="18"/>
                <w:lang w:eastAsia="es-SV"/>
              </w:rPr>
            </w:pPr>
            <w:r w:rsidRPr="00711440">
              <w:rPr>
                <w:rFonts w:ascii="Arial" w:hAnsi="Arial" w:cs="Arial"/>
                <w:b/>
                <w:bCs/>
                <w:color w:val="000000"/>
                <w:sz w:val="18"/>
                <w:szCs w:val="18"/>
                <w:lang w:eastAsia="es-SV"/>
              </w:rPr>
              <w:t>Subsidio por</w:t>
            </w:r>
          </w:p>
          <w:p w:rsidR="00711440" w:rsidRPr="00711440" w:rsidRDefault="00711440" w:rsidP="00BC7BE8">
            <w:pPr>
              <w:rPr>
                <w:rFonts w:ascii="Arial" w:hAnsi="Arial" w:cs="Arial"/>
                <w:b/>
                <w:bCs/>
                <w:color w:val="000000"/>
                <w:sz w:val="18"/>
                <w:szCs w:val="18"/>
                <w:lang w:eastAsia="es-SV"/>
              </w:rPr>
            </w:pPr>
            <w:r w:rsidRPr="00711440">
              <w:rPr>
                <w:rFonts w:ascii="Arial" w:hAnsi="Arial" w:cs="Arial"/>
                <w:b/>
                <w:bCs/>
                <w:color w:val="000000"/>
                <w:sz w:val="18"/>
                <w:szCs w:val="18"/>
                <w:lang w:eastAsia="es-SV"/>
              </w:rPr>
              <w:t>Incapacidad</w:t>
            </w:r>
            <w:r w:rsidRPr="00BC7BE8">
              <w:rPr>
                <w:rFonts w:ascii="Arial" w:hAnsi="Arial" w:cs="Arial"/>
                <w:b/>
                <w:bCs/>
                <w:color w:val="000000"/>
                <w:sz w:val="18"/>
                <w:szCs w:val="18"/>
                <w:lang w:eastAsia="es-SV"/>
              </w:rPr>
              <w:t xml:space="preserve">  </w:t>
            </w:r>
            <w:r w:rsidRPr="00711440">
              <w:rPr>
                <w:rFonts w:ascii="Arial" w:hAnsi="Arial" w:cs="Arial"/>
                <w:b/>
                <w:bCs/>
                <w:color w:val="000000"/>
                <w:sz w:val="18"/>
                <w:szCs w:val="18"/>
                <w:lang w:eastAsia="es-SV"/>
              </w:rPr>
              <w:t xml:space="preserve">Permanente </w:t>
            </w:r>
          </w:p>
        </w:tc>
        <w:tc>
          <w:tcPr>
            <w:tcW w:w="1338" w:type="dxa"/>
            <w:tcBorders>
              <w:top w:val="single" w:sz="4" w:space="0" w:color="auto"/>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0</w:t>
            </w:r>
          </w:p>
        </w:tc>
        <w:tc>
          <w:tcPr>
            <w:tcW w:w="1420" w:type="dxa"/>
            <w:tcBorders>
              <w:top w:val="single" w:sz="4" w:space="0" w:color="auto"/>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$0.00 </w:t>
            </w:r>
          </w:p>
        </w:tc>
        <w:tc>
          <w:tcPr>
            <w:tcW w:w="1338" w:type="dxa"/>
            <w:tcBorders>
              <w:top w:val="single" w:sz="4" w:space="0" w:color="auto"/>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19</w:t>
            </w:r>
          </w:p>
        </w:tc>
        <w:tc>
          <w:tcPr>
            <w:tcW w:w="1276" w:type="dxa"/>
            <w:tcBorders>
              <w:top w:val="single" w:sz="4" w:space="0" w:color="auto"/>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$66,448.80 </w:t>
            </w:r>
          </w:p>
        </w:tc>
        <w:tc>
          <w:tcPr>
            <w:tcW w:w="1482" w:type="dxa"/>
            <w:tcBorders>
              <w:top w:val="single" w:sz="4" w:space="0" w:color="auto"/>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19</w:t>
            </w:r>
          </w:p>
        </w:tc>
        <w:tc>
          <w:tcPr>
            <w:tcW w:w="1361" w:type="dxa"/>
            <w:tcBorders>
              <w:top w:val="single" w:sz="4" w:space="0" w:color="auto"/>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$66,448.80 </w:t>
            </w:r>
          </w:p>
        </w:tc>
      </w:tr>
      <w:tr w:rsidR="00711440" w:rsidRPr="008D067D" w:rsidTr="00711440">
        <w:trPr>
          <w:trHeight w:val="900"/>
        </w:trPr>
        <w:tc>
          <w:tcPr>
            <w:tcW w:w="2284" w:type="dxa"/>
            <w:tcBorders>
              <w:top w:val="nil"/>
              <w:left w:val="single" w:sz="8" w:space="0" w:color="000000"/>
              <w:bottom w:val="single" w:sz="8" w:space="0" w:color="000000"/>
              <w:right w:val="single" w:sz="8" w:space="0" w:color="000000"/>
            </w:tcBorders>
            <w:shd w:val="clear" w:color="auto" w:fill="EBF1DE"/>
            <w:tcMar>
              <w:top w:w="0" w:type="dxa"/>
              <w:left w:w="70" w:type="dxa"/>
              <w:bottom w:w="0" w:type="dxa"/>
              <w:right w:w="70" w:type="dxa"/>
            </w:tcMar>
            <w:vAlign w:val="center"/>
            <w:hideMark/>
          </w:tcPr>
          <w:p w:rsidR="00711440" w:rsidRPr="00BC7BE8" w:rsidRDefault="00711440" w:rsidP="00BC7BE8">
            <w:pPr>
              <w:jc w:val="both"/>
              <w:rPr>
                <w:rFonts w:ascii="Arial" w:hAnsi="Arial" w:cs="Arial"/>
                <w:b/>
                <w:bCs/>
                <w:color w:val="000000"/>
                <w:sz w:val="18"/>
                <w:szCs w:val="18"/>
                <w:lang w:eastAsia="es-SV"/>
              </w:rPr>
            </w:pPr>
            <w:r w:rsidRPr="00711440">
              <w:rPr>
                <w:rFonts w:ascii="Arial" w:hAnsi="Arial" w:cs="Arial"/>
                <w:b/>
                <w:bCs/>
                <w:color w:val="000000"/>
                <w:sz w:val="18"/>
                <w:szCs w:val="18"/>
                <w:lang w:eastAsia="es-SV"/>
              </w:rPr>
              <w:t>Ayuda por Gastos</w:t>
            </w:r>
          </w:p>
          <w:p w:rsidR="00711440" w:rsidRPr="00711440" w:rsidRDefault="00711440" w:rsidP="00BC7BE8">
            <w:pPr>
              <w:jc w:val="both"/>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 Funerarios</w:t>
            </w:r>
          </w:p>
        </w:tc>
        <w:tc>
          <w:tcPr>
            <w:tcW w:w="1338" w:type="dxa"/>
            <w:tcBorders>
              <w:top w:val="nil"/>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43</w:t>
            </w:r>
          </w:p>
        </w:tc>
        <w:tc>
          <w:tcPr>
            <w:tcW w:w="1420" w:type="dxa"/>
            <w:tcBorders>
              <w:top w:val="nil"/>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$35,571.76 </w:t>
            </w:r>
          </w:p>
        </w:tc>
        <w:tc>
          <w:tcPr>
            <w:tcW w:w="1338" w:type="dxa"/>
            <w:tcBorders>
              <w:top w:val="nil"/>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52</w:t>
            </w:r>
          </w:p>
        </w:tc>
        <w:tc>
          <w:tcPr>
            <w:tcW w:w="1276" w:type="dxa"/>
            <w:tcBorders>
              <w:top w:val="nil"/>
              <w:left w:val="nil"/>
              <w:bottom w:val="single" w:sz="8" w:space="0" w:color="000000"/>
              <w:right w:val="single" w:sz="8" w:space="0" w:color="000000"/>
            </w:tcBorders>
            <w:shd w:val="clear" w:color="auto" w:fill="EBF1DE"/>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$42,359.32 </w:t>
            </w:r>
          </w:p>
        </w:tc>
        <w:tc>
          <w:tcPr>
            <w:tcW w:w="1482"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95</w:t>
            </w:r>
          </w:p>
        </w:tc>
        <w:tc>
          <w:tcPr>
            <w:tcW w:w="1361" w:type="dxa"/>
            <w:tcBorders>
              <w:top w:val="nil"/>
              <w:left w:val="nil"/>
              <w:bottom w:val="single" w:sz="8" w:space="0" w:color="000000"/>
              <w:right w:val="single" w:sz="8" w:space="0" w:color="000000"/>
            </w:tcBorders>
            <w:shd w:val="clear" w:color="auto" w:fill="D8E4BC"/>
            <w:tcMar>
              <w:top w:w="0" w:type="dxa"/>
              <w:left w:w="70" w:type="dxa"/>
              <w:bottom w:w="0" w:type="dxa"/>
              <w:right w:w="70" w:type="dxa"/>
            </w:tcMar>
            <w:vAlign w:val="bottom"/>
            <w:hideMark/>
          </w:tcPr>
          <w:p w:rsidR="00711440" w:rsidRPr="00711440" w:rsidRDefault="00711440" w:rsidP="00BC7BE8">
            <w:pPr>
              <w:jc w:val="center"/>
              <w:rPr>
                <w:rFonts w:ascii="Arial" w:hAnsi="Arial" w:cs="Arial"/>
                <w:b/>
                <w:bCs/>
                <w:color w:val="000000"/>
                <w:sz w:val="18"/>
                <w:szCs w:val="18"/>
                <w:lang w:eastAsia="es-SV"/>
              </w:rPr>
            </w:pPr>
            <w:r w:rsidRPr="00711440">
              <w:rPr>
                <w:rFonts w:ascii="Arial" w:hAnsi="Arial" w:cs="Arial"/>
                <w:b/>
                <w:bCs/>
                <w:color w:val="000000"/>
                <w:sz w:val="18"/>
                <w:szCs w:val="18"/>
                <w:lang w:eastAsia="es-SV"/>
              </w:rPr>
              <w:t xml:space="preserve">$77,931.08 </w:t>
            </w:r>
          </w:p>
        </w:tc>
      </w:tr>
    </w:tbl>
    <w:p w:rsidR="00A12198" w:rsidRPr="00740CEA" w:rsidRDefault="00A12198" w:rsidP="00A12198">
      <w:pPr>
        <w:pStyle w:val="Default"/>
        <w:rPr>
          <w:rFonts w:ascii="Century Gothic" w:hAnsi="Century Gothic"/>
          <w:sz w:val="16"/>
          <w:szCs w:val="16"/>
        </w:rPr>
      </w:pPr>
      <w:r w:rsidRPr="00740CEA">
        <w:rPr>
          <w:rFonts w:ascii="Century Gothic" w:hAnsi="Century Gothic"/>
          <w:sz w:val="16"/>
          <w:szCs w:val="16"/>
        </w:rPr>
        <w:t xml:space="preserve">           </w:t>
      </w:r>
      <w:r>
        <w:rPr>
          <w:rFonts w:ascii="Century Gothic" w:hAnsi="Century Gothic"/>
          <w:sz w:val="16"/>
          <w:szCs w:val="16"/>
        </w:rPr>
        <w:t xml:space="preserve">Fuente: </w:t>
      </w:r>
      <w:r w:rsidR="008C709C">
        <w:rPr>
          <w:rFonts w:ascii="Century Gothic" w:hAnsi="Century Gothic"/>
          <w:sz w:val="16"/>
          <w:szCs w:val="16"/>
        </w:rPr>
        <w:t xml:space="preserve">Registros de la </w:t>
      </w:r>
      <w:r>
        <w:rPr>
          <w:rFonts w:ascii="Century Gothic" w:hAnsi="Century Gothic"/>
          <w:sz w:val="16"/>
          <w:szCs w:val="16"/>
        </w:rPr>
        <w:t>División de Riesgos Profesionales, Beneficios y Prestaciones.</w:t>
      </w:r>
    </w:p>
    <w:p w:rsidR="00A12198" w:rsidRDefault="00A12198" w:rsidP="00BE4A02">
      <w:pPr>
        <w:jc w:val="both"/>
        <w:rPr>
          <w:rFonts w:ascii="Century Gothic" w:hAnsi="Century Gothic"/>
        </w:rPr>
      </w:pPr>
    </w:p>
    <w:p w:rsidR="00381593" w:rsidRDefault="00381593" w:rsidP="008C709C">
      <w:pPr>
        <w:spacing w:before="200" w:line="276" w:lineRule="auto"/>
        <w:jc w:val="both"/>
        <w:rPr>
          <w:rFonts w:ascii="Century Gothic" w:hAnsi="Century Gothic"/>
        </w:rPr>
      </w:pPr>
    </w:p>
    <w:p w:rsidR="008C709C" w:rsidRDefault="00DC1250" w:rsidP="008C709C">
      <w:pPr>
        <w:spacing w:before="200" w:line="276" w:lineRule="auto"/>
        <w:jc w:val="both"/>
        <w:rPr>
          <w:rFonts w:ascii="Century Gothic" w:hAnsi="Century Gothic"/>
        </w:rPr>
      </w:pPr>
      <w:r w:rsidRPr="008C709C">
        <w:rPr>
          <w:rFonts w:ascii="Century Gothic" w:hAnsi="Century Gothic"/>
        </w:rPr>
        <w:t>Además,</w:t>
      </w:r>
      <w:r w:rsidR="008C709C" w:rsidRPr="008C709C">
        <w:rPr>
          <w:rFonts w:ascii="Century Gothic" w:hAnsi="Century Gothic"/>
        </w:rPr>
        <w:t xml:space="preserve"> se aprob</w:t>
      </w:r>
      <w:r w:rsidR="00024156">
        <w:rPr>
          <w:rFonts w:ascii="Century Gothic" w:hAnsi="Century Gothic"/>
        </w:rPr>
        <w:t>ó</w:t>
      </w:r>
      <w:r w:rsidR="008C709C" w:rsidRPr="008C709C">
        <w:rPr>
          <w:rFonts w:ascii="Century Gothic" w:hAnsi="Century Gothic"/>
        </w:rPr>
        <w:t>:</w:t>
      </w:r>
    </w:p>
    <w:p w:rsidR="00381593" w:rsidRPr="008C709C" w:rsidRDefault="00381593" w:rsidP="008C709C">
      <w:pPr>
        <w:spacing w:before="200" w:line="276" w:lineRule="auto"/>
        <w:jc w:val="both"/>
        <w:rPr>
          <w:rFonts w:ascii="Century Gothic" w:hAnsi="Century Gothic"/>
        </w:rPr>
      </w:pPr>
    </w:p>
    <w:p w:rsidR="008C709C" w:rsidRDefault="008C709C" w:rsidP="008C709C">
      <w:pPr>
        <w:numPr>
          <w:ilvl w:val="0"/>
          <w:numId w:val="5"/>
        </w:numPr>
        <w:spacing w:before="200" w:line="276" w:lineRule="auto"/>
        <w:jc w:val="both"/>
        <w:rPr>
          <w:rFonts w:ascii="Century Gothic" w:hAnsi="Century Gothic"/>
        </w:rPr>
      </w:pPr>
      <w:r w:rsidRPr="008C709C">
        <w:rPr>
          <w:rFonts w:ascii="Century Gothic" w:hAnsi="Century Gothic"/>
        </w:rPr>
        <w:t xml:space="preserve">La reincorporación/continuidad de ocho (08) jóvenes con invalidez o discapacidad, mayores de 21 años, hijos de docentes activos. </w:t>
      </w:r>
    </w:p>
    <w:p w:rsidR="00381593" w:rsidRPr="008C709C" w:rsidRDefault="00381593" w:rsidP="00381593">
      <w:pPr>
        <w:spacing w:before="200" w:line="276" w:lineRule="auto"/>
        <w:ind w:left="720"/>
        <w:jc w:val="both"/>
        <w:rPr>
          <w:rFonts w:ascii="Century Gothic" w:hAnsi="Century Gothic"/>
        </w:rPr>
      </w:pPr>
    </w:p>
    <w:p w:rsidR="008C709C" w:rsidRPr="00381593" w:rsidRDefault="008C709C" w:rsidP="008C709C">
      <w:pPr>
        <w:numPr>
          <w:ilvl w:val="0"/>
          <w:numId w:val="5"/>
        </w:numPr>
        <w:spacing w:before="200" w:line="276" w:lineRule="auto"/>
        <w:jc w:val="both"/>
        <w:rPr>
          <w:rFonts w:ascii="Century Gothic" w:hAnsi="Century Gothic"/>
        </w:rPr>
      </w:pPr>
      <w:r w:rsidRPr="008C709C">
        <w:rPr>
          <w:rFonts w:ascii="Century Gothic" w:hAnsi="Century Gothic"/>
        </w:rPr>
        <w:t xml:space="preserve">Una </w:t>
      </w:r>
      <w:r w:rsidRPr="00381593">
        <w:rPr>
          <w:rFonts w:ascii="Century Gothic" w:hAnsi="Century Gothic"/>
        </w:rPr>
        <w:t>pensión de sobrevivencia por riesgos</w:t>
      </w:r>
      <w:r w:rsidR="00096391" w:rsidRPr="00381593">
        <w:rPr>
          <w:rFonts w:ascii="Century Gothic" w:hAnsi="Century Gothic"/>
        </w:rPr>
        <w:t xml:space="preserve">, a favor de (02) dos beneficiarios, en su calidad de </w:t>
      </w:r>
      <w:r w:rsidR="00DC1250" w:rsidRPr="00381593">
        <w:rPr>
          <w:rFonts w:ascii="Century Gothic" w:hAnsi="Century Gothic"/>
        </w:rPr>
        <w:t>hijos de</w:t>
      </w:r>
      <w:r w:rsidR="00096391" w:rsidRPr="00381593">
        <w:rPr>
          <w:rFonts w:ascii="Century Gothic" w:hAnsi="Century Gothic"/>
        </w:rPr>
        <w:t xml:space="preserve"> docente fallecida</w:t>
      </w:r>
      <w:r w:rsidRPr="00381593">
        <w:rPr>
          <w:rFonts w:ascii="Century Gothic" w:hAnsi="Century Gothic"/>
        </w:rPr>
        <w:t>.</w:t>
      </w:r>
      <w:r w:rsidR="00D56C13" w:rsidRPr="00381593">
        <w:rPr>
          <w:rFonts w:ascii="Century Gothic" w:hAnsi="Century Gothic"/>
        </w:rPr>
        <w:t xml:space="preserve"> </w:t>
      </w:r>
    </w:p>
    <w:p w:rsidR="00A12198" w:rsidRPr="00381593" w:rsidRDefault="00A12198" w:rsidP="00E61FA9">
      <w:pPr>
        <w:spacing w:before="200" w:line="276" w:lineRule="auto"/>
        <w:jc w:val="both"/>
        <w:rPr>
          <w:rFonts w:ascii="Century Gothic" w:hAnsi="Century Gothic"/>
        </w:rPr>
      </w:pPr>
    </w:p>
    <w:p w:rsidR="00864411" w:rsidRDefault="00864411" w:rsidP="00381D10">
      <w:pPr>
        <w:pStyle w:val="Ttulo3"/>
        <w:numPr>
          <w:ilvl w:val="0"/>
          <w:numId w:val="9"/>
        </w:numPr>
        <w:spacing w:after="240"/>
        <w:ind w:left="357" w:hanging="357"/>
        <w:jc w:val="both"/>
        <w:rPr>
          <w:sz w:val="24"/>
        </w:rPr>
      </w:pPr>
      <w:bookmarkStart w:id="34" w:name="_Toc467228659"/>
      <w:r w:rsidRPr="007651C1">
        <w:rPr>
          <w:sz w:val="24"/>
        </w:rPr>
        <w:t>FORTALECIMIENTO ADMINISTRATIVO INSTITUCIONAL</w:t>
      </w:r>
      <w:bookmarkEnd w:id="34"/>
    </w:p>
    <w:p w:rsidR="00864411" w:rsidRDefault="0059133F" w:rsidP="00E61FA9">
      <w:pPr>
        <w:pStyle w:val="Ttulo4"/>
        <w:numPr>
          <w:ilvl w:val="3"/>
          <w:numId w:val="25"/>
        </w:numPr>
        <w:spacing w:after="120"/>
        <w:rPr>
          <w:sz w:val="24"/>
        </w:rPr>
      </w:pPr>
      <w:bookmarkStart w:id="35" w:name="_Toc467228660"/>
      <w:r>
        <w:rPr>
          <w:sz w:val="24"/>
        </w:rPr>
        <w:t>D</w:t>
      </w:r>
      <w:r w:rsidR="00DA501E">
        <w:rPr>
          <w:sz w:val="24"/>
        </w:rPr>
        <w:t xml:space="preserve">ESARROLLO HUMANO </w:t>
      </w:r>
      <w:bookmarkEnd w:id="35"/>
    </w:p>
    <w:p w:rsidR="00E61FA9" w:rsidRDefault="00755625" w:rsidP="00E61FA9">
      <w:r>
        <w:rPr>
          <w:noProof/>
          <w:lang w:eastAsia="es-SV"/>
        </w:rPr>
        <w:drawing>
          <wp:inline distT="0" distB="0" distL="0" distR="0">
            <wp:extent cx="5734050" cy="2447925"/>
            <wp:effectExtent l="19050" t="0" r="0" b="0"/>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srcRect/>
                    <a:stretch>
                      <a:fillRect/>
                    </a:stretch>
                  </pic:blipFill>
                  <pic:spPr bwMode="auto">
                    <a:xfrm>
                      <a:off x="0" y="0"/>
                      <a:ext cx="5734050" cy="2447925"/>
                    </a:xfrm>
                    <a:prstGeom prst="rect">
                      <a:avLst/>
                    </a:prstGeom>
                    <a:noFill/>
                    <a:ln w="9525">
                      <a:noFill/>
                      <a:miter lim="800000"/>
                      <a:headEnd/>
                      <a:tailEnd/>
                    </a:ln>
                  </pic:spPr>
                </pic:pic>
              </a:graphicData>
            </a:graphic>
          </wp:inline>
        </w:drawing>
      </w:r>
    </w:p>
    <w:p w:rsidR="00BC7BE8" w:rsidRDefault="00BC7BE8" w:rsidP="007E61DD">
      <w:pPr>
        <w:jc w:val="center"/>
        <w:rPr>
          <w:b/>
          <w:bCs/>
        </w:rPr>
      </w:pPr>
    </w:p>
    <w:tbl>
      <w:tblPr>
        <w:tblpPr w:leftFromText="141" w:rightFromText="141" w:vertAnchor="page" w:horzAnchor="margin" w:tblpY="7591"/>
        <w:tblW w:w="5270" w:type="pct"/>
        <w:tblCellMar>
          <w:left w:w="70" w:type="dxa"/>
          <w:right w:w="70" w:type="dxa"/>
        </w:tblCellMar>
        <w:tblLook w:val="04A0"/>
      </w:tblPr>
      <w:tblGrid>
        <w:gridCol w:w="1802"/>
        <w:gridCol w:w="1966"/>
        <w:gridCol w:w="1785"/>
        <w:gridCol w:w="1132"/>
        <w:gridCol w:w="1495"/>
        <w:gridCol w:w="827"/>
        <w:gridCol w:w="182"/>
        <w:gridCol w:w="274"/>
      </w:tblGrid>
      <w:tr w:rsidR="00304D15" w:rsidRPr="008D067D" w:rsidTr="00304D15">
        <w:trPr>
          <w:trHeight w:val="186"/>
        </w:trPr>
        <w:tc>
          <w:tcPr>
            <w:tcW w:w="952"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1039"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943"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598"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790"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437"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96"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c>
          <w:tcPr>
            <w:tcW w:w="145" w:type="pct"/>
            <w:tcBorders>
              <w:top w:val="nil"/>
              <w:left w:val="nil"/>
              <w:bottom w:val="nil"/>
              <w:right w:val="nil"/>
            </w:tcBorders>
            <w:shd w:val="clear" w:color="auto" w:fill="auto"/>
            <w:noWrap/>
            <w:vAlign w:val="bottom"/>
          </w:tcPr>
          <w:p w:rsidR="00304D15" w:rsidRPr="008D067D" w:rsidRDefault="00304D15" w:rsidP="00304D15">
            <w:pPr>
              <w:rPr>
                <w:rFonts w:eastAsia="Times New Roman"/>
                <w:color w:val="000000"/>
                <w:lang w:eastAsia="es-SV"/>
              </w:rPr>
            </w:pPr>
          </w:p>
        </w:tc>
      </w:tr>
      <w:tr w:rsidR="00304D15" w:rsidRPr="008D067D" w:rsidTr="00304D15">
        <w:trPr>
          <w:trHeight w:val="345"/>
        </w:trPr>
        <w:tc>
          <w:tcPr>
            <w:tcW w:w="952" w:type="pct"/>
            <w:tcBorders>
              <w:top w:val="nil"/>
              <w:left w:val="nil"/>
              <w:bottom w:val="single" w:sz="4" w:space="0" w:color="auto"/>
              <w:right w:val="nil"/>
            </w:tcBorders>
            <w:shd w:val="clear" w:color="auto" w:fill="auto"/>
            <w:noWrap/>
            <w:vAlign w:val="center"/>
            <w:hideMark/>
          </w:tcPr>
          <w:p w:rsidR="00304D15" w:rsidRPr="008D067D" w:rsidRDefault="00304D15" w:rsidP="00304D15">
            <w:pPr>
              <w:jc w:val="center"/>
              <w:rPr>
                <w:rFonts w:eastAsia="Times New Roman" w:cs="Arial"/>
                <w:b/>
                <w:bCs/>
                <w:u w:val="single"/>
                <w:lang w:eastAsia="es-SV"/>
              </w:rPr>
            </w:pPr>
            <w:r w:rsidRPr="008D067D">
              <w:rPr>
                <w:rFonts w:eastAsia="Times New Roman" w:cs="Arial"/>
                <w:b/>
                <w:bCs/>
                <w:color w:val="365F91"/>
                <w:u w:val="single"/>
                <w:lang w:eastAsia="es-SV"/>
              </w:rPr>
              <w:t>Sexo</w:t>
            </w:r>
          </w:p>
        </w:tc>
        <w:tc>
          <w:tcPr>
            <w:tcW w:w="1039" w:type="pct"/>
            <w:tcBorders>
              <w:top w:val="nil"/>
              <w:left w:val="nil"/>
              <w:bottom w:val="single" w:sz="4" w:space="0" w:color="auto"/>
              <w:right w:val="nil"/>
            </w:tcBorders>
            <w:shd w:val="clear" w:color="auto" w:fill="auto"/>
            <w:vAlign w:val="center"/>
            <w:hideMark/>
          </w:tcPr>
          <w:p w:rsidR="00304D15" w:rsidRPr="008D067D" w:rsidRDefault="00304D15" w:rsidP="00304D15">
            <w:pPr>
              <w:jc w:val="center"/>
              <w:rPr>
                <w:rFonts w:eastAsia="Times New Roman" w:cs="Arial"/>
                <w:b/>
                <w:bCs/>
                <w:color w:val="000000"/>
                <w:u w:val="single"/>
                <w:lang w:eastAsia="es-SV"/>
              </w:rPr>
            </w:pPr>
            <w:r w:rsidRPr="008D067D">
              <w:rPr>
                <w:rFonts w:eastAsia="Times New Roman" w:cs="Arial"/>
                <w:b/>
                <w:bCs/>
                <w:color w:val="000000"/>
                <w:u w:val="single"/>
                <w:lang w:eastAsia="es-SV"/>
              </w:rPr>
              <w:t>Metropolitana y Central</w:t>
            </w:r>
          </w:p>
        </w:tc>
        <w:tc>
          <w:tcPr>
            <w:tcW w:w="943" w:type="pct"/>
            <w:tcBorders>
              <w:top w:val="nil"/>
              <w:left w:val="nil"/>
              <w:bottom w:val="single" w:sz="4" w:space="0" w:color="auto"/>
              <w:right w:val="nil"/>
            </w:tcBorders>
            <w:shd w:val="clear" w:color="auto" w:fill="auto"/>
            <w:noWrap/>
            <w:vAlign w:val="center"/>
            <w:hideMark/>
          </w:tcPr>
          <w:p w:rsidR="00304D15" w:rsidRPr="008D067D" w:rsidRDefault="00304D15" w:rsidP="00304D15">
            <w:pPr>
              <w:jc w:val="center"/>
              <w:rPr>
                <w:rFonts w:eastAsia="Times New Roman" w:cs="Arial"/>
                <w:b/>
                <w:bCs/>
                <w:color w:val="000000"/>
                <w:u w:val="single"/>
                <w:lang w:eastAsia="es-SV"/>
              </w:rPr>
            </w:pPr>
            <w:r w:rsidRPr="008D067D">
              <w:rPr>
                <w:rFonts w:eastAsia="Times New Roman" w:cs="Arial"/>
                <w:b/>
                <w:bCs/>
                <w:color w:val="000000"/>
                <w:u w:val="single"/>
                <w:lang w:eastAsia="es-SV"/>
              </w:rPr>
              <w:t xml:space="preserve">Para Central </w:t>
            </w:r>
          </w:p>
        </w:tc>
        <w:tc>
          <w:tcPr>
            <w:tcW w:w="598" w:type="pct"/>
            <w:tcBorders>
              <w:top w:val="nil"/>
              <w:left w:val="nil"/>
              <w:bottom w:val="single" w:sz="4" w:space="0" w:color="auto"/>
              <w:right w:val="nil"/>
            </w:tcBorders>
            <w:shd w:val="clear" w:color="auto" w:fill="auto"/>
            <w:noWrap/>
            <w:vAlign w:val="center"/>
            <w:hideMark/>
          </w:tcPr>
          <w:p w:rsidR="00304D15" w:rsidRPr="008D067D" w:rsidRDefault="00304D15" w:rsidP="00304D15">
            <w:pPr>
              <w:jc w:val="center"/>
              <w:rPr>
                <w:rFonts w:eastAsia="Times New Roman" w:cs="Arial"/>
                <w:b/>
                <w:bCs/>
                <w:color w:val="000000"/>
                <w:u w:val="single"/>
                <w:lang w:eastAsia="es-SV"/>
              </w:rPr>
            </w:pPr>
            <w:r w:rsidRPr="008D067D">
              <w:rPr>
                <w:rFonts w:eastAsia="Times New Roman" w:cs="Arial"/>
                <w:b/>
                <w:bCs/>
                <w:color w:val="000000"/>
                <w:u w:val="single"/>
                <w:lang w:eastAsia="es-SV"/>
              </w:rPr>
              <w:t>Oriente</w:t>
            </w:r>
          </w:p>
        </w:tc>
        <w:tc>
          <w:tcPr>
            <w:tcW w:w="790" w:type="pct"/>
            <w:tcBorders>
              <w:top w:val="nil"/>
              <w:left w:val="nil"/>
              <w:bottom w:val="single" w:sz="4" w:space="0" w:color="auto"/>
              <w:right w:val="nil"/>
            </w:tcBorders>
            <w:shd w:val="clear" w:color="auto" w:fill="auto"/>
            <w:noWrap/>
            <w:vAlign w:val="center"/>
            <w:hideMark/>
          </w:tcPr>
          <w:p w:rsidR="00304D15" w:rsidRPr="008D067D" w:rsidRDefault="00304D15" w:rsidP="00304D15">
            <w:pPr>
              <w:jc w:val="center"/>
              <w:rPr>
                <w:rFonts w:eastAsia="Times New Roman" w:cs="Arial"/>
                <w:b/>
                <w:bCs/>
                <w:color w:val="000000"/>
                <w:u w:val="single"/>
                <w:lang w:eastAsia="es-SV"/>
              </w:rPr>
            </w:pPr>
            <w:r w:rsidRPr="008D067D">
              <w:rPr>
                <w:rFonts w:eastAsia="Times New Roman" w:cs="Arial"/>
                <w:b/>
                <w:bCs/>
                <w:color w:val="000000"/>
                <w:u w:val="single"/>
                <w:lang w:eastAsia="es-SV"/>
              </w:rPr>
              <w:t>Occidente</w:t>
            </w:r>
          </w:p>
        </w:tc>
        <w:tc>
          <w:tcPr>
            <w:tcW w:w="437" w:type="pct"/>
            <w:tcBorders>
              <w:top w:val="nil"/>
              <w:left w:val="nil"/>
              <w:bottom w:val="single" w:sz="4" w:space="0" w:color="auto"/>
              <w:right w:val="nil"/>
            </w:tcBorders>
            <w:shd w:val="clear" w:color="auto" w:fill="auto"/>
            <w:noWrap/>
            <w:vAlign w:val="center"/>
            <w:hideMark/>
          </w:tcPr>
          <w:p w:rsidR="00304D15" w:rsidRPr="008D067D" w:rsidRDefault="00304D15" w:rsidP="00304D15">
            <w:pPr>
              <w:jc w:val="center"/>
              <w:rPr>
                <w:rFonts w:eastAsia="Times New Roman" w:cs="Arial"/>
                <w:b/>
                <w:bCs/>
                <w:color w:val="000000"/>
                <w:u w:val="single"/>
                <w:lang w:eastAsia="es-SV"/>
              </w:rPr>
            </w:pPr>
            <w:r w:rsidRPr="008D067D">
              <w:rPr>
                <w:rFonts w:eastAsia="Times New Roman" w:cs="Arial"/>
                <w:b/>
                <w:bCs/>
                <w:color w:val="000000"/>
                <w:u w:val="single"/>
                <w:lang w:eastAsia="es-SV"/>
              </w:rPr>
              <w:t>Total</w:t>
            </w:r>
          </w:p>
        </w:tc>
        <w:tc>
          <w:tcPr>
            <w:tcW w:w="96"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c>
          <w:tcPr>
            <w:tcW w:w="145"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r>
      <w:tr w:rsidR="00304D15" w:rsidRPr="008D067D" w:rsidTr="008D067D">
        <w:trPr>
          <w:trHeight w:val="168"/>
        </w:trPr>
        <w:tc>
          <w:tcPr>
            <w:tcW w:w="952" w:type="pct"/>
            <w:tcBorders>
              <w:top w:val="nil"/>
              <w:left w:val="nil"/>
              <w:bottom w:val="nil"/>
              <w:right w:val="nil"/>
            </w:tcBorders>
            <w:shd w:val="clear" w:color="auto" w:fill="DBE5F1"/>
            <w:noWrap/>
            <w:vAlign w:val="bottom"/>
            <w:hideMark/>
          </w:tcPr>
          <w:p w:rsidR="00304D15" w:rsidRPr="008D067D" w:rsidRDefault="00304D15" w:rsidP="00304D15">
            <w:pPr>
              <w:rPr>
                <w:rFonts w:eastAsia="Times New Roman" w:cs="Arial"/>
                <w:color w:val="365F91"/>
                <w:lang w:eastAsia="es-SV"/>
              </w:rPr>
            </w:pPr>
            <w:r w:rsidRPr="008D067D">
              <w:rPr>
                <w:rFonts w:eastAsia="Times New Roman" w:cs="Arial"/>
                <w:color w:val="365F91"/>
                <w:lang w:eastAsia="es-SV"/>
              </w:rPr>
              <w:t>FEMENINO</w:t>
            </w:r>
          </w:p>
        </w:tc>
        <w:tc>
          <w:tcPr>
            <w:tcW w:w="1039"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lang w:eastAsia="es-SV"/>
              </w:rPr>
            </w:pPr>
            <w:r w:rsidRPr="008D067D">
              <w:rPr>
                <w:rFonts w:eastAsia="Times New Roman" w:cs="Arial"/>
                <w:lang w:eastAsia="es-SV"/>
              </w:rPr>
              <w:t>192</w:t>
            </w:r>
          </w:p>
        </w:tc>
        <w:tc>
          <w:tcPr>
            <w:tcW w:w="943"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lang w:eastAsia="es-SV"/>
              </w:rPr>
            </w:pPr>
            <w:r w:rsidRPr="008D067D">
              <w:rPr>
                <w:rFonts w:eastAsia="Times New Roman" w:cs="Arial"/>
                <w:lang w:eastAsia="es-SV"/>
              </w:rPr>
              <w:t>63</w:t>
            </w:r>
          </w:p>
        </w:tc>
        <w:tc>
          <w:tcPr>
            <w:tcW w:w="598"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lang w:eastAsia="es-SV"/>
              </w:rPr>
            </w:pPr>
            <w:r w:rsidRPr="008D067D">
              <w:rPr>
                <w:rFonts w:eastAsia="Times New Roman" w:cs="Arial"/>
                <w:lang w:eastAsia="es-SV"/>
              </w:rPr>
              <w:t>78</w:t>
            </w:r>
          </w:p>
        </w:tc>
        <w:tc>
          <w:tcPr>
            <w:tcW w:w="790"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lang w:eastAsia="es-SV"/>
              </w:rPr>
            </w:pPr>
            <w:r w:rsidRPr="008D067D">
              <w:rPr>
                <w:rFonts w:eastAsia="Times New Roman" w:cs="Arial"/>
                <w:lang w:eastAsia="es-SV"/>
              </w:rPr>
              <w:t>59</w:t>
            </w:r>
          </w:p>
        </w:tc>
        <w:tc>
          <w:tcPr>
            <w:tcW w:w="437"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392</w:t>
            </w:r>
          </w:p>
        </w:tc>
        <w:tc>
          <w:tcPr>
            <w:tcW w:w="96"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c>
          <w:tcPr>
            <w:tcW w:w="145"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r>
      <w:tr w:rsidR="00304D15" w:rsidRPr="008D067D" w:rsidTr="00304D15">
        <w:trPr>
          <w:trHeight w:val="177"/>
        </w:trPr>
        <w:tc>
          <w:tcPr>
            <w:tcW w:w="952" w:type="pct"/>
            <w:tcBorders>
              <w:top w:val="nil"/>
              <w:left w:val="nil"/>
              <w:bottom w:val="double" w:sz="6" w:space="0" w:color="auto"/>
              <w:right w:val="nil"/>
            </w:tcBorders>
            <w:shd w:val="clear" w:color="auto" w:fill="auto"/>
            <w:noWrap/>
            <w:vAlign w:val="bottom"/>
            <w:hideMark/>
          </w:tcPr>
          <w:p w:rsidR="00304D15" w:rsidRPr="008D067D" w:rsidRDefault="00304D15" w:rsidP="00304D15">
            <w:pPr>
              <w:rPr>
                <w:rFonts w:eastAsia="Times New Roman" w:cs="Arial"/>
                <w:color w:val="365F91"/>
                <w:lang w:eastAsia="es-SV"/>
              </w:rPr>
            </w:pPr>
            <w:r w:rsidRPr="008D067D">
              <w:rPr>
                <w:rFonts w:eastAsia="Times New Roman" w:cs="Arial"/>
                <w:color w:val="365F91"/>
                <w:lang w:eastAsia="es-SV"/>
              </w:rPr>
              <w:t>MASCULINO</w:t>
            </w:r>
          </w:p>
        </w:tc>
        <w:tc>
          <w:tcPr>
            <w:tcW w:w="1039" w:type="pct"/>
            <w:tcBorders>
              <w:top w:val="nil"/>
              <w:left w:val="nil"/>
              <w:bottom w:val="double" w:sz="6" w:space="0" w:color="auto"/>
              <w:right w:val="nil"/>
            </w:tcBorders>
            <w:shd w:val="clear" w:color="auto" w:fill="auto"/>
            <w:noWrap/>
            <w:vAlign w:val="center"/>
            <w:hideMark/>
          </w:tcPr>
          <w:p w:rsidR="00304D15" w:rsidRPr="008D067D" w:rsidRDefault="00304D15" w:rsidP="00304D15">
            <w:pPr>
              <w:jc w:val="center"/>
              <w:rPr>
                <w:rFonts w:eastAsia="Times New Roman" w:cs="Arial"/>
                <w:color w:val="000000"/>
                <w:lang w:eastAsia="es-SV"/>
              </w:rPr>
            </w:pPr>
            <w:r w:rsidRPr="008D067D">
              <w:rPr>
                <w:rFonts w:eastAsia="Times New Roman" w:cs="Arial"/>
                <w:color w:val="000000"/>
                <w:lang w:eastAsia="es-SV"/>
              </w:rPr>
              <w:t>125</w:t>
            </w:r>
          </w:p>
        </w:tc>
        <w:tc>
          <w:tcPr>
            <w:tcW w:w="943" w:type="pct"/>
            <w:tcBorders>
              <w:top w:val="nil"/>
              <w:left w:val="nil"/>
              <w:bottom w:val="double" w:sz="6" w:space="0" w:color="auto"/>
              <w:right w:val="nil"/>
            </w:tcBorders>
            <w:shd w:val="clear" w:color="auto" w:fill="auto"/>
            <w:noWrap/>
            <w:vAlign w:val="center"/>
            <w:hideMark/>
          </w:tcPr>
          <w:p w:rsidR="00304D15" w:rsidRPr="008D067D" w:rsidRDefault="00304D15" w:rsidP="00304D15">
            <w:pPr>
              <w:jc w:val="center"/>
              <w:rPr>
                <w:rFonts w:eastAsia="Times New Roman" w:cs="Arial"/>
                <w:color w:val="000000"/>
                <w:lang w:eastAsia="es-SV"/>
              </w:rPr>
            </w:pPr>
            <w:r w:rsidRPr="008D067D">
              <w:rPr>
                <w:rFonts w:eastAsia="Times New Roman" w:cs="Arial"/>
                <w:color w:val="000000"/>
                <w:lang w:eastAsia="es-SV"/>
              </w:rPr>
              <w:t>30</w:t>
            </w:r>
          </w:p>
        </w:tc>
        <w:tc>
          <w:tcPr>
            <w:tcW w:w="598" w:type="pct"/>
            <w:tcBorders>
              <w:top w:val="nil"/>
              <w:left w:val="nil"/>
              <w:bottom w:val="double" w:sz="6" w:space="0" w:color="auto"/>
              <w:right w:val="nil"/>
            </w:tcBorders>
            <w:shd w:val="clear" w:color="auto" w:fill="auto"/>
            <w:noWrap/>
            <w:vAlign w:val="center"/>
            <w:hideMark/>
          </w:tcPr>
          <w:p w:rsidR="00304D15" w:rsidRPr="008D067D" w:rsidRDefault="00304D15" w:rsidP="00304D15">
            <w:pPr>
              <w:jc w:val="center"/>
              <w:rPr>
                <w:rFonts w:eastAsia="Times New Roman" w:cs="Arial"/>
                <w:color w:val="000000"/>
                <w:lang w:eastAsia="es-SV"/>
              </w:rPr>
            </w:pPr>
            <w:r w:rsidRPr="008D067D">
              <w:rPr>
                <w:rFonts w:eastAsia="Times New Roman" w:cs="Arial"/>
                <w:color w:val="000000"/>
                <w:lang w:eastAsia="es-SV"/>
              </w:rPr>
              <w:t>45</w:t>
            </w:r>
          </w:p>
        </w:tc>
        <w:tc>
          <w:tcPr>
            <w:tcW w:w="790" w:type="pct"/>
            <w:tcBorders>
              <w:top w:val="nil"/>
              <w:left w:val="nil"/>
              <w:bottom w:val="double" w:sz="6" w:space="0" w:color="auto"/>
              <w:right w:val="nil"/>
            </w:tcBorders>
            <w:shd w:val="clear" w:color="auto" w:fill="auto"/>
            <w:noWrap/>
            <w:vAlign w:val="center"/>
            <w:hideMark/>
          </w:tcPr>
          <w:p w:rsidR="00304D15" w:rsidRPr="008D067D" w:rsidRDefault="00304D15" w:rsidP="00304D15">
            <w:pPr>
              <w:jc w:val="center"/>
              <w:rPr>
                <w:rFonts w:eastAsia="Times New Roman" w:cs="Arial"/>
                <w:color w:val="000000"/>
                <w:lang w:eastAsia="es-SV"/>
              </w:rPr>
            </w:pPr>
            <w:r w:rsidRPr="008D067D">
              <w:rPr>
                <w:rFonts w:eastAsia="Times New Roman" w:cs="Arial"/>
                <w:color w:val="000000"/>
                <w:lang w:eastAsia="es-SV"/>
              </w:rPr>
              <w:t>30</w:t>
            </w:r>
          </w:p>
        </w:tc>
        <w:tc>
          <w:tcPr>
            <w:tcW w:w="437" w:type="pct"/>
            <w:tcBorders>
              <w:top w:val="nil"/>
              <w:left w:val="nil"/>
              <w:bottom w:val="double" w:sz="6" w:space="0" w:color="auto"/>
              <w:right w:val="nil"/>
            </w:tcBorders>
            <w:shd w:val="clear" w:color="auto" w:fill="auto"/>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230</w:t>
            </w:r>
          </w:p>
        </w:tc>
        <w:tc>
          <w:tcPr>
            <w:tcW w:w="96"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c>
          <w:tcPr>
            <w:tcW w:w="145"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r>
      <w:tr w:rsidR="00304D15" w:rsidRPr="008D067D" w:rsidTr="008D067D">
        <w:trPr>
          <w:trHeight w:val="63"/>
        </w:trPr>
        <w:tc>
          <w:tcPr>
            <w:tcW w:w="952" w:type="pct"/>
            <w:tcBorders>
              <w:top w:val="nil"/>
              <w:left w:val="nil"/>
              <w:bottom w:val="nil"/>
              <w:right w:val="nil"/>
            </w:tcBorders>
            <w:shd w:val="clear" w:color="auto" w:fill="DBE5F1"/>
            <w:noWrap/>
            <w:vAlign w:val="bottom"/>
            <w:hideMark/>
          </w:tcPr>
          <w:p w:rsidR="00304D15" w:rsidRPr="008D067D" w:rsidRDefault="00304D15" w:rsidP="00304D15">
            <w:pPr>
              <w:rPr>
                <w:rFonts w:eastAsia="Times New Roman" w:cs="Arial"/>
                <w:b/>
                <w:bCs/>
                <w:color w:val="365F91"/>
                <w:lang w:eastAsia="es-SV"/>
              </w:rPr>
            </w:pPr>
            <w:r w:rsidRPr="008D067D">
              <w:rPr>
                <w:rFonts w:eastAsia="Times New Roman" w:cs="Arial"/>
                <w:b/>
                <w:bCs/>
                <w:color w:val="365F91"/>
                <w:lang w:eastAsia="es-SV"/>
              </w:rPr>
              <w:t xml:space="preserve">Total </w:t>
            </w:r>
          </w:p>
        </w:tc>
        <w:tc>
          <w:tcPr>
            <w:tcW w:w="1039"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317</w:t>
            </w:r>
          </w:p>
        </w:tc>
        <w:tc>
          <w:tcPr>
            <w:tcW w:w="943"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93</w:t>
            </w:r>
          </w:p>
        </w:tc>
        <w:tc>
          <w:tcPr>
            <w:tcW w:w="598"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123</w:t>
            </w:r>
          </w:p>
        </w:tc>
        <w:tc>
          <w:tcPr>
            <w:tcW w:w="790"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89</w:t>
            </w:r>
          </w:p>
        </w:tc>
        <w:tc>
          <w:tcPr>
            <w:tcW w:w="437" w:type="pct"/>
            <w:tcBorders>
              <w:top w:val="nil"/>
              <w:left w:val="nil"/>
              <w:bottom w:val="nil"/>
              <w:right w:val="nil"/>
            </w:tcBorders>
            <w:shd w:val="clear" w:color="auto" w:fill="DBE5F1"/>
            <w:noWrap/>
            <w:vAlign w:val="center"/>
            <w:hideMark/>
          </w:tcPr>
          <w:p w:rsidR="00304D15" w:rsidRPr="008D067D" w:rsidRDefault="00304D15" w:rsidP="00304D15">
            <w:pPr>
              <w:jc w:val="center"/>
              <w:rPr>
                <w:rFonts w:eastAsia="Times New Roman" w:cs="Arial"/>
                <w:b/>
                <w:bCs/>
                <w:color w:val="000000"/>
                <w:lang w:eastAsia="es-SV"/>
              </w:rPr>
            </w:pPr>
            <w:r w:rsidRPr="008D067D">
              <w:rPr>
                <w:rFonts w:eastAsia="Times New Roman" w:cs="Arial"/>
                <w:b/>
                <w:bCs/>
                <w:color w:val="000000"/>
                <w:lang w:eastAsia="es-SV"/>
              </w:rPr>
              <w:t>622</w:t>
            </w:r>
          </w:p>
        </w:tc>
        <w:tc>
          <w:tcPr>
            <w:tcW w:w="96"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c>
          <w:tcPr>
            <w:tcW w:w="145" w:type="pct"/>
            <w:tcBorders>
              <w:top w:val="nil"/>
              <w:left w:val="nil"/>
              <w:bottom w:val="nil"/>
              <w:right w:val="nil"/>
            </w:tcBorders>
            <w:shd w:val="clear" w:color="auto" w:fill="auto"/>
            <w:noWrap/>
            <w:vAlign w:val="bottom"/>
            <w:hideMark/>
          </w:tcPr>
          <w:p w:rsidR="00304D15" w:rsidRPr="008D067D" w:rsidRDefault="00304D15" w:rsidP="00304D15">
            <w:pPr>
              <w:rPr>
                <w:rFonts w:eastAsia="Times New Roman" w:cs="Arial"/>
                <w:color w:val="000000"/>
                <w:lang w:eastAsia="es-SV"/>
              </w:rPr>
            </w:pPr>
          </w:p>
        </w:tc>
      </w:tr>
    </w:tbl>
    <w:p w:rsidR="007E61DD" w:rsidRPr="007E61DD" w:rsidRDefault="007E61DD" w:rsidP="007E61DD">
      <w:pPr>
        <w:jc w:val="center"/>
        <w:rPr>
          <w:b/>
          <w:bCs/>
        </w:rPr>
      </w:pPr>
      <w:r w:rsidRPr="007E61DD">
        <w:rPr>
          <w:b/>
          <w:bCs/>
        </w:rPr>
        <w:t>DISTRIBUCIÓN POR ZONA</w:t>
      </w:r>
    </w:p>
    <w:p w:rsidR="007E61DD" w:rsidRDefault="007E61DD" w:rsidP="00E61FA9"/>
    <w:p w:rsidR="00304D15" w:rsidRDefault="00755625" w:rsidP="0092473E">
      <w:pPr>
        <w:pStyle w:val="Default"/>
        <w:rPr>
          <w:rFonts w:ascii="Century Gothic" w:hAnsi="Century Gothic"/>
          <w:sz w:val="16"/>
          <w:szCs w:val="16"/>
        </w:rPr>
      </w:pPr>
      <w:r>
        <w:rPr>
          <w:noProof/>
          <w:lang w:eastAsia="es-SV"/>
        </w:rPr>
        <w:drawing>
          <wp:anchor distT="0" distB="0" distL="114300" distR="114300" simplePos="0" relativeHeight="251657728" behindDoc="0" locked="0" layoutInCell="1" allowOverlap="1">
            <wp:simplePos x="0" y="0"/>
            <wp:positionH relativeFrom="column">
              <wp:posOffset>113665</wp:posOffset>
            </wp:positionH>
            <wp:positionV relativeFrom="paragraph">
              <wp:posOffset>146050</wp:posOffset>
            </wp:positionV>
            <wp:extent cx="5175250" cy="2639695"/>
            <wp:effectExtent l="19050" t="0" r="6350" b="0"/>
            <wp:wrapSquare wrapText="bothSides"/>
            <wp:docPr id="12" name="Gráfico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6"/>
                    <pic:cNvPicPr>
                      <a:picLocks noChangeArrowheads="1"/>
                    </pic:cNvPicPr>
                  </pic:nvPicPr>
                  <pic:blipFill>
                    <a:blip r:embed="rId14" cstate="print"/>
                    <a:srcRect/>
                    <a:stretch>
                      <a:fillRect/>
                    </a:stretch>
                  </pic:blipFill>
                  <pic:spPr bwMode="auto">
                    <a:xfrm>
                      <a:off x="0" y="0"/>
                      <a:ext cx="5175250" cy="2639695"/>
                    </a:xfrm>
                    <a:prstGeom prst="rect">
                      <a:avLst/>
                    </a:prstGeom>
                    <a:noFill/>
                  </pic:spPr>
                </pic:pic>
              </a:graphicData>
            </a:graphic>
          </wp:anchor>
        </w:drawing>
      </w:r>
      <w:r w:rsidR="0092473E" w:rsidRPr="00740CEA">
        <w:rPr>
          <w:rFonts w:ascii="Century Gothic" w:hAnsi="Century Gothic"/>
          <w:sz w:val="16"/>
          <w:szCs w:val="16"/>
        </w:rPr>
        <w:t xml:space="preserve">          </w:t>
      </w:r>
    </w:p>
    <w:p w:rsidR="0092473E" w:rsidRPr="00740CEA" w:rsidRDefault="0092473E" w:rsidP="0092473E">
      <w:pPr>
        <w:pStyle w:val="Default"/>
        <w:rPr>
          <w:rFonts w:ascii="Century Gothic" w:hAnsi="Century Gothic"/>
          <w:sz w:val="16"/>
          <w:szCs w:val="16"/>
        </w:rPr>
      </w:pPr>
      <w:r w:rsidRPr="00740CEA">
        <w:rPr>
          <w:rFonts w:ascii="Century Gothic" w:hAnsi="Century Gothic"/>
          <w:sz w:val="16"/>
          <w:szCs w:val="16"/>
        </w:rPr>
        <w:t xml:space="preserve"> </w:t>
      </w:r>
      <w:r>
        <w:rPr>
          <w:rFonts w:ascii="Century Gothic" w:hAnsi="Century Gothic"/>
          <w:sz w:val="16"/>
          <w:szCs w:val="16"/>
        </w:rPr>
        <w:t>Fuente: Departamento de Desarrollo Humano.</w:t>
      </w:r>
    </w:p>
    <w:p w:rsidR="00F549BD" w:rsidRDefault="0092473E" w:rsidP="00E61FA9">
      <w:pPr>
        <w:pStyle w:val="Ttulo4"/>
        <w:numPr>
          <w:ilvl w:val="3"/>
          <w:numId w:val="25"/>
        </w:numPr>
        <w:spacing w:after="120"/>
        <w:rPr>
          <w:sz w:val="24"/>
        </w:rPr>
      </w:pPr>
      <w:bookmarkStart w:id="36" w:name="_Toc467228661"/>
      <w:r w:rsidRPr="00E61FA9">
        <w:rPr>
          <w:sz w:val="24"/>
        </w:rPr>
        <w:t>PROCESOS DE ADQUISICIÓN DE BIENES Y SERVICIOS</w:t>
      </w:r>
      <w:r w:rsidR="00F549BD">
        <w:rPr>
          <w:sz w:val="24"/>
        </w:rPr>
        <w:t xml:space="preserve"> </w:t>
      </w:r>
      <w:bookmarkEnd w:id="36"/>
    </w:p>
    <w:p w:rsidR="00F549BD" w:rsidRPr="00F549BD" w:rsidRDefault="00755625" w:rsidP="00F549BD">
      <w:r>
        <w:rPr>
          <w:noProof/>
          <w:lang w:eastAsia="es-SV"/>
        </w:rPr>
        <w:drawing>
          <wp:inline distT="0" distB="0" distL="0" distR="0">
            <wp:extent cx="5610225" cy="3200400"/>
            <wp:effectExtent l="19050" t="0" r="9525"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srcRect/>
                    <a:stretch>
                      <a:fillRect/>
                    </a:stretch>
                  </pic:blipFill>
                  <pic:spPr bwMode="auto">
                    <a:xfrm>
                      <a:off x="0" y="0"/>
                      <a:ext cx="5610225" cy="3200400"/>
                    </a:xfrm>
                    <a:prstGeom prst="rect">
                      <a:avLst/>
                    </a:prstGeom>
                    <a:noFill/>
                    <a:ln w="9525">
                      <a:noFill/>
                      <a:miter lim="800000"/>
                      <a:headEnd/>
                      <a:tailEnd/>
                    </a:ln>
                  </pic:spPr>
                </pic:pic>
              </a:graphicData>
            </a:graphic>
          </wp:inline>
        </w:drawing>
      </w:r>
    </w:p>
    <w:p w:rsidR="00F549BD" w:rsidRDefault="00F549BD" w:rsidP="00F549BD">
      <w:pPr>
        <w:rPr>
          <w:rFonts w:ascii="Century Gothic" w:hAnsi="Century Gothic"/>
          <w:sz w:val="16"/>
          <w:szCs w:val="16"/>
        </w:rPr>
      </w:pPr>
      <w:r>
        <w:rPr>
          <w:rFonts w:ascii="Century Gothic" w:hAnsi="Century Gothic"/>
          <w:sz w:val="16"/>
          <w:szCs w:val="16"/>
        </w:rPr>
        <w:t>Fuente: Unidad de Adquisiciones y Contrataciones Institucional.</w:t>
      </w:r>
    </w:p>
    <w:p w:rsidR="00F549BD" w:rsidRDefault="00F549BD" w:rsidP="00F549BD">
      <w:pPr>
        <w:pStyle w:val="Ttulo4"/>
        <w:numPr>
          <w:ilvl w:val="0"/>
          <w:numId w:val="0"/>
        </w:numPr>
        <w:spacing w:after="120"/>
        <w:ind w:left="1440"/>
        <w:rPr>
          <w:sz w:val="24"/>
        </w:rPr>
      </w:pPr>
    </w:p>
    <w:p w:rsidR="00F549BD" w:rsidRDefault="00F549BD" w:rsidP="00E61FA9">
      <w:pPr>
        <w:pStyle w:val="Ttulo4"/>
        <w:numPr>
          <w:ilvl w:val="3"/>
          <w:numId w:val="25"/>
        </w:numPr>
        <w:spacing w:after="120"/>
        <w:rPr>
          <w:sz w:val="24"/>
        </w:rPr>
      </w:pPr>
      <w:bookmarkStart w:id="37" w:name="_Toc467228662"/>
      <w:r>
        <w:rPr>
          <w:sz w:val="24"/>
        </w:rPr>
        <w:t>ADQUISICIÓN DE BIENES INMUEBLES</w:t>
      </w:r>
      <w:bookmarkEnd w:id="37"/>
    </w:p>
    <w:p w:rsidR="00F549BD" w:rsidRDefault="00F549BD" w:rsidP="0039373C">
      <w:pPr>
        <w:rPr>
          <w:rFonts w:ascii="Century Gothic" w:hAnsi="Century Gothic"/>
          <w:sz w:val="16"/>
          <w:szCs w:val="16"/>
        </w:rPr>
      </w:pPr>
    </w:p>
    <w:tbl>
      <w:tblPr>
        <w:tblW w:w="9142" w:type="dxa"/>
        <w:tblLayout w:type="fixed"/>
        <w:tblCellMar>
          <w:left w:w="70" w:type="dxa"/>
          <w:right w:w="70" w:type="dxa"/>
        </w:tblCellMar>
        <w:tblLook w:val="04A0"/>
      </w:tblPr>
      <w:tblGrid>
        <w:gridCol w:w="1771"/>
        <w:gridCol w:w="993"/>
        <w:gridCol w:w="1559"/>
        <w:gridCol w:w="992"/>
        <w:gridCol w:w="2126"/>
        <w:gridCol w:w="1701"/>
      </w:tblGrid>
      <w:tr w:rsidR="00F549BD" w:rsidRPr="008D067D" w:rsidTr="008D067D">
        <w:trPr>
          <w:trHeight w:val="600"/>
        </w:trPr>
        <w:tc>
          <w:tcPr>
            <w:tcW w:w="1771" w:type="dxa"/>
            <w:tcBorders>
              <w:top w:val="single" w:sz="4" w:space="0" w:color="auto"/>
              <w:left w:val="single" w:sz="4" w:space="0" w:color="auto"/>
              <w:bottom w:val="single" w:sz="4" w:space="0" w:color="auto"/>
              <w:right w:val="single" w:sz="4" w:space="0" w:color="auto"/>
            </w:tcBorders>
            <w:shd w:val="clear" w:color="auto" w:fill="D6E3BC"/>
            <w:noWrap/>
            <w:vAlign w:val="bottom"/>
            <w:hideMark/>
          </w:tcPr>
          <w:p w:rsid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Ubicación</w:t>
            </w:r>
          </w:p>
          <w:p w:rsidR="005D73DE" w:rsidRPr="00F549BD" w:rsidRDefault="005D73DE" w:rsidP="008C18E5">
            <w:pPr>
              <w:jc w:val="center"/>
              <w:rPr>
                <w:rFonts w:eastAsia="Times New Roman"/>
                <w:color w:val="000000"/>
                <w:sz w:val="16"/>
                <w:szCs w:val="16"/>
                <w:lang w:eastAsia="es-SV"/>
              </w:rPr>
            </w:pPr>
          </w:p>
        </w:tc>
        <w:tc>
          <w:tcPr>
            <w:tcW w:w="993" w:type="dxa"/>
            <w:tcBorders>
              <w:top w:val="single" w:sz="4" w:space="0" w:color="auto"/>
              <w:left w:val="nil"/>
              <w:bottom w:val="single" w:sz="4" w:space="0" w:color="auto"/>
              <w:right w:val="single" w:sz="4" w:space="0" w:color="auto"/>
            </w:tcBorders>
            <w:shd w:val="clear" w:color="auto" w:fill="D6E3BC"/>
            <w:vAlign w:val="bottom"/>
            <w:hideMark/>
          </w:tcPr>
          <w:p w:rsidR="00F549BD" w:rsidRPr="00F549BD" w:rsidRDefault="00F549BD" w:rsidP="008C18E5">
            <w:pPr>
              <w:jc w:val="center"/>
              <w:rPr>
                <w:rFonts w:eastAsia="Times New Roman"/>
                <w:color w:val="000000"/>
                <w:sz w:val="14"/>
                <w:szCs w:val="14"/>
                <w:lang w:eastAsia="es-SV"/>
              </w:rPr>
            </w:pPr>
            <w:r w:rsidRPr="00F549BD">
              <w:rPr>
                <w:rFonts w:eastAsia="Times New Roman"/>
                <w:color w:val="000000"/>
                <w:sz w:val="14"/>
                <w:szCs w:val="14"/>
                <w:lang w:eastAsia="es-SV"/>
              </w:rPr>
              <w:t>Forma de Adquisición</w:t>
            </w:r>
          </w:p>
        </w:tc>
        <w:tc>
          <w:tcPr>
            <w:tcW w:w="1559" w:type="dxa"/>
            <w:tcBorders>
              <w:top w:val="single" w:sz="4" w:space="0" w:color="auto"/>
              <w:left w:val="nil"/>
              <w:bottom w:val="single" w:sz="4" w:space="0" w:color="auto"/>
              <w:right w:val="single" w:sz="4" w:space="0" w:color="auto"/>
            </w:tcBorders>
            <w:shd w:val="clear" w:color="auto" w:fill="D6E3BC"/>
            <w:vAlign w:val="bottom"/>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Valor del inmueble</w:t>
            </w:r>
          </w:p>
        </w:tc>
        <w:tc>
          <w:tcPr>
            <w:tcW w:w="992" w:type="dxa"/>
            <w:tcBorders>
              <w:top w:val="single" w:sz="4" w:space="0" w:color="auto"/>
              <w:left w:val="nil"/>
              <w:bottom w:val="single" w:sz="4" w:space="0" w:color="auto"/>
              <w:right w:val="single" w:sz="4" w:space="0" w:color="auto"/>
            </w:tcBorders>
            <w:shd w:val="clear" w:color="auto" w:fill="D6E3BC"/>
            <w:vAlign w:val="bottom"/>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Fecha de Adquisición</w:t>
            </w:r>
          </w:p>
        </w:tc>
        <w:tc>
          <w:tcPr>
            <w:tcW w:w="2126" w:type="dxa"/>
            <w:tcBorders>
              <w:top w:val="single" w:sz="4" w:space="0" w:color="auto"/>
              <w:left w:val="nil"/>
              <w:bottom w:val="single" w:sz="4" w:space="0" w:color="auto"/>
              <w:right w:val="single" w:sz="4" w:space="0" w:color="auto"/>
            </w:tcBorders>
            <w:shd w:val="clear" w:color="auto" w:fill="D6E3BC"/>
            <w:vAlign w:val="bottom"/>
            <w:hideMark/>
          </w:tcPr>
          <w:p w:rsidR="00F549BD" w:rsidRDefault="00F549BD" w:rsidP="005D73DE">
            <w:pPr>
              <w:jc w:val="center"/>
              <w:rPr>
                <w:rFonts w:eastAsia="Times New Roman"/>
                <w:color w:val="000000"/>
                <w:sz w:val="16"/>
                <w:szCs w:val="16"/>
                <w:lang w:eastAsia="es-SV"/>
              </w:rPr>
            </w:pPr>
            <w:r w:rsidRPr="00F549BD">
              <w:rPr>
                <w:rFonts w:eastAsia="Times New Roman"/>
                <w:color w:val="000000"/>
                <w:sz w:val="16"/>
                <w:szCs w:val="16"/>
                <w:lang w:eastAsia="es-SV"/>
              </w:rPr>
              <w:t>Uso del Inmueble</w:t>
            </w:r>
          </w:p>
          <w:p w:rsidR="005D73DE" w:rsidRPr="00F549BD" w:rsidRDefault="005D73DE" w:rsidP="005D73DE">
            <w:pPr>
              <w:jc w:val="center"/>
              <w:rPr>
                <w:rFonts w:eastAsia="Times New Roman"/>
                <w:color w:val="000000"/>
                <w:sz w:val="16"/>
                <w:szCs w:val="16"/>
                <w:lang w:eastAsia="es-SV"/>
              </w:rPr>
            </w:pPr>
          </w:p>
        </w:tc>
        <w:tc>
          <w:tcPr>
            <w:tcW w:w="1701" w:type="dxa"/>
            <w:tcBorders>
              <w:top w:val="single" w:sz="4" w:space="0" w:color="auto"/>
              <w:left w:val="nil"/>
              <w:bottom w:val="single" w:sz="4" w:space="0" w:color="auto"/>
              <w:right w:val="single" w:sz="4" w:space="0" w:color="auto"/>
            </w:tcBorders>
            <w:shd w:val="clear" w:color="auto" w:fill="D6E3BC"/>
            <w:vAlign w:val="bottom"/>
            <w:hideMark/>
          </w:tcPr>
          <w:p w:rsidR="00F549BD" w:rsidRPr="00F549BD" w:rsidRDefault="00F549BD" w:rsidP="005D73DE">
            <w:pPr>
              <w:jc w:val="center"/>
              <w:rPr>
                <w:rFonts w:eastAsia="Times New Roman"/>
                <w:color w:val="000000"/>
                <w:sz w:val="16"/>
                <w:szCs w:val="16"/>
                <w:lang w:eastAsia="es-SV"/>
              </w:rPr>
            </w:pPr>
            <w:r w:rsidRPr="00F549BD">
              <w:rPr>
                <w:rFonts w:eastAsia="Times New Roman"/>
                <w:color w:val="000000"/>
                <w:sz w:val="16"/>
                <w:szCs w:val="16"/>
                <w:lang w:eastAsia="es-SV"/>
              </w:rPr>
              <w:t>Estado</w:t>
            </w:r>
          </w:p>
          <w:p w:rsidR="00F549BD" w:rsidRPr="00F549BD" w:rsidRDefault="00F549BD" w:rsidP="005D73DE">
            <w:pPr>
              <w:jc w:val="center"/>
              <w:rPr>
                <w:rFonts w:eastAsia="Times New Roman"/>
                <w:color w:val="000000"/>
                <w:sz w:val="16"/>
                <w:szCs w:val="16"/>
                <w:lang w:eastAsia="es-SV"/>
              </w:rPr>
            </w:pPr>
          </w:p>
          <w:p w:rsidR="00F549BD" w:rsidRPr="00F549BD" w:rsidRDefault="00F549BD" w:rsidP="005D73DE">
            <w:pPr>
              <w:jc w:val="center"/>
              <w:rPr>
                <w:rFonts w:eastAsia="Times New Roman"/>
                <w:color w:val="000000"/>
                <w:sz w:val="16"/>
                <w:szCs w:val="16"/>
                <w:lang w:eastAsia="es-SV"/>
              </w:rPr>
            </w:pPr>
          </w:p>
        </w:tc>
      </w:tr>
      <w:tr w:rsidR="00F549BD" w:rsidRPr="008D067D" w:rsidTr="008C18E5">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F549BD" w:rsidRPr="00F549BD" w:rsidRDefault="00F549BD" w:rsidP="008C18E5">
            <w:pPr>
              <w:jc w:val="both"/>
              <w:rPr>
                <w:rFonts w:eastAsia="Times New Roman"/>
                <w:color w:val="000000"/>
                <w:sz w:val="16"/>
                <w:szCs w:val="16"/>
                <w:lang w:eastAsia="es-SV"/>
              </w:rPr>
            </w:pPr>
            <w:r w:rsidRPr="00F549BD">
              <w:rPr>
                <w:rFonts w:eastAsia="Times New Roman"/>
                <w:color w:val="000000"/>
                <w:sz w:val="16"/>
                <w:szCs w:val="16"/>
                <w:lang w:eastAsia="es-SV"/>
              </w:rPr>
              <w:t>Barrio San Sebastián de la Ciudad de Santa Ana y específicamente en la Avenida Independencia Sur entre treceava calle oriente y calle José Mariano Méndez Oriente, Santa Ana, Santa Ana</w:t>
            </w:r>
          </w:p>
        </w:tc>
        <w:tc>
          <w:tcPr>
            <w:tcW w:w="993"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4"/>
                <w:szCs w:val="14"/>
                <w:lang w:eastAsia="es-SV"/>
              </w:rPr>
            </w:pPr>
            <w:r w:rsidRPr="00F549BD">
              <w:rPr>
                <w:rFonts w:eastAsia="Times New Roman"/>
                <w:color w:val="000000"/>
                <w:sz w:val="14"/>
                <w:szCs w:val="14"/>
                <w:lang w:eastAsia="es-SV"/>
              </w:rPr>
              <w:t>Compraventa</w:t>
            </w:r>
          </w:p>
        </w:tc>
        <w:tc>
          <w:tcPr>
            <w:tcW w:w="1559"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               650,000.00</w:t>
            </w:r>
          </w:p>
        </w:tc>
        <w:tc>
          <w:tcPr>
            <w:tcW w:w="992"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19/01/2015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Centro de Atención de Occidente y Policlínico Magisterial de Santa Ana</w:t>
            </w:r>
          </w:p>
        </w:tc>
        <w:tc>
          <w:tcPr>
            <w:tcW w:w="1701"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Inscrito en el Registro de la Propiedad Raíz e Hipoteca</w:t>
            </w:r>
          </w:p>
          <w:p w:rsidR="00F549BD" w:rsidRPr="00F549BD" w:rsidRDefault="00F549BD" w:rsidP="008C18E5">
            <w:pPr>
              <w:jc w:val="center"/>
              <w:rPr>
                <w:rFonts w:eastAsia="Times New Roman"/>
                <w:color w:val="000000"/>
                <w:sz w:val="16"/>
                <w:szCs w:val="16"/>
                <w:lang w:eastAsia="es-SV"/>
              </w:rPr>
            </w:pPr>
          </w:p>
          <w:p w:rsidR="00F549BD" w:rsidRPr="00F549BD" w:rsidRDefault="00F549BD" w:rsidP="008C18E5">
            <w:pPr>
              <w:jc w:val="center"/>
              <w:rPr>
                <w:rFonts w:eastAsia="Times New Roman"/>
                <w:color w:val="000000"/>
                <w:sz w:val="16"/>
                <w:szCs w:val="16"/>
                <w:lang w:eastAsia="es-SV"/>
              </w:rPr>
            </w:pPr>
          </w:p>
        </w:tc>
      </w:tr>
      <w:tr w:rsidR="00F549BD" w:rsidRPr="008D067D" w:rsidTr="008C18E5">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F549BD" w:rsidRPr="00F549BD" w:rsidRDefault="00F549BD" w:rsidP="008C18E5">
            <w:pPr>
              <w:jc w:val="both"/>
              <w:rPr>
                <w:rFonts w:eastAsia="Times New Roman"/>
                <w:color w:val="000000"/>
                <w:sz w:val="16"/>
                <w:szCs w:val="16"/>
                <w:lang w:eastAsia="es-SV"/>
              </w:rPr>
            </w:pPr>
            <w:r w:rsidRPr="00F549BD">
              <w:rPr>
                <w:rFonts w:eastAsia="Times New Roman"/>
                <w:color w:val="000000"/>
                <w:sz w:val="16"/>
                <w:szCs w:val="16"/>
                <w:lang w:eastAsia="es-SV"/>
              </w:rPr>
              <w:t>Reunión ubicado en la 4° Avenida Norte, casa 4-10, Barrio Belén, Santa Tecla, La Libertad</w:t>
            </w:r>
          </w:p>
        </w:tc>
        <w:tc>
          <w:tcPr>
            <w:tcW w:w="993"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4"/>
                <w:szCs w:val="14"/>
                <w:lang w:eastAsia="es-SV"/>
              </w:rPr>
            </w:pPr>
            <w:r w:rsidRPr="00F549BD">
              <w:rPr>
                <w:rFonts w:eastAsia="Times New Roman"/>
                <w:color w:val="000000"/>
                <w:sz w:val="14"/>
                <w:szCs w:val="14"/>
                <w:lang w:eastAsia="es-SV"/>
              </w:rPr>
              <w:t>Compraventa</w:t>
            </w:r>
          </w:p>
        </w:tc>
        <w:tc>
          <w:tcPr>
            <w:tcW w:w="1559"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               315,000.00</w:t>
            </w:r>
          </w:p>
        </w:tc>
        <w:tc>
          <w:tcPr>
            <w:tcW w:w="992"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01/06/2015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Policlínico Magisterial de Santa Tecla</w:t>
            </w:r>
          </w:p>
        </w:tc>
        <w:tc>
          <w:tcPr>
            <w:tcW w:w="1701"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Inscrito en el Registro de la Propiedad Raíz e Hipoteca</w:t>
            </w:r>
          </w:p>
        </w:tc>
      </w:tr>
      <w:tr w:rsidR="00F549BD" w:rsidRPr="008D067D" w:rsidTr="008C18E5">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F549BD" w:rsidRPr="00F549BD" w:rsidRDefault="00F549BD" w:rsidP="008C18E5">
            <w:pPr>
              <w:jc w:val="both"/>
              <w:rPr>
                <w:rFonts w:eastAsia="Times New Roman"/>
                <w:color w:val="000000"/>
                <w:sz w:val="16"/>
                <w:szCs w:val="16"/>
                <w:lang w:eastAsia="es-SV"/>
              </w:rPr>
            </w:pPr>
            <w:r w:rsidRPr="00F549BD">
              <w:rPr>
                <w:rFonts w:eastAsia="Times New Roman"/>
                <w:color w:val="000000"/>
                <w:sz w:val="16"/>
                <w:szCs w:val="16"/>
                <w:lang w:eastAsia="es-SV"/>
              </w:rPr>
              <w:t>2ª avenida sur, número 54 y 11ª Calle Poniente, Barrio San Sebastián del municipio y departamento de Santa Ana</w:t>
            </w:r>
          </w:p>
        </w:tc>
        <w:tc>
          <w:tcPr>
            <w:tcW w:w="993"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4"/>
                <w:szCs w:val="14"/>
                <w:lang w:eastAsia="es-SV"/>
              </w:rPr>
            </w:pPr>
            <w:r w:rsidRPr="00F549BD">
              <w:rPr>
                <w:rFonts w:eastAsia="Times New Roman"/>
                <w:color w:val="000000"/>
                <w:sz w:val="14"/>
                <w:szCs w:val="14"/>
                <w:lang w:eastAsia="es-SV"/>
              </w:rPr>
              <w:t>Compraventa</w:t>
            </w:r>
          </w:p>
        </w:tc>
        <w:tc>
          <w:tcPr>
            <w:tcW w:w="1559"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                160,000.00</w:t>
            </w:r>
          </w:p>
        </w:tc>
        <w:tc>
          <w:tcPr>
            <w:tcW w:w="992"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20/11/2015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Centro de Atención Regional de Occidente</w:t>
            </w:r>
          </w:p>
        </w:tc>
        <w:tc>
          <w:tcPr>
            <w:tcW w:w="1701"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Inscrito en el Registro de la Propiedad Raíz e Hipoteca</w:t>
            </w:r>
          </w:p>
        </w:tc>
      </w:tr>
      <w:tr w:rsidR="00F549BD" w:rsidRPr="008D067D" w:rsidTr="008C18E5">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F549BD" w:rsidRPr="00F549BD" w:rsidRDefault="00F549BD" w:rsidP="008C18E5">
            <w:pPr>
              <w:jc w:val="both"/>
              <w:rPr>
                <w:rFonts w:eastAsia="Times New Roman"/>
                <w:color w:val="000000"/>
                <w:sz w:val="16"/>
                <w:szCs w:val="16"/>
                <w:lang w:eastAsia="es-SV"/>
              </w:rPr>
            </w:pPr>
            <w:r w:rsidRPr="00F549BD">
              <w:rPr>
                <w:rFonts w:eastAsia="Times New Roman"/>
                <w:color w:val="000000"/>
                <w:sz w:val="16"/>
                <w:szCs w:val="16"/>
                <w:lang w:eastAsia="es-SV"/>
              </w:rPr>
              <w:t xml:space="preserve">Segundo Inmueble, barrió San Sebastián, No.  18 Zacatecoluca, La Paz. </w:t>
            </w:r>
          </w:p>
        </w:tc>
        <w:tc>
          <w:tcPr>
            <w:tcW w:w="993"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4"/>
                <w:szCs w:val="14"/>
                <w:lang w:eastAsia="es-SV"/>
              </w:rPr>
            </w:pPr>
            <w:r w:rsidRPr="00F549BD">
              <w:rPr>
                <w:rFonts w:eastAsia="Times New Roman"/>
                <w:color w:val="000000"/>
                <w:sz w:val="14"/>
                <w:szCs w:val="14"/>
                <w:lang w:eastAsia="es-SV"/>
              </w:rPr>
              <w:t>Compraventa</w:t>
            </w:r>
          </w:p>
        </w:tc>
        <w:tc>
          <w:tcPr>
            <w:tcW w:w="1559"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              300,000.00</w:t>
            </w:r>
          </w:p>
        </w:tc>
        <w:tc>
          <w:tcPr>
            <w:tcW w:w="992"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01/072016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Policlínico Magisterial de Zacatecoluca</w:t>
            </w:r>
          </w:p>
        </w:tc>
        <w:tc>
          <w:tcPr>
            <w:tcW w:w="1701" w:type="dxa"/>
            <w:tcBorders>
              <w:top w:val="nil"/>
              <w:left w:val="nil"/>
              <w:bottom w:val="single" w:sz="4" w:space="0" w:color="auto"/>
              <w:right w:val="single" w:sz="4" w:space="0" w:color="auto"/>
            </w:tcBorders>
            <w:shd w:val="clear" w:color="auto" w:fill="auto"/>
            <w:vAlign w:val="center"/>
            <w:hideMark/>
          </w:tcPr>
          <w:p w:rsidR="00F549BD" w:rsidRPr="00F549BD" w:rsidRDefault="00F549BD" w:rsidP="008C18E5">
            <w:pPr>
              <w:jc w:val="center"/>
              <w:rPr>
                <w:rFonts w:eastAsia="Times New Roman"/>
                <w:color w:val="000000"/>
                <w:sz w:val="16"/>
                <w:szCs w:val="16"/>
                <w:lang w:eastAsia="es-SV"/>
              </w:rPr>
            </w:pPr>
            <w:r w:rsidRPr="00F549BD">
              <w:rPr>
                <w:rFonts w:eastAsia="Times New Roman"/>
                <w:color w:val="000000"/>
                <w:sz w:val="16"/>
                <w:szCs w:val="16"/>
                <w:lang w:eastAsia="es-SV"/>
              </w:rPr>
              <w:t>Inscrito en el Registro de la Propiedad Raíz e Hipoteca</w:t>
            </w:r>
          </w:p>
        </w:tc>
      </w:tr>
    </w:tbl>
    <w:p w:rsidR="00F549BD" w:rsidRDefault="00F549BD" w:rsidP="0039373C">
      <w:pPr>
        <w:rPr>
          <w:rFonts w:ascii="Century Gothic" w:hAnsi="Century Gothic"/>
          <w:sz w:val="16"/>
          <w:szCs w:val="16"/>
        </w:rPr>
      </w:pPr>
    </w:p>
    <w:p w:rsidR="00892BD5" w:rsidRPr="00740CEA" w:rsidRDefault="00892BD5" w:rsidP="0039373C">
      <w:pPr>
        <w:rPr>
          <w:rFonts w:ascii="Century Gothic" w:hAnsi="Century Gothic"/>
          <w:sz w:val="16"/>
          <w:szCs w:val="16"/>
        </w:rPr>
      </w:pPr>
    </w:p>
    <w:p w:rsidR="00BE4A02" w:rsidRPr="007651C1" w:rsidRDefault="007651C1" w:rsidP="00381D10">
      <w:pPr>
        <w:pStyle w:val="Ttulo3"/>
        <w:numPr>
          <w:ilvl w:val="0"/>
          <w:numId w:val="9"/>
        </w:numPr>
        <w:spacing w:after="240"/>
        <w:ind w:left="357" w:hanging="357"/>
        <w:jc w:val="both"/>
        <w:rPr>
          <w:sz w:val="24"/>
        </w:rPr>
      </w:pPr>
      <w:bookmarkStart w:id="38" w:name="_Toc467228663"/>
      <w:r>
        <w:rPr>
          <w:sz w:val="24"/>
        </w:rPr>
        <w:t>PRESUPUESTO INSTITUCIONAL</w:t>
      </w:r>
      <w:r w:rsidR="007346AB">
        <w:rPr>
          <w:sz w:val="24"/>
        </w:rPr>
        <w:t xml:space="preserve"> </w:t>
      </w:r>
      <w:bookmarkEnd w:id="38"/>
    </w:p>
    <w:p w:rsidR="00465B18" w:rsidRDefault="00AE3BB8" w:rsidP="00E61FA9">
      <w:pPr>
        <w:spacing w:before="200" w:line="276" w:lineRule="auto"/>
        <w:jc w:val="both"/>
        <w:rPr>
          <w:rFonts w:ascii="Century Gothic" w:hAnsi="Century Gothic"/>
        </w:rPr>
      </w:pPr>
      <w:r w:rsidRPr="00740CEA">
        <w:rPr>
          <w:rFonts w:ascii="Century Gothic" w:hAnsi="Century Gothic"/>
        </w:rPr>
        <w:t>El presupuesto aprobado para el funcionamiento del Instituto Salvadoreño de Bienes</w:t>
      </w:r>
      <w:r>
        <w:rPr>
          <w:rFonts w:ascii="Century Gothic" w:hAnsi="Century Gothic"/>
        </w:rPr>
        <w:t>tar</w:t>
      </w:r>
      <w:r w:rsidRPr="00740CEA">
        <w:rPr>
          <w:rFonts w:ascii="Century Gothic" w:hAnsi="Century Gothic"/>
        </w:rPr>
        <w:t xml:space="preserve"> Magisterial para el año 201</w:t>
      </w:r>
      <w:r>
        <w:rPr>
          <w:rFonts w:ascii="Century Gothic" w:hAnsi="Century Gothic"/>
        </w:rPr>
        <w:t>5</w:t>
      </w:r>
      <w:r w:rsidRPr="00740CEA">
        <w:rPr>
          <w:rFonts w:ascii="Century Gothic" w:hAnsi="Century Gothic"/>
        </w:rPr>
        <w:t xml:space="preserve"> fue </w:t>
      </w:r>
      <w:r w:rsidR="00DC1250" w:rsidRPr="00740CEA">
        <w:rPr>
          <w:rFonts w:ascii="Century Gothic" w:hAnsi="Century Gothic"/>
        </w:rPr>
        <w:t>de $</w:t>
      </w:r>
      <w:r>
        <w:rPr>
          <w:rFonts w:ascii="Century Gothic" w:hAnsi="Century Gothic"/>
        </w:rPr>
        <w:t>52,816,775.00</w:t>
      </w:r>
      <w:r w:rsidRPr="00740CEA">
        <w:rPr>
          <w:rFonts w:ascii="Century Gothic" w:hAnsi="Century Gothic"/>
        </w:rPr>
        <w:t xml:space="preserve">. Durante la ejecución de este ejercicio fiscal, </w:t>
      </w:r>
      <w:r>
        <w:rPr>
          <w:rFonts w:ascii="Century Gothic" w:hAnsi="Century Gothic"/>
        </w:rPr>
        <w:t>a</w:t>
      </w:r>
      <w:r w:rsidRPr="00740CEA">
        <w:rPr>
          <w:rFonts w:ascii="Century Gothic" w:hAnsi="Century Gothic"/>
        </w:rPr>
        <w:t xml:space="preserve">l presupuesto </w:t>
      </w:r>
      <w:r>
        <w:rPr>
          <w:rFonts w:ascii="Century Gothic" w:hAnsi="Century Gothic"/>
        </w:rPr>
        <w:t>se le efectuó</w:t>
      </w:r>
      <w:r w:rsidRPr="00740CEA">
        <w:rPr>
          <w:rFonts w:ascii="Century Gothic" w:hAnsi="Century Gothic"/>
        </w:rPr>
        <w:t xml:space="preserve"> dos refuerzos importantes: uno, derivado de excedentes presupuestarios del ejercicio fiscal 201</w:t>
      </w:r>
      <w:r>
        <w:rPr>
          <w:rFonts w:ascii="Century Gothic" w:hAnsi="Century Gothic"/>
        </w:rPr>
        <w:t>4</w:t>
      </w:r>
      <w:r w:rsidRPr="00740CEA">
        <w:rPr>
          <w:rFonts w:ascii="Century Gothic" w:hAnsi="Century Gothic"/>
        </w:rPr>
        <w:t>, por un monto de $</w:t>
      </w:r>
      <w:r>
        <w:rPr>
          <w:rFonts w:ascii="Century Gothic" w:hAnsi="Century Gothic"/>
        </w:rPr>
        <w:t>11,794,091.26</w:t>
      </w:r>
      <w:r w:rsidRPr="00740CEA">
        <w:rPr>
          <w:rFonts w:ascii="Century Gothic" w:hAnsi="Century Gothic"/>
        </w:rPr>
        <w:t xml:space="preserve">; y el otro, de excedentes de ingresos percibidos durante el ejercicio </w:t>
      </w:r>
      <w:r>
        <w:rPr>
          <w:rFonts w:ascii="Century Gothic" w:hAnsi="Century Gothic"/>
        </w:rPr>
        <w:t xml:space="preserve">corriente </w:t>
      </w:r>
      <w:r w:rsidRPr="00740CEA">
        <w:rPr>
          <w:rFonts w:ascii="Century Gothic" w:hAnsi="Century Gothic"/>
        </w:rPr>
        <w:t>201</w:t>
      </w:r>
      <w:r>
        <w:rPr>
          <w:rFonts w:ascii="Century Gothic" w:hAnsi="Century Gothic"/>
        </w:rPr>
        <w:t>5</w:t>
      </w:r>
      <w:r w:rsidRPr="00740CEA">
        <w:rPr>
          <w:rFonts w:ascii="Century Gothic" w:hAnsi="Century Gothic"/>
        </w:rPr>
        <w:t>, por un monto de $</w:t>
      </w:r>
      <w:r>
        <w:rPr>
          <w:rFonts w:ascii="Century Gothic" w:hAnsi="Century Gothic"/>
        </w:rPr>
        <w:t>822,240.00</w:t>
      </w:r>
      <w:r w:rsidRPr="00740CEA">
        <w:rPr>
          <w:rFonts w:ascii="Century Gothic" w:hAnsi="Century Gothic"/>
        </w:rPr>
        <w:t xml:space="preserve">, por lo que, al 31 de </w:t>
      </w:r>
      <w:r w:rsidR="00DC1250" w:rsidRPr="00740CEA">
        <w:rPr>
          <w:rFonts w:ascii="Century Gothic" w:hAnsi="Century Gothic"/>
        </w:rPr>
        <w:t>diciembre 2015</w:t>
      </w:r>
      <w:r w:rsidRPr="00740CEA">
        <w:rPr>
          <w:rFonts w:ascii="Century Gothic" w:hAnsi="Century Gothic"/>
        </w:rPr>
        <w:t>, el ISBM finalizó con un presupuesto de $</w:t>
      </w:r>
      <w:r>
        <w:rPr>
          <w:rFonts w:ascii="Century Gothic" w:hAnsi="Century Gothic"/>
        </w:rPr>
        <w:t>65,433,106.26</w:t>
      </w:r>
      <w:r w:rsidRPr="00740CEA">
        <w:rPr>
          <w:rFonts w:ascii="Century Gothic" w:hAnsi="Century Gothic"/>
        </w:rPr>
        <w:t>.</w:t>
      </w:r>
    </w:p>
    <w:p w:rsidR="0039373C" w:rsidRDefault="0039373C" w:rsidP="00E61FA9">
      <w:pPr>
        <w:spacing w:before="200" w:line="276" w:lineRule="auto"/>
        <w:jc w:val="both"/>
        <w:rPr>
          <w:rFonts w:ascii="Century Gothic" w:hAnsi="Century Gothic"/>
        </w:rPr>
      </w:pPr>
    </w:p>
    <w:tbl>
      <w:tblPr>
        <w:tblW w:w="84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060"/>
        <w:gridCol w:w="1660"/>
        <w:gridCol w:w="1660"/>
        <w:gridCol w:w="1745"/>
        <w:gridCol w:w="2347"/>
      </w:tblGrid>
      <w:tr w:rsidR="00AE3BB8" w:rsidRPr="008D067D" w:rsidTr="0039373C">
        <w:trPr>
          <w:trHeight w:val="593"/>
          <w:jc w:val="center"/>
        </w:trPr>
        <w:tc>
          <w:tcPr>
            <w:tcW w:w="1060" w:type="dxa"/>
            <w:tcBorders>
              <w:top w:val="single" w:sz="8" w:space="0" w:color="000000"/>
              <w:left w:val="single" w:sz="8" w:space="0" w:color="000000"/>
              <w:bottom w:val="single" w:sz="18" w:space="0" w:color="000000"/>
              <w:right w:val="single" w:sz="8" w:space="0" w:color="000000"/>
            </w:tcBorders>
            <w:shd w:val="clear" w:color="auto" w:fill="auto"/>
            <w:noWrap/>
            <w:vAlign w:val="center"/>
            <w:hideMark/>
          </w:tcPr>
          <w:p w:rsidR="00AE3BB8" w:rsidRPr="00AE3BB8" w:rsidRDefault="00AE3BB8" w:rsidP="00AE3BB8">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AÑO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tcPr>
          <w:p w:rsidR="00AE3BB8" w:rsidRPr="00AE3BB8" w:rsidRDefault="00AE3BB8" w:rsidP="00AE3BB8">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APROBADO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AE3BB8" w:rsidRPr="00AE3BB8" w:rsidRDefault="00AE3BB8" w:rsidP="00AE3BB8">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MODIFICADO</w:t>
            </w:r>
          </w:p>
        </w:tc>
        <w:tc>
          <w:tcPr>
            <w:tcW w:w="1745"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AE3BB8" w:rsidRPr="00AE3BB8" w:rsidRDefault="00AE3BB8" w:rsidP="00AE3BB8">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EJECUTADO</w:t>
            </w:r>
          </w:p>
        </w:tc>
        <w:tc>
          <w:tcPr>
            <w:tcW w:w="2347"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AE3BB8" w:rsidRPr="00AE3BB8" w:rsidRDefault="00AE3BB8" w:rsidP="00AE3BB8">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SALDO PRESUPUESTARIO</w:t>
            </w:r>
          </w:p>
        </w:tc>
      </w:tr>
      <w:tr w:rsidR="00AE3BB8" w:rsidRPr="008D067D" w:rsidTr="0039373C">
        <w:trPr>
          <w:trHeight w:val="311"/>
          <w:jc w:val="center"/>
        </w:trPr>
        <w:tc>
          <w:tcPr>
            <w:tcW w:w="10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AE3BB8" w:rsidRPr="00AE3BB8" w:rsidRDefault="00AE3BB8" w:rsidP="00AE3BB8">
            <w:pPr>
              <w:jc w:val="center"/>
              <w:rPr>
                <w:rFonts w:ascii="Century Gothic" w:eastAsia="Times New Roman" w:hAnsi="Century Gothic"/>
                <w:b/>
                <w:bCs/>
                <w:color w:val="000000"/>
                <w:sz w:val="20"/>
                <w:lang w:eastAsia="es-SV"/>
              </w:rPr>
            </w:pPr>
            <w:r w:rsidRPr="00AE3BB8">
              <w:rPr>
                <w:rFonts w:ascii="Century Gothic" w:eastAsia="Times New Roman" w:hAnsi="Century Gothic"/>
                <w:b/>
                <w:bCs/>
                <w:color w:val="000000"/>
                <w:sz w:val="20"/>
                <w:lang w:eastAsia="es-SV"/>
              </w:rPr>
              <w:t>2015</w:t>
            </w:r>
          </w:p>
        </w:tc>
        <w:tc>
          <w:tcPr>
            <w:tcW w:w="1660" w:type="dxa"/>
            <w:tcBorders>
              <w:top w:val="single" w:sz="8" w:space="0" w:color="000000"/>
              <w:left w:val="single" w:sz="8" w:space="0" w:color="000000"/>
              <w:bottom w:val="single" w:sz="8" w:space="0" w:color="000000"/>
              <w:right w:val="single" w:sz="8" w:space="0" w:color="000000"/>
            </w:tcBorders>
            <w:shd w:val="clear" w:color="auto" w:fill="C0C0C0"/>
          </w:tcPr>
          <w:p w:rsidR="00AE3BB8" w:rsidRPr="00AE3BB8" w:rsidRDefault="00AE3BB8" w:rsidP="00AE3BB8">
            <w:pPr>
              <w:jc w:val="right"/>
              <w:rPr>
                <w:rFonts w:ascii="Century Gothic" w:hAnsi="Century Gothic"/>
                <w:color w:val="000000"/>
                <w:sz w:val="20"/>
                <w:lang w:eastAsia="es-SV"/>
              </w:rPr>
            </w:pPr>
            <w:r w:rsidRPr="00AE3BB8">
              <w:rPr>
                <w:rFonts w:ascii="Century Gothic" w:hAnsi="Century Gothic"/>
                <w:color w:val="000000"/>
                <w:sz w:val="20"/>
                <w:lang w:eastAsia="es-SV"/>
              </w:rPr>
              <w:t>$52,816,775.00</w:t>
            </w:r>
          </w:p>
        </w:tc>
        <w:tc>
          <w:tcPr>
            <w:tcW w:w="16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AE3BB8" w:rsidRPr="00AE3BB8" w:rsidRDefault="00AE3BB8" w:rsidP="00AE3BB8">
            <w:pPr>
              <w:jc w:val="right"/>
              <w:rPr>
                <w:rFonts w:ascii="Century Gothic" w:hAnsi="Century Gothic"/>
                <w:color w:val="000000"/>
                <w:sz w:val="20"/>
                <w:lang w:eastAsia="es-SV"/>
              </w:rPr>
            </w:pPr>
            <w:r w:rsidRPr="00AE3BB8">
              <w:rPr>
                <w:rFonts w:ascii="Century Gothic" w:hAnsi="Century Gothic"/>
                <w:color w:val="000000"/>
                <w:sz w:val="20"/>
                <w:lang w:eastAsia="es-SV"/>
              </w:rPr>
              <w:t>$65,433,106.26</w:t>
            </w:r>
          </w:p>
        </w:tc>
        <w:tc>
          <w:tcPr>
            <w:tcW w:w="1745" w:type="dxa"/>
            <w:tcBorders>
              <w:top w:val="single" w:sz="8" w:space="0" w:color="000000"/>
              <w:left w:val="single" w:sz="8" w:space="0" w:color="000000"/>
              <w:bottom w:val="single" w:sz="8" w:space="0" w:color="000000"/>
              <w:right w:val="single" w:sz="8" w:space="0" w:color="000000"/>
            </w:tcBorders>
            <w:shd w:val="clear" w:color="auto" w:fill="C0C0C0"/>
            <w:noWrap/>
            <w:hideMark/>
          </w:tcPr>
          <w:p w:rsidR="00AE3BB8" w:rsidRPr="00AE3BB8" w:rsidRDefault="00AE3BB8" w:rsidP="00AE3BB8">
            <w:pPr>
              <w:jc w:val="right"/>
              <w:rPr>
                <w:rFonts w:ascii="Century Gothic" w:hAnsi="Century Gothic"/>
                <w:color w:val="000000"/>
                <w:sz w:val="20"/>
                <w:lang w:eastAsia="es-SV"/>
              </w:rPr>
            </w:pPr>
            <w:r w:rsidRPr="00AE3BB8">
              <w:rPr>
                <w:rFonts w:ascii="Century Gothic" w:hAnsi="Century Gothic"/>
                <w:color w:val="000000"/>
                <w:sz w:val="20"/>
                <w:lang w:eastAsia="es-SV"/>
              </w:rPr>
              <w:t>$62,074,854.92</w:t>
            </w:r>
          </w:p>
        </w:tc>
        <w:tc>
          <w:tcPr>
            <w:tcW w:w="2347" w:type="dxa"/>
            <w:tcBorders>
              <w:top w:val="single" w:sz="8" w:space="0" w:color="000000"/>
              <w:left w:val="single" w:sz="8" w:space="0" w:color="000000"/>
              <w:bottom w:val="single" w:sz="8" w:space="0" w:color="000000"/>
              <w:right w:val="single" w:sz="8" w:space="0" w:color="000000"/>
            </w:tcBorders>
            <w:shd w:val="clear" w:color="auto" w:fill="C0C0C0"/>
            <w:noWrap/>
            <w:hideMark/>
          </w:tcPr>
          <w:p w:rsidR="00AE3BB8" w:rsidRPr="00AE3BB8" w:rsidRDefault="00AE3BB8" w:rsidP="00AE3BB8">
            <w:pPr>
              <w:jc w:val="right"/>
              <w:rPr>
                <w:rFonts w:ascii="Century Gothic" w:hAnsi="Century Gothic"/>
                <w:color w:val="000000"/>
                <w:sz w:val="20"/>
                <w:lang w:eastAsia="es-SV"/>
              </w:rPr>
            </w:pPr>
            <w:r w:rsidRPr="00AE3BB8">
              <w:rPr>
                <w:rFonts w:ascii="Century Gothic" w:hAnsi="Century Gothic"/>
                <w:color w:val="000000"/>
                <w:sz w:val="20"/>
                <w:lang w:eastAsia="es-SV"/>
              </w:rPr>
              <w:t>$3,358,251.34</w:t>
            </w:r>
          </w:p>
        </w:tc>
      </w:tr>
    </w:tbl>
    <w:p w:rsidR="00E9178F" w:rsidRDefault="00E9178F" w:rsidP="001D643D">
      <w:pPr>
        <w:spacing w:before="200" w:line="276" w:lineRule="auto"/>
        <w:jc w:val="both"/>
        <w:rPr>
          <w:rFonts w:ascii="Century Gothic" w:hAnsi="Century Gothic"/>
        </w:rPr>
      </w:pPr>
    </w:p>
    <w:p w:rsidR="00892BD5" w:rsidRDefault="00892BD5" w:rsidP="001D643D">
      <w:pPr>
        <w:spacing w:before="200" w:line="276" w:lineRule="auto"/>
        <w:jc w:val="both"/>
        <w:rPr>
          <w:rFonts w:ascii="Century Gothic" w:hAnsi="Century Gothic"/>
        </w:rPr>
      </w:pPr>
    </w:p>
    <w:p w:rsidR="0092473E" w:rsidRDefault="00E61FA9" w:rsidP="00E61FA9">
      <w:pPr>
        <w:pStyle w:val="Ttulo4"/>
        <w:numPr>
          <w:ilvl w:val="3"/>
          <w:numId w:val="30"/>
        </w:numPr>
        <w:spacing w:after="120"/>
        <w:rPr>
          <w:sz w:val="24"/>
        </w:rPr>
      </w:pPr>
      <w:bookmarkStart w:id="39" w:name="_Toc420396729"/>
      <w:bookmarkStart w:id="40" w:name="_Toc467228664"/>
      <w:r w:rsidRPr="00E61FA9">
        <w:rPr>
          <w:sz w:val="24"/>
        </w:rPr>
        <w:t>INVERSIÓN EN SERVICIOS DE SALUD</w:t>
      </w:r>
      <w:bookmarkEnd w:id="39"/>
      <w:r w:rsidRPr="00E61FA9">
        <w:rPr>
          <w:sz w:val="24"/>
        </w:rPr>
        <w:t>.</w:t>
      </w:r>
      <w:bookmarkEnd w:id="40"/>
    </w:p>
    <w:p w:rsidR="00892BD5" w:rsidRPr="00892BD5" w:rsidRDefault="00892BD5" w:rsidP="00892BD5"/>
    <w:p w:rsidR="00BA4D62" w:rsidRDefault="00BA4D62" w:rsidP="00E61FA9">
      <w:pPr>
        <w:spacing w:before="200" w:line="276" w:lineRule="auto"/>
        <w:jc w:val="both"/>
        <w:rPr>
          <w:rFonts w:ascii="Century Gothic" w:hAnsi="Century Gothic"/>
        </w:rPr>
      </w:pPr>
      <w:r w:rsidRPr="00740CEA">
        <w:rPr>
          <w:rFonts w:ascii="Century Gothic" w:hAnsi="Century Gothic"/>
        </w:rPr>
        <w:t>La inversión realizada en la prestación de servicios de salud</w:t>
      </w:r>
      <w:r>
        <w:rPr>
          <w:rFonts w:ascii="Century Gothic" w:hAnsi="Century Gothic"/>
        </w:rPr>
        <w:t xml:space="preserve"> en el período junio 2015- mayo 2016</w:t>
      </w:r>
      <w:r w:rsidRPr="00740CEA">
        <w:rPr>
          <w:rFonts w:ascii="Century Gothic" w:hAnsi="Century Gothic"/>
        </w:rPr>
        <w:t>, ascendió a $</w:t>
      </w:r>
      <w:r>
        <w:rPr>
          <w:rFonts w:ascii="Century Gothic" w:hAnsi="Century Gothic"/>
        </w:rPr>
        <w:t>54</w:t>
      </w:r>
      <w:r w:rsidRPr="00740CEA">
        <w:rPr>
          <w:rFonts w:ascii="Century Gothic" w:hAnsi="Century Gothic"/>
        </w:rPr>
        <w:t>,</w:t>
      </w:r>
      <w:r>
        <w:rPr>
          <w:rFonts w:ascii="Century Gothic" w:hAnsi="Century Gothic"/>
        </w:rPr>
        <w:t>925,846.09</w:t>
      </w:r>
      <w:r w:rsidRPr="00740CEA">
        <w:rPr>
          <w:rFonts w:ascii="Century Gothic" w:hAnsi="Century Gothic"/>
        </w:rPr>
        <w:t>;</w:t>
      </w:r>
      <w:r>
        <w:rPr>
          <w:rFonts w:ascii="Century Gothic" w:hAnsi="Century Gothic"/>
        </w:rPr>
        <w:t xml:space="preserve"> lo anterior sin tomar en cuenta los costos de apoyo y administración del programa.</w:t>
      </w:r>
      <w:r w:rsidRPr="00740CEA">
        <w:rPr>
          <w:rFonts w:ascii="Century Gothic" w:hAnsi="Century Gothic"/>
        </w:rPr>
        <w:t xml:space="preserve"> </w:t>
      </w:r>
      <w:r>
        <w:rPr>
          <w:rFonts w:ascii="Century Gothic" w:hAnsi="Century Gothic"/>
        </w:rPr>
        <w:t>Los rubros del destino de la prestación</w:t>
      </w:r>
      <w:r w:rsidRPr="00740CEA">
        <w:rPr>
          <w:rFonts w:ascii="Century Gothic" w:hAnsi="Century Gothic"/>
        </w:rPr>
        <w:t xml:space="preserve"> se integra</w:t>
      </w:r>
      <w:r>
        <w:rPr>
          <w:rFonts w:ascii="Century Gothic" w:hAnsi="Century Gothic"/>
        </w:rPr>
        <w:t>n</w:t>
      </w:r>
      <w:r w:rsidRPr="00740CEA">
        <w:rPr>
          <w:rFonts w:ascii="Century Gothic" w:hAnsi="Century Gothic"/>
        </w:rPr>
        <w:t xml:space="preserve"> </w:t>
      </w:r>
      <w:r w:rsidR="00D56C13">
        <w:rPr>
          <w:rFonts w:ascii="Century Gothic" w:hAnsi="Century Gothic"/>
        </w:rPr>
        <w:t>de</w:t>
      </w:r>
      <w:r w:rsidRPr="00740CEA">
        <w:rPr>
          <w:rFonts w:ascii="Century Gothic" w:hAnsi="Century Gothic"/>
        </w:rPr>
        <w:t xml:space="preserve"> la manera siguiente</w:t>
      </w:r>
      <w:r>
        <w:rPr>
          <w:rFonts w:ascii="Century Gothic" w:hAnsi="Century Gothic"/>
        </w:rPr>
        <w:t>:</w:t>
      </w:r>
    </w:p>
    <w:p w:rsidR="00DC1250" w:rsidRDefault="00DC1250" w:rsidP="00E61FA9">
      <w:pPr>
        <w:spacing w:before="200" w:line="276" w:lineRule="auto"/>
        <w:jc w:val="both"/>
        <w:rPr>
          <w:rFonts w:ascii="Century Gothic" w:hAnsi="Century Gothic"/>
        </w:rPr>
      </w:pPr>
    </w:p>
    <w:p w:rsidR="00BA4D62" w:rsidRPr="00BA4D62" w:rsidRDefault="00755625" w:rsidP="00BA4D62">
      <w:pPr>
        <w:jc w:val="both"/>
        <w:rPr>
          <w:rFonts w:ascii="Century Gothic" w:eastAsia="Times New Roman" w:hAnsi="Century Gothic"/>
          <w:color w:val="17365D"/>
          <w:kern w:val="28"/>
          <w:szCs w:val="80"/>
        </w:rPr>
      </w:pPr>
      <w:r>
        <w:rPr>
          <w:noProof/>
          <w:lang w:eastAsia="es-SV"/>
        </w:rPr>
        <w:drawing>
          <wp:inline distT="0" distB="0" distL="0" distR="0">
            <wp:extent cx="6134100" cy="1943100"/>
            <wp:effectExtent l="19050" t="0" r="0" b="0"/>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6" cstate="print"/>
                    <a:srcRect/>
                    <a:stretch>
                      <a:fillRect/>
                    </a:stretch>
                  </pic:blipFill>
                  <pic:spPr bwMode="auto">
                    <a:xfrm>
                      <a:off x="0" y="0"/>
                      <a:ext cx="6134100" cy="1943100"/>
                    </a:xfrm>
                    <a:prstGeom prst="rect">
                      <a:avLst/>
                    </a:prstGeom>
                    <a:noFill/>
                    <a:ln w="9525">
                      <a:noFill/>
                      <a:miter lim="800000"/>
                      <a:headEnd/>
                      <a:tailEnd/>
                    </a:ln>
                  </pic:spPr>
                </pic:pic>
              </a:graphicData>
            </a:graphic>
          </wp:inline>
        </w:drawing>
      </w:r>
    </w:p>
    <w:p w:rsidR="0070397C" w:rsidRPr="00740CEA" w:rsidRDefault="0070397C" w:rsidP="0070397C">
      <w:pPr>
        <w:pStyle w:val="Default"/>
        <w:rPr>
          <w:rFonts w:ascii="Century Gothic" w:hAnsi="Century Gothic"/>
          <w:sz w:val="16"/>
          <w:szCs w:val="16"/>
        </w:rPr>
      </w:pPr>
      <w:r w:rsidRPr="00740CEA">
        <w:rPr>
          <w:rFonts w:ascii="Century Gothic" w:hAnsi="Century Gothic"/>
          <w:sz w:val="16"/>
          <w:szCs w:val="16"/>
        </w:rPr>
        <w:t xml:space="preserve">           </w:t>
      </w:r>
      <w:r>
        <w:rPr>
          <w:rFonts w:ascii="Century Gothic" w:hAnsi="Century Gothic"/>
          <w:sz w:val="16"/>
          <w:szCs w:val="16"/>
        </w:rPr>
        <w:t>Fuente: Unidad Financiera Institucional.</w:t>
      </w:r>
    </w:p>
    <w:p w:rsidR="0070397C" w:rsidRPr="008D067D" w:rsidRDefault="0070397C" w:rsidP="00BE4A02">
      <w:pPr>
        <w:jc w:val="both"/>
        <w:rPr>
          <w:rFonts w:ascii="Century Gothic" w:eastAsia="Times New Roman" w:hAnsi="Century Gothic"/>
          <w:color w:val="17365D"/>
          <w:kern w:val="28"/>
          <w:szCs w:val="80"/>
        </w:rPr>
      </w:pPr>
    </w:p>
    <w:p w:rsidR="00E9178F" w:rsidRPr="008D067D" w:rsidRDefault="00E9178F" w:rsidP="00BE4A02">
      <w:pPr>
        <w:jc w:val="both"/>
        <w:rPr>
          <w:rFonts w:ascii="Century Gothic" w:eastAsia="Times New Roman" w:hAnsi="Century Gothic"/>
          <w:color w:val="17365D"/>
          <w:kern w:val="28"/>
          <w:szCs w:val="80"/>
        </w:rPr>
      </w:pPr>
    </w:p>
    <w:p w:rsidR="00BE4A02" w:rsidRPr="00E61FA9" w:rsidRDefault="00A573FD" w:rsidP="00E61FA9">
      <w:pPr>
        <w:pStyle w:val="Ttulo4"/>
        <w:numPr>
          <w:ilvl w:val="3"/>
          <w:numId w:val="30"/>
        </w:numPr>
        <w:spacing w:after="120"/>
        <w:rPr>
          <w:sz w:val="24"/>
        </w:rPr>
      </w:pPr>
      <w:bookmarkStart w:id="41" w:name="_Toc467228665"/>
      <w:r>
        <w:rPr>
          <w:sz w:val="24"/>
        </w:rPr>
        <w:t>PATRIMONIO INSTITUCIONAL</w:t>
      </w:r>
      <w:r w:rsidR="00615FAE">
        <w:rPr>
          <w:sz w:val="24"/>
        </w:rPr>
        <w:t xml:space="preserve"> ACUMULADO 2008-2016</w:t>
      </w:r>
      <w:r w:rsidR="00E61FA9" w:rsidRPr="00E61FA9">
        <w:rPr>
          <w:sz w:val="24"/>
        </w:rPr>
        <w:t>.</w:t>
      </w:r>
      <w:bookmarkEnd w:id="41"/>
    </w:p>
    <w:p w:rsidR="00BE4A02" w:rsidRDefault="00755625" w:rsidP="00E61FA9">
      <w:pPr>
        <w:spacing w:before="200" w:line="276" w:lineRule="auto"/>
        <w:jc w:val="both"/>
        <w:rPr>
          <w:rFonts w:ascii="Century Gothic" w:hAnsi="Century Gothic"/>
        </w:rPr>
      </w:pPr>
      <w:r>
        <w:rPr>
          <w:noProof/>
          <w:lang w:eastAsia="es-SV"/>
        </w:rPr>
        <w:drawing>
          <wp:inline distT="0" distB="0" distL="0" distR="0">
            <wp:extent cx="6124575" cy="2314575"/>
            <wp:effectExtent l="19050" t="0" r="9525" b="0"/>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7" cstate="print"/>
                    <a:srcRect/>
                    <a:stretch>
                      <a:fillRect/>
                    </a:stretch>
                  </pic:blipFill>
                  <pic:spPr bwMode="auto">
                    <a:xfrm>
                      <a:off x="0" y="0"/>
                      <a:ext cx="6124575" cy="2314575"/>
                    </a:xfrm>
                    <a:prstGeom prst="rect">
                      <a:avLst/>
                    </a:prstGeom>
                    <a:noFill/>
                    <a:ln w="9525">
                      <a:noFill/>
                      <a:miter lim="800000"/>
                      <a:headEnd/>
                      <a:tailEnd/>
                    </a:ln>
                  </pic:spPr>
                </pic:pic>
              </a:graphicData>
            </a:graphic>
          </wp:inline>
        </w:drawing>
      </w:r>
    </w:p>
    <w:p w:rsidR="0070397C" w:rsidRPr="00740CEA" w:rsidRDefault="0070397C" w:rsidP="00892BD5">
      <w:pPr>
        <w:pStyle w:val="Default"/>
        <w:rPr>
          <w:rFonts w:ascii="Century Gothic" w:hAnsi="Century Gothic"/>
          <w:sz w:val="16"/>
          <w:szCs w:val="16"/>
        </w:rPr>
      </w:pPr>
      <w:r>
        <w:rPr>
          <w:rFonts w:ascii="Century Gothic" w:hAnsi="Century Gothic"/>
          <w:sz w:val="16"/>
          <w:szCs w:val="16"/>
        </w:rPr>
        <w:t>Fuente:</w:t>
      </w:r>
      <w:r w:rsidR="00A573FD" w:rsidRPr="00A573FD">
        <w:rPr>
          <w:rFonts w:ascii="Century Gothic" w:hAnsi="Century Gothic"/>
          <w:sz w:val="16"/>
          <w:szCs w:val="16"/>
        </w:rPr>
        <w:t xml:space="preserve"> </w:t>
      </w:r>
      <w:r w:rsidR="00A573FD">
        <w:rPr>
          <w:rFonts w:ascii="Century Gothic" w:hAnsi="Century Gothic"/>
          <w:sz w:val="16"/>
          <w:szCs w:val="16"/>
        </w:rPr>
        <w:t>Unidad Financiera Institucional</w:t>
      </w:r>
      <w:r>
        <w:rPr>
          <w:rFonts w:ascii="Century Gothic" w:hAnsi="Century Gothic"/>
          <w:sz w:val="16"/>
          <w:szCs w:val="16"/>
        </w:rPr>
        <w:t>.</w:t>
      </w:r>
    </w:p>
    <w:p w:rsidR="0070397C" w:rsidRDefault="0070397C">
      <w:pPr>
        <w:rPr>
          <w:rFonts w:ascii="Century Gothic" w:hAnsi="Century Gothic"/>
        </w:rPr>
      </w:pPr>
    </w:p>
    <w:p w:rsidR="0070397C" w:rsidRPr="00B04513" w:rsidRDefault="007A3E06" w:rsidP="00B04513">
      <w:pPr>
        <w:pStyle w:val="Ttulo4"/>
        <w:numPr>
          <w:ilvl w:val="3"/>
          <w:numId w:val="30"/>
        </w:numPr>
        <w:spacing w:after="120"/>
        <w:rPr>
          <w:sz w:val="24"/>
        </w:rPr>
      </w:pPr>
      <w:bookmarkStart w:id="42" w:name="_Toc467228666"/>
      <w:r w:rsidRPr="007A3E06">
        <w:rPr>
          <w:sz w:val="24"/>
        </w:rPr>
        <w:t>PRODUCTOS FINANCIEROS OBTENIDOS POR INVERSIONES</w:t>
      </w:r>
      <w:bookmarkEnd w:id="42"/>
    </w:p>
    <w:tbl>
      <w:tblPr>
        <w:tblW w:w="5544" w:type="dxa"/>
        <w:jc w:val="center"/>
        <w:tblCellMar>
          <w:left w:w="70" w:type="dxa"/>
          <w:right w:w="70" w:type="dxa"/>
        </w:tblCellMar>
        <w:tblLook w:val="04A0"/>
      </w:tblPr>
      <w:tblGrid>
        <w:gridCol w:w="3276"/>
        <w:gridCol w:w="2268"/>
      </w:tblGrid>
      <w:tr w:rsidR="006B7AF3" w:rsidRPr="008D067D" w:rsidTr="00465B18">
        <w:trPr>
          <w:trHeight w:val="829"/>
          <w:jc w:val="center"/>
        </w:trPr>
        <w:tc>
          <w:tcPr>
            <w:tcW w:w="5544" w:type="dxa"/>
            <w:gridSpan w:val="2"/>
            <w:tcBorders>
              <w:top w:val="nil"/>
              <w:left w:val="nil"/>
              <w:bottom w:val="single" w:sz="4" w:space="0" w:color="auto"/>
              <w:right w:val="nil"/>
            </w:tcBorders>
            <w:shd w:val="clear" w:color="auto" w:fill="auto"/>
            <w:vAlign w:val="bottom"/>
            <w:hideMark/>
          </w:tcPr>
          <w:p w:rsidR="006B7AF3" w:rsidRPr="006B7AF3" w:rsidRDefault="006B7AF3" w:rsidP="006B7AF3">
            <w:pPr>
              <w:jc w:val="center"/>
              <w:rPr>
                <w:rFonts w:ascii="Arial" w:eastAsia="Times New Roman" w:hAnsi="Arial" w:cs="Arial"/>
                <w:b/>
                <w:bCs/>
                <w:sz w:val="20"/>
                <w:szCs w:val="20"/>
                <w:lang w:eastAsia="es-SV"/>
              </w:rPr>
            </w:pPr>
            <w:r w:rsidRPr="006B7AF3">
              <w:rPr>
                <w:rFonts w:ascii="Arial" w:eastAsia="Times New Roman" w:hAnsi="Arial" w:cs="Arial"/>
                <w:b/>
                <w:bCs/>
                <w:sz w:val="20"/>
                <w:szCs w:val="20"/>
                <w:lang w:eastAsia="es-SV"/>
              </w:rPr>
              <w:t>PRODUCTOS FINANCIEROS OBTENIDOS POR INVERSIONES PERIODO AGOSTO</w:t>
            </w:r>
            <w:r>
              <w:rPr>
                <w:rFonts w:ascii="Arial" w:eastAsia="Times New Roman" w:hAnsi="Arial" w:cs="Arial"/>
                <w:b/>
                <w:bCs/>
                <w:sz w:val="20"/>
                <w:szCs w:val="20"/>
                <w:lang w:eastAsia="es-SV"/>
              </w:rPr>
              <w:t xml:space="preserve"> </w:t>
            </w:r>
            <w:r w:rsidRPr="006B7AF3">
              <w:rPr>
                <w:rFonts w:ascii="Arial" w:eastAsia="Times New Roman" w:hAnsi="Arial" w:cs="Arial"/>
                <w:b/>
                <w:bCs/>
                <w:sz w:val="20"/>
                <w:szCs w:val="20"/>
                <w:lang w:eastAsia="es-SV"/>
              </w:rPr>
              <w:t>2009 A AGOSTO 2016</w:t>
            </w:r>
          </w:p>
        </w:tc>
      </w:tr>
      <w:tr w:rsidR="006B7AF3" w:rsidRPr="008D067D" w:rsidTr="00465B18">
        <w:trPr>
          <w:trHeight w:val="600"/>
          <w:jc w:val="center"/>
        </w:trPr>
        <w:tc>
          <w:tcPr>
            <w:tcW w:w="3276"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6B7AF3" w:rsidRPr="006B7AF3" w:rsidRDefault="006B7AF3" w:rsidP="006B7AF3">
            <w:pPr>
              <w:jc w:val="center"/>
              <w:rPr>
                <w:rFonts w:ascii="Arial" w:eastAsia="Times New Roman" w:hAnsi="Arial" w:cs="Arial"/>
                <w:b/>
                <w:bCs/>
                <w:sz w:val="20"/>
                <w:szCs w:val="20"/>
                <w:lang w:eastAsia="es-SV"/>
              </w:rPr>
            </w:pPr>
            <w:r w:rsidRPr="006B7AF3">
              <w:rPr>
                <w:rFonts w:ascii="Arial" w:eastAsia="Times New Roman" w:hAnsi="Arial" w:cs="Arial"/>
                <w:b/>
                <w:bCs/>
                <w:sz w:val="20"/>
                <w:szCs w:val="20"/>
                <w:lang w:eastAsia="es-SV"/>
              </w:rPr>
              <w:t>DETALLE</w:t>
            </w:r>
          </w:p>
        </w:tc>
        <w:tc>
          <w:tcPr>
            <w:tcW w:w="2268" w:type="dxa"/>
            <w:tcBorders>
              <w:top w:val="single" w:sz="4" w:space="0" w:color="auto"/>
              <w:left w:val="nil"/>
              <w:bottom w:val="single" w:sz="4" w:space="0" w:color="auto"/>
              <w:right w:val="single" w:sz="4" w:space="0" w:color="auto"/>
            </w:tcBorders>
            <w:shd w:val="clear" w:color="000000" w:fill="B8CCE4"/>
            <w:vAlign w:val="bottom"/>
            <w:hideMark/>
          </w:tcPr>
          <w:p w:rsidR="006B7AF3" w:rsidRPr="006B7AF3" w:rsidRDefault="006B7AF3" w:rsidP="006B7AF3">
            <w:pPr>
              <w:jc w:val="center"/>
              <w:rPr>
                <w:rFonts w:ascii="Arial" w:eastAsia="Times New Roman" w:hAnsi="Arial" w:cs="Arial"/>
                <w:b/>
                <w:bCs/>
                <w:sz w:val="18"/>
                <w:szCs w:val="18"/>
                <w:lang w:eastAsia="es-SV"/>
              </w:rPr>
            </w:pPr>
            <w:r w:rsidRPr="006B7AF3">
              <w:rPr>
                <w:rFonts w:ascii="Arial" w:eastAsia="Times New Roman" w:hAnsi="Arial" w:cs="Arial"/>
                <w:b/>
                <w:bCs/>
                <w:sz w:val="18"/>
                <w:szCs w:val="18"/>
                <w:lang w:eastAsia="es-SV"/>
              </w:rPr>
              <w:t>AGOSTO2009 A AGOSTO 2016</w:t>
            </w:r>
          </w:p>
        </w:tc>
      </w:tr>
      <w:tr w:rsidR="006B7AF3" w:rsidRPr="008D067D" w:rsidTr="00465B18">
        <w:trPr>
          <w:trHeight w:val="683"/>
          <w:jc w:val="cent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AF3" w:rsidRPr="006B7AF3" w:rsidRDefault="006B7AF3" w:rsidP="006B7AF3">
            <w:pPr>
              <w:rPr>
                <w:rFonts w:ascii="Arial" w:eastAsia="Times New Roman" w:hAnsi="Arial" w:cs="Arial"/>
                <w:sz w:val="20"/>
                <w:szCs w:val="20"/>
                <w:lang w:eastAsia="es-SV"/>
              </w:rPr>
            </w:pPr>
            <w:r w:rsidRPr="006B7AF3">
              <w:rPr>
                <w:rFonts w:ascii="Arial" w:eastAsia="Times New Roman" w:hAnsi="Arial" w:cs="Arial"/>
                <w:sz w:val="20"/>
                <w:szCs w:val="20"/>
                <w:lang w:eastAsia="es-SV"/>
              </w:rPr>
              <w:t>Intereses Cuentas Bancarias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B7AF3" w:rsidRPr="006B7AF3" w:rsidRDefault="006B7AF3" w:rsidP="006B7AF3">
            <w:pPr>
              <w:jc w:val="right"/>
              <w:rPr>
                <w:rFonts w:ascii="Arial" w:eastAsia="Times New Roman" w:hAnsi="Arial" w:cs="Arial"/>
                <w:sz w:val="20"/>
                <w:szCs w:val="20"/>
                <w:lang w:eastAsia="es-SV"/>
              </w:rPr>
            </w:pPr>
            <w:r w:rsidRPr="006B7AF3">
              <w:rPr>
                <w:rFonts w:ascii="Arial" w:eastAsia="Times New Roman" w:hAnsi="Arial" w:cs="Arial"/>
                <w:sz w:val="20"/>
                <w:szCs w:val="20"/>
                <w:lang w:eastAsia="es-SV"/>
              </w:rPr>
              <w:t>$1,215,945.21</w:t>
            </w:r>
          </w:p>
        </w:tc>
      </w:tr>
      <w:tr w:rsidR="006B7AF3" w:rsidRPr="008D067D" w:rsidTr="00465B18">
        <w:trPr>
          <w:trHeight w:val="600"/>
          <w:jc w:val="center"/>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6B7AF3" w:rsidRPr="006B7AF3" w:rsidRDefault="006B7AF3" w:rsidP="006B7AF3">
            <w:pPr>
              <w:rPr>
                <w:rFonts w:ascii="Arial" w:eastAsia="Times New Roman" w:hAnsi="Arial" w:cs="Arial"/>
                <w:sz w:val="20"/>
                <w:szCs w:val="20"/>
                <w:lang w:eastAsia="es-SV"/>
              </w:rPr>
            </w:pPr>
            <w:r w:rsidRPr="006B7AF3">
              <w:rPr>
                <w:rFonts w:ascii="Arial" w:eastAsia="Times New Roman" w:hAnsi="Arial" w:cs="Arial"/>
                <w:sz w:val="20"/>
                <w:szCs w:val="20"/>
                <w:lang w:eastAsia="es-SV"/>
              </w:rPr>
              <w:t>Rentabilidad Depósitos a Plazo</w:t>
            </w:r>
          </w:p>
        </w:tc>
        <w:tc>
          <w:tcPr>
            <w:tcW w:w="2268" w:type="dxa"/>
            <w:tcBorders>
              <w:top w:val="nil"/>
              <w:left w:val="nil"/>
              <w:bottom w:val="single" w:sz="4" w:space="0" w:color="auto"/>
              <w:right w:val="single" w:sz="4" w:space="0" w:color="auto"/>
            </w:tcBorders>
            <w:shd w:val="clear" w:color="auto" w:fill="auto"/>
            <w:noWrap/>
            <w:vAlign w:val="bottom"/>
            <w:hideMark/>
          </w:tcPr>
          <w:p w:rsidR="006B7AF3" w:rsidRPr="006B7AF3" w:rsidRDefault="006B7AF3" w:rsidP="006B7AF3">
            <w:pPr>
              <w:jc w:val="right"/>
              <w:rPr>
                <w:rFonts w:ascii="Arial" w:eastAsia="Times New Roman" w:hAnsi="Arial" w:cs="Arial"/>
                <w:sz w:val="20"/>
                <w:szCs w:val="20"/>
                <w:lang w:eastAsia="es-SV"/>
              </w:rPr>
            </w:pPr>
            <w:r w:rsidRPr="006B7AF3">
              <w:rPr>
                <w:rFonts w:ascii="Arial" w:eastAsia="Times New Roman" w:hAnsi="Arial" w:cs="Arial"/>
                <w:sz w:val="20"/>
                <w:szCs w:val="20"/>
                <w:lang w:eastAsia="es-SV"/>
              </w:rPr>
              <w:t>$6,671,097.74</w:t>
            </w:r>
          </w:p>
        </w:tc>
      </w:tr>
      <w:tr w:rsidR="006B7AF3" w:rsidRPr="008D067D" w:rsidTr="00465B18">
        <w:trPr>
          <w:trHeight w:val="672"/>
          <w:jc w:val="center"/>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6B7AF3" w:rsidRPr="006B7AF3" w:rsidRDefault="006B7AF3" w:rsidP="006B7AF3">
            <w:pPr>
              <w:rPr>
                <w:rFonts w:ascii="Arial" w:eastAsia="Times New Roman" w:hAnsi="Arial" w:cs="Arial"/>
                <w:sz w:val="20"/>
                <w:szCs w:val="20"/>
                <w:lang w:eastAsia="es-SV"/>
              </w:rPr>
            </w:pPr>
            <w:r w:rsidRPr="006B7AF3">
              <w:rPr>
                <w:rFonts w:ascii="Arial" w:eastAsia="Times New Roman" w:hAnsi="Arial" w:cs="Arial"/>
                <w:sz w:val="20"/>
                <w:szCs w:val="20"/>
                <w:lang w:eastAsia="es-SV"/>
              </w:rPr>
              <w:t>Rentabilidad Financiera de Bonos</w:t>
            </w:r>
          </w:p>
        </w:tc>
        <w:tc>
          <w:tcPr>
            <w:tcW w:w="2268" w:type="dxa"/>
            <w:tcBorders>
              <w:top w:val="nil"/>
              <w:left w:val="nil"/>
              <w:bottom w:val="single" w:sz="4" w:space="0" w:color="auto"/>
              <w:right w:val="single" w:sz="4" w:space="0" w:color="auto"/>
            </w:tcBorders>
            <w:shd w:val="clear" w:color="auto" w:fill="auto"/>
            <w:noWrap/>
            <w:vAlign w:val="bottom"/>
            <w:hideMark/>
          </w:tcPr>
          <w:p w:rsidR="006B7AF3" w:rsidRPr="006B7AF3" w:rsidRDefault="006B7AF3" w:rsidP="006B7AF3">
            <w:pPr>
              <w:jc w:val="right"/>
              <w:rPr>
                <w:rFonts w:ascii="Arial" w:eastAsia="Times New Roman" w:hAnsi="Arial" w:cs="Arial"/>
                <w:sz w:val="20"/>
                <w:szCs w:val="20"/>
                <w:lang w:eastAsia="es-SV"/>
              </w:rPr>
            </w:pPr>
            <w:r w:rsidRPr="006B7AF3">
              <w:rPr>
                <w:rFonts w:ascii="Arial" w:eastAsia="Times New Roman" w:hAnsi="Arial" w:cs="Arial"/>
                <w:sz w:val="20"/>
                <w:szCs w:val="20"/>
                <w:lang w:eastAsia="es-SV"/>
              </w:rPr>
              <w:t>$8,507,043.44</w:t>
            </w:r>
          </w:p>
        </w:tc>
      </w:tr>
      <w:tr w:rsidR="006B7AF3" w:rsidRPr="008D067D" w:rsidTr="00465B18">
        <w:trPr>
          <w:trHeight w:val="480"/>
          <w:jc w:val="center"/>
        </w:trPr>
        <w:tc>
          <w:tcPr>
            <w:tcW w:w="3276" w:type="dxa"/>
            <w:tcBorders>
              <w:top w:val="double" w:sz="6" w:space="0" w:color="auto"/>
              <w:left w:val="double" w:sz="6" w:space="0" w:color="auto"/>
              <w:bottom w:val="double" w:sz="6" w:space="0" w:color="auto"/>
              <w:right w:val="double" w:sz="6" w:space="0" w:color="auto"/>
            </w:tcBorders>
            <w:shd w:val="clear" w:color="000000" w:fill="FDE9D9"/>
            <w:noWrap/>
            <w:vAlign w:val="bottom"/>
            <w:hideMark/>
          </w:tcPr>
          <w:p w:rsidR="006B7AF3" w:rsidRPr="006B7AF3" w:rsidRDefault="006B7AF3" w:rsidP="006B7AF3">
            <w:pPr>
              <w:rPr>
                <w:rFonts w:ascii="Arial" w:eastAsia="Times New Roman" w:hAnsi="Arial" w:cs="Arial"/>
                <w:b/>
                <w:bCs/>
                <w:sz w:val="20"/>
                <w:szCs w:val="20"/>
                <w:lang w:eastAsia="es-SV"/>
              </w:rPr>
            </w:pPr>
            <w:r w:rsidRPr="006B7AF3">
              <w:rPr>
                <w:rFonts w:ascii="Arial" w:eastAsia="Times New Roman" w:hAnsi="Arial" w:cs="Arial"/>
                <w:b/>
                <w:bCs/>
                <w:sz w:val="20"/>
                <w:szCs w:val="20"/>
                <w:lang w:eastAsia="es-SV"/>
              </w:rPr>
              <w:t>TOTAL</w:t>
            </w:r>
          </w:p>
        </w:tc>
        <w:tc>
          <w:tcPr>
            <w:tcW w:w="2268" w:type="dxa"/>
            <w:tcBorders>
              <w:top w:val="double" w:sz="6" w:space="0" w:color="auto"/>
              <w:left w:val="nil"/>
              <w:bottom w:val="double" w:sz="6" w:space="0" w:color="auto"/>
              <w:right w:val="double" w:sz="6" w:space="0" w:color="auto"/>
            </w:tcBorders>
            <w:shd w:val="clear" w:color="000000" w:fill="FDE9D9"/>
            <w:noWrap/>
            <w:vAlign w:val="bottom"/>
            <w:hideMark/>
          </w:tcPr>
          <w:p w:rsidR="006B7AF3" w:rsidRPr="006B7AF3" w:rsidRDefault="006B7AF3" w:rsidP="006B7AF3">
            <w:pPr>
              <w:jc w:val="right"/>
              <w:rPr>
                <w:rFonts w:ascii="Arial" w:eastAsia="Times New Roman" w:hAnsi="Arial" w:cs="Arial"/>
                <w:b/>
                <w:bCs/>
                <w:sz w:val="20"/>
                <w:szCs w:val="20"/>
                <w:lang w:eastAsia="es-SV"/>
              </w:rPr>
            </w:pPr>
            <w:r w:rsidRPr="006B7AF3">
              <w:rPr>
                <w:rFonts w:ascii="Arial" w:eastAsia="Times New Roman" w:hAnsi="Arial" w:cs="Arial"/>
                <w:b/>
                <w:bCs/>
                <w:sz w:val="20"/>
                <w:szCs w:val="20"/>
                <w:lang w:eastAsia="es-SV"/>
              </w:rPr>
              <w:t>$16,394,086.39</w:t>
            </w:r>
          </w:p>
        </w:tc>
      </w:tr>
    </w:tbl>
    <w:p w:rsidR="0070397C" w:rsidRPr="0070397C" w:rsidRDefault="0070397C" w:rsidP="0070397C">
      <w:pPr>
        <w:rPr>
          <w:rFonts w:ascii="Century Gothic" w:hAnsi="Century Gothic"/>
          <w:b/>
          <w:i/>
          <w:color w:val="355BA9"/>
          <w:sz w:val="24"/>
          <w:szCs w:val="24"/>
        </w:rPr>
      </w:pPr>
    </w:p>
    <w:p w:rsidR="0070397C" w:rsidRPr="00740CEA" w:rsidRDefault="0070397C" w:rsidP="006B7AF3">
      <w:pPr>
        <w:pStyle w:val="Default"/>
        <w:jc w:val="center"/>
        <w:rPr>
          <w:rFonts w:ascii="Century Gothic" w:hAnsi="Century Gothic"/>
          <w:sz w:val="16"/>
          <w:szCs w:val="16"/>
        </w:rPr>
      </w:pPr>
      <w:r>
        <w:rPr>
          <w:rFonts w:ascii="Century Gothic" w:hAnsi="Century Gothic"/>
          <w:sz w:val="16"/>
          <w:szCs w:val="16"/>
        </w:rPr>
        <w:t>Fuente: Unidad Financiera Institucional.</w:t>
      </w:r>
    </w:p>
    <w:p w:rsidR="0070397C" w:rsidRDefault="0070397C" w:rsidP="0070397C">
      <w:pPr>
        <w:rPr>
          <w:rFonts w:ascii="Century Gothic" w:hAnsi="Century Gothic"/>
          <w:b/>
          <w:i/>
          <w:color w:val="355BA9"/>
          <w:sz w:val="24"/>
          <w:szCs w:val="24"/>
        </w:rPr>
      </w:pPr>
    </w:p>
    <w:p w:rsidR="0070397C" w:rsidRDefault="0070397C" w:rsidP="0070397C">
      <w:pPr>
        <w:rPr>
          <w:rFonts w:ascii="Century Gothic" w:hAnsi="Century Gothic"/>
          <w:b/>
          <w:i/>
          <w:color w:val="355BA9"/>
          <w:sz w:val="24"/>
          <w:szCs w:val="24"/>
        </w:rPr>
      </w:pPr>
    </w:p>
    <w:p w:rsidR="0070397C" w:rsidRDefault="0070397C" w:rsidP="0070397C">
      <w:pPr>
        <w:rPr>
          <w:rFonts w:ascii="Century Gothic" w:hAnsi="Century Gothic"/>
          <w:b/>
          <w:i/>
          <w:color w:val="355BA9"/>
          <w:sz w:val="24"/>
          <w:szCs w:val="24"/>
        </w:rPr>
      </w:pPr>
    </w:p>
    <w:p w:rsidR="0070397C" w:rsidRDefault="0070397C" w:rsidP="0070397C">
      <w:pPr>
        <w:rPr>
          <w:rFonts w:ascii="Century Gothic" w:hAnsi="Century Gothic"/>
          <w:b/>
          <w:i/>
          <w:color w:val="355BA9"/>
          <w:sz w:val="24"/>
          <w:szCs w:val="24"/>
        </w:rPr>
      </w:pPr>
    </w:p>
    <w:p w:rsidR="00B538F5" w:rsidRDefault="00B538F5" w:rsidP="0070397C">
      <w:pPr>
        <w:rPr>
          <w:rFonts w:ascii="Century Gothic" w:hAnsi="Century Gothic"/>
          <w:b/>
          <w:i/>
          <w:color w:val="355BA9"/>
          <w:sz w:val="24"/>
          <w:szCs w:val="24"/>
        </w:rPr>
      </w:pPr>
    </w:p>
    <w:p w:rsidR="00B538F5" w:rsidRDefault="00B538F5" w:rsidP="0070397C">
      <w:pPr>
        <w:rPr>
          <w:rFonts w:ascii="Century Gothic" w:hAnsi="Century Gothic"/>
          <w:b/>
          <w:i/>
          <w:color w:val="355BA9"/>
          <w:sz w:val="24"/>
          <w:szCs w:val="24"/>
        </w:rPr>
      </w:pPr>
    </w:p>
    <w:p w:rsidR="0070397C" w:rsidRDefault="00B04513" w:rsidP="00B04513">
      <w:pPr>
        <w:pStyle w:val="Ttulo4"/>
        <w:numPr>
          <w:ilvl w:val="3"/>
          <w:numId w:val="30"/>
        </w:numPr>
        <w:spacing w:after="120"/>
        <w:rPr>
          <w:sz w:val="24"/>
        </w:rPr>
      </w:pPr>
      <w:bookmarkStart w:id="43" w:name="_Toc467228667"/>
      <w:r w:rsidRPr="00B04513">
        <w:rPr>
          <w:sz w:val="24"/>
        </w:rPr>
        <w:t xml:space="preserve">TRANSFERENCIAS </w:t>
      </w:r>
      <w:r w:rsidR="00615FAE">
        <w:rPr>
          <w:sz w:val="24"/>
        </w:rPr>
        <w:t xml:space="preserve">DE IMPUESTOS AL MINISTERIO DE </w:t>
      </w:r>
      <w:r w:rsidRPr="00B04513">
        <w:rPr>
          <w:sz w:val="24"/>
        </w:rPr>
        <w:t>HACIENDA</w:t>
      </w:r>
      <w:bookmarkEnd w:id="43"/>
    </w:p>
    <w:tbl>
      <w:tblPr>
        <w:tblW w:w="6691" w:type="dxa"/>
        <w:jc w:val="center"/>
        <w:tblCellMar>
          <w:left w:w="70" w:type="dxa"/>
          <w:right w:w="70" w:type="dxa"/>
        </w:tblCellMar>
        <w:tblLook w:val="04A0"/>
      </w:tblPr>
      <w:tblGrid>
        <w:gridCol w:w="6691"/>
      </w:tblGrid>
      <w:tr w:rsidR="006B7AF3" w:rsidRPr="008D067D" w:rsidTr="006B7AF3">
        <w:trPr>
          <w:trHeight w:val="623"/>
          <w:jc w:val="center"/>
        </w:trPr>
        <w:tc>
          <w:tcPr>
            <w:tcW w:w="6691" w:type="dxa"/>
            <w:tcBorders>
              <w:top w:val="nil"/>
              <w:left w:val="nil"/>
              <w:bottom w:val="nil"/>
              <w:right w:val="nil"/>
            </w:tcBorders>
            <w:shd w:val="clear" w:color="auto" w:fill="auto"/>
            <w:vAlign w:val="bottom"/>
            <w:hideMark/>
          </w:tcPr>
          <w:p w:rsidR="006B7AF3" w:rsidRDefault="006B7AF3" w:rsidP="00465B18">
            <w:pPr>
              <w:jc w:val="center"/>
              <w:rPr>
                <w:rFonts w:ascii="Arial" w:eastAsia="Times New Roman" w:hAnsi="Arial" w:cs="Arial"/>
                <w:b/>
                <w:bCs/>
                <w:sz w:val="20"/>
                <w:szCs w:val="20"/>
                <w:lang w:eastAsia="es-SV"/>
              </w:rPr>
            </w:pPr>
          </w:p>
          <w:tbl>
            <w:tblPr>
              <w:tblW w:w="6551" w:type="dxa"/>
              <w:tblCellMar>
                <w:left w:w="70" w:type="dxa"/>
                <w:right w:w="70" w:type="dxa"/>
              </w:tblCellMar>
              <w:tblLook w:val="04A0"/>
            </w:tblPr>
            <w:tblGrid>
              <w:gridCol w:w="5131"/>
              <w:gridCol w:w="1420"/>
            </w:tblGrid>
            <w:tr w:rsidR="006B7AF3" w:rsidRPr="008D067D" w:rsidTr="00465B18">
              <w:trPr>
                <w:trHeight w:val="623"/>
              </w:trPr>
              <w:tc>
                <w:tcPr>
                  <w:tcW w:w="6551" w:type="dxa"/>
                  <w:gridSpan w:val="2"/>
                  <w:tcBorders>
                    <w:top w:val="nil"/>
                    <w:left w:val="nil"/>
                    <w:bottom w:val="nil"/>
                    <w:right w:val="nil"/>
                  </w:tcBorders>
                  <w:shd w:val="clear" w:color="auto" w:fill="auto"/>
                  <w:vAlign w:val="bottom"/>
                  <w:hideMark/>
                </w:tcPr>
                <w:p w:rsidR="006B7AF3" w:rsidRPr="00757831" w:rsidRDefault="006B7AF3" w:rsidP="00465B18">
                  <w:pPr>
                    <w:jc w:val="cente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IMPUESTOS REMITIDOS AL MINISTERIO DE HACIENDA DE JUNIO 2015 A AGOSTO 2016</w:t>
                  </w:r>
                </w:p>
              </w:tc>
            </w:tr>
            <w:tr w:rsidR="006B7AF3" w:rsidRPr="008D067D" w:rsidTr="00465B18">
              <w:trPr>
                <w:trHeight w:val="255"/>
              </w:trPr>
              <w:tc>
                <w:tcPr>
                  <w:tcW w:w="5131" w:type="dxa"/>
                  <w:tcBorders>
                    <w:top w:val="nil"/>
                    <w:left w:val="nil"/>
                    <w:bottom w:val="nil"/>
                    <w:right w:val="nil"/>
                  </w:tcBorders>
                  <w:shd w:val="clear" w:color="auto" w:fill="auto"/>
                  <w:noWrap/>
                  <w:vAlign w:val="bottom"/>
                  <w:hideMark/>
                </w:tcPr>
                <w:p w:rsidR="006B7AF3" w:rsidRPr="00757831" w:rsidRDefault="006B7AF3" w:rsidP="00465B18">
                  <w:pPr>
                    <w:rPr>
                      <w:rFonts w:ascii="Arial" w:eastAsia="Times New Roman" w:hAnsi="Arial" w:cs="Arial"/>
                      <w:b/>
                      <w:bCs/>
                      <w:sz w:val="20"/>
                      <w:szCs w:val="20"/>
                      <w:lang w:eastAsia="es-SV"/>
                    </w:rPr>
                  </w:pPr>
                </w:p>
              </w:tc>
              <w:tc>
                <w:tcPr>
                  <w:tcW w:w="1420" w:type="dxa"/>
                  <w:tcBorders>
                    <w:top w:val="nil"/>
                    <w:left w:val="nil"/>
                    <w:bottom w:val="nil"/>
                    <w:right w:val="nil"/>
                  </w:tcBorders>
                  <w:shd w:val="clear" w:color="auto" w:fill="auto"/>
                  <w:noWrap/>
                  <w:vAlign w:val="bottom"/>
                  <w:hideMark/>
                </w:tcPr>
                <w:p w:rsidR="006B7AF3" w:rsidRPr="00757831" w:rsidRDefault="006B7AF3" w:rsidP="00465B18">
                  <w:pPr>
                    <w:rPr>
                      <w:rFonts w:ascii="Arial" w:eastAsia="Times New Roman" w:hAnsi="Arial" w:cs="Arial"/>
                      <w:b/>
                      <w:bCs/>
                      <w:sz w:val="20"/>
                      <w:szCs w:val="20"/>
                      <w:lang w:eastAsia="es-SV"/>
                    </w:rPr>
                  </w:pPr>
                </w:p>
              </w:tc>
            </w:tr>
            <w:tr w:rsidR="006B7AF3" w:rsidRPr="008D067D" w:rsidTr="00465B18">
              <w:trPr>
                <w:trHeight w:val="255"/>
              </w:trPr>
              <w:tc>
                <w:tcPr>
                  <w:tcW w:w="6551"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6B7AF3" w:rsidRPr="00757831" w:rsidRDefault="006B7AF3" w:rsidP="00465B18">
                  <w:pPr>
                    <w:jc w:val="cente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 xml:space="preserve">RETENCIONES IVA </w:t>
                  </w:r>
                </w:p>
              </w:tc>
            </w:tr>
            <w:tr w:rsidR="006B7AF3" w:rsidRPr="008D067D" w:rsidTr="00465B18">
              <w:trPr>
                <w:trHeight w:val="420"/>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rsidR="006B7AF3" w:rsidRPr="00757831" w:rsidRDefault="006B7AF3" w:rsidP="00465B18">
                  <w:pPr>
                    <w:rPr>
                      <w:rFonts w:ascii="Arial" w:eastAsia="Times New Roman" w:hAnsi="Arial" w:cs="Arial"/>
                      <w:sz w:val="20"/>
                      <w:szCs w:val="20"/>
                      <w:lang w:eastAsia="es-SV"/>
                    </w:rPr>
                  </w:pPr>
                  <w:r w:rsidRPr="00757831">
                    <w:rPr>
                      <w:rFonts w:ascii="Arial" w:eastAsia="Times New Roman" w:hAnsi="Arial" w:cs="Arial"/>
                      <w:sz w:val="20"/>
                      <w:szCs w:val="20"/>
                      <w:lang w:eastAsia="es-SV"/>
                    </w:rPr>
                    <w:t>RETENCION 1% IVA</w:t>
                  </w:r>
                </w:p>
              </w:tc>
              <w:tc>
                <w:tcPr>
                  <w:tcW w:w="1420" w:type="dxa"/>
                  <w:tcBorders>
                    <w:top w:val="nil"/>
                    <w:left w:val="nil"/>
                    <w:bottom w:val="single" w:sz="4" w:space="0" w:color="auto"/>
                    <w:right w:val="single" w:sz="4" w:space="0" w:color="auto"/>
                  </w:tcBorders>
                  <w:shd w:val="clear" w:color="auto" w:fill="auto"/>
                  <w:noWrap/>
                  <w:vAlign w:val="bottom"/>
                  <w:hideMark/>
                </w:tcPr>
                <w:p w:rsidR="006B7AF3" w:rsidRPr="00757831" w:rsidRDefault="006B7AF3" w:rsidP="00465B18">
                  <w:pPr>
                    <w:jc w:val="right"/>
                    <w:rPr>
                      <w:rFonts w:ascii="Arial" w:eastAsia="Times New Roman" w:hAnsi="Arial" w:cs="Arial"/>
                      <w:sz w:val="20"/>
                      <w:szCs w:val="20"/>
                      <w:lang w:eastAsia="es-SV"/>
                    </w:rPr>
                  </w:pPr>
                  <w:r w:rsidRPr="00757831">
                    <w:rPr>
                      <w:rFonts w:ascii="Arial" w:eastAsia="Times New Roman" w:hAnsi="Arial" w:cs="Arial"/>
                      <w:sz w:val="20"/>
                      <w:szCs w:val="20"/>
                      <w:lang w:eastAsia="es-SV"/>
                    </w:rPr>
                    <w:t>$308,430.71</w:t>
                  </w:r>
                </w:p>
              </w:tc>
            </w:tr>
            <w:tr w:rsidR="006B7AF3" w:rsidRPr="008D067D" w:rsidTr="00465B18">
              <w:trPr>
                <w:trHeight w:val="443"/>
              </w:trPr>
              <w:tc>
                <w:tcPr>
                  <w:tcW w:w="5131" w:type="dxa"/>
                  <w:tcBorders>
                    <w:top w:val="nil"/>
                    <w:left w:val="single" w:sz="4" w:space="0" w:color="auto"/>
                    <w:bottom w:val="single" w:sz="4" w:space="0" w:color="auto"/>
                    <w:right w:val="single" w:sz="4" w:space="0" w:color="auto"/>
                  </w:tcBorders>
                  <w:shd w:val="clear" w:color="000000" w:fill="F2DCDB"/>
                  <w:noWrap/>
                  <w:vAlign w:val="bottom"/>
                  <w:hideMark/>
                </w:tcPr>
                <w:p w:rsidR="006B7AF3" w:rsidRPr="00757831" w:rsidRDefault="006B7AF3" w:rsidP="00465B18">
                  <w:pP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TOTAL RETENCION 1% IVA</w:t>
                  </w:r>
                </w:p>
              </w:tc>
              <w:tc>
                <w:tcPr>
                  <w:tcW w:w="1420" w:type="dxa"/>
                  <w:tcBorders>
                    <w:top w:val="nil"/>
                    <w:left w:val="nil"/>
                    <w:bottom w:val="single" w:sz="4" w:space="0" w:color="auto"/>
                    <w:right w:val="single" w:sz="4" w:space="0" w:color="auto"/>
                  </w:tcBorders>
                  <w:shd w:val="clear" w:color="000000" w:fill="F2DCDB"/>
                  <w:noWrap/>
                  <w:vAlign w:val="bottom"/>
                  <w:hideMark/>
                </w:tcPr>
                <w:p w:rsidR="006B7AF3" w:rsidRPr="00757831" w:rsidRDefault="006B7AF3" w:rsidP="00465B18">
                  <w:pPr>
                    <w:jc w:val="right"/>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$308,430.71</w:t>
                  </w:r>
                </w:p>
              </w:tc>
            </w:tr>
            <w:tr w:rsidR="006B7AF3" w:rsidRPr="008D067D" w:rsidTr="00465B18">
              <w:trPr>
                <w:trHeight w:val="398"/>
              </w:trPr>
              <w:tc>
                <w:tcPr>
                  <w:tcW w:w="6551"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6B7AF3" w:rsidRPr="00757831" w:rsidRDefault="006B7AF3" w:rsidP="00465B18">
                  <w:pPr>
                    <w:jc w:val="cente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RETENCIONES IMPUESTO SOBRE LA RENTA</w:t>
                  </w:r>
                </w:p>
              </w:tc>
            </w:tr>
            <w:tr w:rsidR="006B7AF3" w:rsidRPr="008D067D" w:rsidTr="00465B18">
              <w:trPr>
                <w:trHeight w:val="40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rsidR="006B7AF3" w:rsidRPr="00757831" w:rsidRDefault="006B7AF3" w:rsidP="00465B18">
                  <w:pPr>
                    <w:rPr>
                      <w:rFonts w:ascii="Arial" w:eastAsia="Times New Roman" w:hAnsi="Arial" w:cs="Arial"/>
                      <w:sz w:val="20"/>
                      <w:szCs w:val="20"/>
                      <w:lang w:eastAsia="es-SV"/>
                    </w:rPr>
                  </w:pPr>
                  <w:r w:rsidRPr="00757831">
                    <w:rPr>
                      <w:rFonts w:ascii="Arial" w:eastAsia="Times New Roman" w:hAnsi="Arial" w:cs="Arial"/>
                      <w:sz w:val="20"/>
                      <w:szCs w:val="20"/>
                      <w:lang w:eastAsia="es-SV"/>
                    </w:rPr>
                    <w:t>RETENCIONES EMPLEADOS</w:t>
                  </w:r>
                </w:p>
              </w:tc>
              <w:tc>
                <w:tcPr>
                  <w:tcW w:w="1420" w:type="dxa"/>
                  <w:tcBorders>
                    <w:top w:val="nil"/>
                    <w:left w:val="nil"/>
                    <w:bottom w:val="single" w:sz="4" w:space="0" w:color="auto"/>
                    <w:right w:val="single" w:sz="4" w:space="0" w:color="auto"/>
                  </w:tcBorders>
                  <w:shd w:val="clear" w:color="auto" w:fill="auto"/>
                  <w:noWrap/>
                  <w:vAlign w:val="bottom"/>
                  <w:hideMark/>
                </w:tcPr>
                <w:p w:rsidR="006B7AF3" w:rsidRPr="00757831" w:rsidRDefault="006B7AF3" w:rsidP="00465B18">
                  <w:pPr>
                    <w:jc w:val="right"/>
                    <w:rPr>
                      <w:rFonts w:ascii="Arial" w:eastAsia="Times New Roman" w:hAnsi="Arial" w:cs="Arial"/>
                      <w:sz w:val="20"/>
                      <w:szCs w:val="20"/>
                      <w:lang w:eastAsia="es-SV"/>
                    </w:rPr>
                  </w:pPr>
                  <w:r w:rsidRPr="00757831">
                    <w:rPr>
                      <w:rFonts w:ascii="Arial" w:eastAsia="Times New Roman" w:hAnsi="Arial" w:cs="Arial"/>
                      <w:sz w:val="20"/>
                      <w:szCs w:val="20"/>
                      <w:lang w:eastAsia="es-SV"/>
                    </w:rPr>
                    <w:t>$624,657.25</w:t>
                  </w:r>
                </w:p>
              </w:tc>
            </w:tr>
            <w:tr w:rsidR="006B7AF3" w:rsidRPr="008D067D" w:rsidTr="00465B18">
              <w:trPr>
                <w:trHeight w:val="40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rsidR="006B7AF3" w:rsidRPr="00757831" w:rsidRDefault="006B7AF3" w:rsidP="00465B18">
                  <w:pPr>
                    <w:rPr>
                      <w:rFonts w:ascii="Arial" w:eastAsia="Times New Roman" w:hAnsi="Arial" w:cs="Arial"/>
                      <w:sz w:val="20"/>
                      <w:szCs w:val="20"/>
                      <w:lang w:eastAsia="es-SV"/>
                    </w:rPr>
                  </w:pPr>
                  <w:r w:rsidRPr="00757831">
                    <w:rPr>
                      <w:rFonts w:ascii="Arial" w:eastAsia="Times New Roman" w:hAnsi="Arial" w:cs="Arial"/>
                      <w:sz w:val="20"/>
                      <w:szCs w:val="20"/>
                      <w:lang w:eastAsia="es-SV"/>
                    </w:rPr>
                    <w:t>RETENCIONES SIN DEPENDENCIA LABORAL</w:t>
                  </w:r>
                </w:p>
              </w:tc>
              <w:tc>
                <w:tcPr>
                  <w:tcW w:w="1420" w:type="dxa"/>
                  <w:tcBorders>
                    <w:top w:val="nil"/>
                    <w:left w:val="nil"/>
                    <w:bottom w:val="single" w:sz="4" w:space="0" w:color="auto"/>
                    <w:right w:val="single" w:sz="4" w:space="0" w:color="auto"/>
                  </w:tcBorders>
                  <w:shd w:val="clear" w:color="auto" w:fill="auto"/>
                  <w:noWrap/>
                  <w:vAlign w:val="bottom"/>
                  <w:hideMark/>
                </w:tcPr>
                <w:p w:rsidR="006B7AF3" w:rsidRPr="00757831" w:rsidRDefault="006B7AF3" w:rsidP="00465B18">
                  <w:pPr>
                    <w:jc w:val="right"/>
                    <w:rPr>
                      <w:rFonts w:ascii="Arial" w:eastAsia="Times New Roman" w:hAnsi="Arial" w:cs="Arial"/>
                      <w:sz w:val="20"/>
                      <w:szCs w:val="20"/>
                      <w:lang w:eastAsia="es-SV"/>
                    </w:rPr>
                  </w:pPr>
                  <w:r w:rsidRPr="00757831">
                    <w:rPr>
                      <w:rFonts w:ascii="Arial" w:eastAsia="Times New Roman" w:hAnsi="Arial" w:cs="Arial"/>
                      <w:sz w:val="20"/>
                      <w:szCs w:val="20"/>
                      <w:lang w:eastAsia="es-SV"/>
                    </w:rPr>
                    <w:t>$612,704.61</w:t>
                  </w:r>
                </w:p>
              </w:tc>
            </w:tr>
            <w:tr w:rsidR="006B7AF3" w:rsidRPr="008D067D" w:rsidTr="00465B18">
              <w:trPr>
                <w:trHeight w:val="420"/>
              </w:trPr>
              <w:tc>
                <w:tcPr>
                  <w:tcW w:w="5131" w:type="dxa"/>
                  <w:tcBorders>
                    <w:top w:val="nil"/>
                    <w:left w:val="single" w:sz="4" w:space="0" w:color="auto"/>
                    <w:bottom w:val="single" w:sz="4" w:space="0" w:color="auto"/>
                    <w:right w:val="single" w:sz="4" w:space="0" w:color="auto"/>
                  </w:tcBorders>
                  <w:shd w:val="clear" w:color="000000" w:fill="F2DCDB"/>
                  <w:noWrap/>
                  <w:vAlign w:val="bottom"/>
                  <w:hideMark/>
                </w:tcPr>
                <w:p w:rsidR="006B7AF3" w:rsidRPr="00757831" w:rsidRDefault="006B7AF3" w:rsidP="00465B18">
                  <w:pP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TOTAL RETENCION IMPUESTO SOBRE LA RENTA</w:t>
                  </w:r>
                </w:p>
              </w:tc>
              <w:tc>
                <w:tcPr>
                  <w:tcW w:w="1420" w:type="dxa"/>
                  <w:tcBorders>
                    <w:top w:val="nil"/>
                    <w:left w:val="nil"/>
                    <w:bottom w:val="single" w:sz="4" w:space="0" w:color="auto"/>
                    <w:right w:val="single" w:sz="4" w:space="0" w:color="auto"/>
                  </w:tcBorders>
                  <w:shd w:val="clear" w:color="000000" w:fill="F2DCDB"/>
                  <w:noWrap/>
                  <w:vAlign w:val="bottom"/>
                  <w:hideMark/>
                </w:tcPr>
                <w:p w:rsidR="006B7AF3" w:rsidRPr="00757831" w:rsidRDefault="006B7AF3" w:rsidP="00465B18">
                  <w:pPr>
                    <w:jc w:val="right"/>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$1,237,361.86</w:t>
                  </w:r>
                </w:p>
              </w:tc>
            </w:tr>
            <w:tr w:rsidR="006B7AF3" w:rsidRPr="008D067D" w:rsidTr="00465B18">
              <w:trPr>
                <w:trHeight w:val="458"/>
              </w:trPr>
              <w:tc>
                <w:tcPr>
                  <w:tcW w:w="5131" w:type="dxa"/>
                  <w:tcBorders>
                    <w:top w:val="nil"/>
                    <w:left w:val="single" w:sz="4" w:space="0" w:color="auto"/>
                    <w:bottom w:val="single" w:sz="4" w:space="0" w:color="auto"/>
                    <w:right w:val="single" w:sz="4" w:space="0" w:color="auto"/>
                  </w:tcBorders>
                  <w:shd w:val="clear" w:color="000000" w:fill="FCD5B4"/>
                  <w:noWrap/>
                  <w:vAlign w:val="bottom"/>
                  <w:hideMark/>
                </w:tcPr>
                <w:p w:rsidR="006B7AF3" w:rsidRPr="00757831" w:rsidRDefault="006B7AF3" w:rsidP="00465B18">
                  <w:pPr>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TOTAL RETENIDO DE JUNIO 2015 A AGOSTO 2016</w:t>
                  </w:r>
                </w:p>
              </w:tc>
              <w:tc>
                <w:tcPr>
                  <w:tcW w:w="1420" w:type="dxa"/>
                  <w:tcBorders>
                    <w:top w:val="nil"/>
                    <w:left w:val="nil"/>
                    <w:bottom w:val="single" w:sz="4" w:space="0" w:color="auto"/>
                    <w:right w:val="single" w:sz="4" w:space="0" w:color="auto"/>
                  </w:tcBorders>
                  <w:shd w:val="clear" w:color="000000" w:fill="FCD5B4"/>
                  <w:noWrap/>
                  <w:vAlign w:val="bottom"/>
                  <w:hideMark/>
                </w:tcPr>
                <w:p w:rsidR="006B7AF3" w:rsidRPr="00757831" w:rsidRDefault="006B7AF3" w:rsidP="00465B18">
                  <w:pPr>
                    <w:jc w:val="right"/>
                    <w:rPr>
                      <w:rFonts w:ascii="Arial" w:eastAsia="Times New Roman" w:hAnsi="Arial" w:cs="Arial"/>
                      <w:b/>
                      <w:bCs/>
                      <w:sz w:val="20"/>
                      <w:szCs w:val="20"/>
                      <w:lang w:eastAsia="es-SV"/>
                    </w:rPr>
                  </w:pPr>
                  <w:r w:rsidRPr="00757831">
                    <w:rPr>
                      <w:rFonts w:ascii="Arial" w:eastAsia="Times New Roman" w:hAnsi="Arial" w:cs="Arial"/>
                      <w:b/>
                      <w:bCs/>
                      <w:sz w:val="20"/>
                      <w:szCs w:val="20"/>
                      <w:lang w:eastAsia="es-SV"/>
                    </w:rPr>
                    <w:t>$1,545,792.57</w:t>
                  </w:r>
                </w:p>
              </w:tc>
            </w:tr>
          </w:tbl>
          <w:p w:rsidR="006B7AF3" w:rsidRPr="0070397C" w:rsidRDefault="006B7AF3" w:rsidP="00465B18">
            <w:pPr>
              <w:jc w:val="center"/>
              <w:rPr>
                <w:rFonts w:ascii="Arial" w:eastAsia="Times New Roman" w:hAnsi="Arial" w:cs="Arial"/>
                <w:b/>
                <w:bCs/>
                <w:sz w:val="20"/>
                <w:szCs w:val="20"/>
                <w:lang w:eastAsia="es-SV"/>
              </w:rPr>
            </w:pPr>
          </w:p>
        </w:tc>
      </w:tr>
    </w:tbl>
    <w:p w:rsidR="006B7AF3" w:rsidRDefault="006B7AF3">
      <w:pPr>
        <w:rPr>
          <w:rFonts w:ascii="Century Gothic" w:hAnsi="Century Gothic"/>
          <w:sz w:val="16"/>
          <w:szCs w:val="16"/>
        </w:rPr>
      </w:pPr>
    </w:p>
    <w:p w:rsidR="0070397C" w:rsidRDefault="006B7AF3" w:rsidP="006B7AF3">
      <w:pPr>
        <w:jc w:val="center"/>
        <w:rPr>
          <w:rFonts w:ascii="Century Gothic" w:hAnsi="Century Gothic"/>
          <w:sz w:val="16"/>
          <w:szCs w:val="16"/>
        </w:rPr>
      </w:pPr>
      <w:r>
        <w:rPr>
          <w:rFonts w:ascii="Century Gothic" w:hAnsi="Century Gothic"/>
          <w:sz w:val="16"/>
          <w:szCs w:val="16"/>
        </w:rPr>
        <w:t>Fuente: Unidad Financiera Institucional</w:t>
      </w:r>
    </w:p>
    <w:p w:rsidR="00964F78" w:rsidRDefault="00964F78" w:rsidP="006B7AF3">
      <w:pPr>
        <w:jc w:val="center"/>
        <w:rPr>
          <w:rFonts w:ascii="Century Gothic" w:hAnsi="Century Gothic"/>
          <w:sz w:val="16"/>
          <w:szCs w:val="16"/>
        </w:rPr>
      </w:pPr>
    </w:p>
    <w:p w:rsidR="00964F78" w:rsidRDefault="00964F78" w:rsidP="006B7AF3">
      <w:pPr>
        <w:jc w:val="center"/>
        <w:rPr>
          <w:rFonts w:ascii="Century Gothic" w:hAnsi="Century Gothic"/>
          <w:sz w:val="16"/>
          <w:szCs w:val="16"/>
        </w:rPr>
      </w:pPr>
    </w:p>
    <w:p w:rsidR="00964F78" w:rsidRPr="00964F78" w:rsidRDefault="00964F78" w:rsidP="00964F78">
      <w:pPr>
        <w:rPr>
          <w:rFonts w:ascii="Century Gothic" w:hAnsi="Century Gothic"/>
          <w:b/>
          <w:i/>
          <w:color w:val="355BA9"/>
          <w:sz w:val="24"/>
          <w:szCs w:val="24"/>
        </w:rPr>
      </w:pPr>
    </w:p>
    <w:p w:rsidR="00964F78" w:rsidRPr="00964F78" w:rsidRDefault="00964F78" w:rsidP="00964F78">
      <w:pPr>
        <w:rPr>
          <w:rFonts w:ascii="Century Gothic" w:hAnsi="Century Gothic"/>
          <w:b/>
          <w:i/>
          <w:color w:val="355BA9"/>
          <w:sz w:val="24"/>
          <w:szCs w:val="24"/>
        </w:rPr>
      </w:pPr>
    </w:p>
    <w:p w:rsidR="00964F78" w:rsidRPr="00964F78" w:rsidRDefault="00964F78" w:rsidP="00964F78">
      <w:pPr>
        <w:keepNext/>
        <w:keepLines/>
        <w:numPr>
          <w:ilvl w:val="3"/>
          <w:numId w:val="30"/>
        </w:numPr>
        <w:spacing w:before="200" w:after="120"/>
        <w:outlineLvl w:val="3"/>
        <w:rPr>
          <w:rFonts w:ascii="Cambria" w:eastAsia="Times New Roman" w:hAnsi="Cambria"/>
          <w:b/>
          <w:bCs/>
          <w:i/>
          <w:iCs/>
          <w:color w:val="4F81BD"/>
          <w:sz w:val="24"/>
        </w:rPr>
      </w:pPr>
      <w:bookmarkStart w:id="44" w:name="_Toc467228668"/>
      <w:r w:rsidRPr="00964F78">
        <w:rPr>
          <w:rFonts w:ascii="Cambria" w:eastAsia="Times New Roman" w:hAnsi="Cambria"/>
          <w:b/>
          <w:bCs/>
          <w:i/>
          <w:iCs/>
          <w:color w:val="4F81BD"/>
          <w:sz w:val="24"/>
        </w:rPr>
        <w:t>R</w:t>
      </w:r>
      <w:r>
        <w:rPr>
          <w:rFonts w:ascii="Cambria" w:eastAsia="Times New Roman" w:hAnsi="Cambria"/>
          <w:b/>
          <w:bCs/>
          <w:i/>
          <w:iCs/>
          <w:color w:val="4F81BD"/>
          <w:sz w:val="24"/>
        </w:rPr>
        <w:t>ESERVAS INSTITUCIONALES</w:t>
      </w:r>
      <w:bookmarkEnd w:id="44"/>
    </w:p>
    <w:p w:rsidR="00964F78" w:rsidRDefault="00964F78" w:rsidP="00964F78">
      <w:pPr>
        <w:rPr>
          <w:rFonts w:ascii="Century Gothic" w:hAnsi="Century Gothic"/>
        </w:rPr>
      </w:pPr>
    </w:p>
    <w:p w:rsidR="006A7575" w:rsidRPr="006A7575" w:rsidRDefault="006A7575" w:rsidP="006A7575">
      <w:pPr>
        <w:ind w:left="1211"/>
        <w:rPr>
          <w:rFonts w:ascii="Century Gothic" w:hAnsi="Century Gothic"/>
          <w:b/>
          <w:i/>
          <w:color w:val="355BA9"/>
          <w:sz w:val="24"/>
          <w:szCs w:val="24"/>
        </w:rPr>
      </w:pPr>
    </w:p>
    <w:p w:rsidR="006A7575" w:rsidRPr="006A7575" w:rsidRDefault="00755625" w:rsidP="006A7575">
      <w:pPr>
        <w:rPr>
          <w:rFonts w:ascii="Century Gothic" w:hAnsi="Century Gothic"/>
          <w:b/>
          <w:i/>
          <w:color w:val="355BA9"/>
          <w:sz w:val="24"/>
          <w:szCs w:val="24"/>
        </w:rPr>
      </w:pPr>
      <w:r>
        <w:rPr>
          <w:noProof/>
          <w:lang w:eastAsia="es-SV"/>
        </w:rPr>
        <w:drawing>
          <wp:inline distT="0" distB="0" distL="0" distR="0">
            <wp:extent cx="6048375" cy="1752600"/>
            <wp:effectExtent l="19050" t="0" r="9525" b="0"/>
            <wp:docPr id="1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8" cstate="print"/>
                    <a:srcRect/>
                    <a:stretch>
                      <a:fillRect/>
                    </a:stretch>
                  </pic:blipFill>
                  <pic:spPr bwMode="auto">
                    <a:xfrm>
                      <a:off x="0" y="0"/>
                      <a:ext cx="6048375" cy="1752600"/>
                    </a:xfrm>
                    <a:prstGeom prst="rect">
                      <a:avLst/>
                    </a:prstGeom>
                    <a:noFill/>
                    <a:ln w="9525">
                      <a:noFill/>
                      <a:miter lim="800000"/>
                      <a:headEnd/>
                      <a:tailEnd/>
                    </a:ln>
                  </pic:spPr>
                </pic:pic>
              </a:graphicData>
            </a:graphic>
          </wp:inline>
        </w:drawing>
      </w:r>
    </w:p>
    <w:p w:rsidR="006A7575" w:rsidRPr="006A7575" w:rsidRDefault="006A7575" w:rsidP="006A7575">
      <w:pPr>
        <w:rPr>
          <w:rFonts w:ascii="Century Gothic" w:hAnsi="Century Gothic"/>
          <w:sz w:val="18"/>
          <w:szCs w:val="18"/>
        </w:rPr>
      </w:pPr>
      <w:r w:rsidRPr="006A7575">
        <w:rPr>
          <w:rFonts w:ascii="Century Gothic" w:hAnsi="Century Gothic"/>
          <w:sz w:val="18"/>
          <w:szCs w:val="18"/>
        </w:rPr>
        <w:t>FUENTE: Balances de Comprobación SAFI</w:t>
      </w:r>
    </w:p>
    <w:p w:rsidR="006A7575" w:rsidRDefault="006A7575" w:rsidP="006A7575">
      <w:pPr>
        <w:rPr>
          <w:rFonts w:ascii="Century Gothic" w:hAnsi="Century Gothic"/>
        </w:rPr>
      </w:pPr>
    </w:p>
    <w:p w:rsidR="00663400" w:rsidRDefault="00663400" w:rsidP="006A7575">
      <w:pPr>
        <w:rPr>
          <w:rFonts w:ascii="Century Gothic" w:hAnsi="Century Gothic"/>
        </w:rPr>
      </w:pPr>
    </w:p>
    <w:p w:rsidR="00663400" w:rsidRDefault="00663400" w:rsidP="006A7575">
      <w:pPr>
        <w:rPr>
          <w:rFonts w:ascii="Century Gothic" w:hAnsi="Century Gothic"/>
        </w:rPr>
      </w:pPr>
    </w:p>
    <w:p w:rsidR="00381593" w:rsidRDefault="00381593" w:rsidP="006A7575">
      <w:pPr>
        <w:rPr>
          <w:rFonts w:ascii="Century Gothic" w:hAnsi="Century Gothic"/>
        </w:rPr>
      </w:pPr>
    </w:p>
    <w:p w:rsidR="006A7575" w:rsidRPr="00892BD5" w:rsidRDefault="006A7575" w:rsidP="00AC7425">
      <w:pPr>
        <w:keepNext/>
        <w:keepLines/>
        <w:numPr>
          <w:ilvl w:val="0"/>
          <w:numId w:val="10"/>
        </w:numPr>
        <w:spacing w:before="120"/>
        <w:outlineLvl w:val="1"/>
        <w:rPr>
          <w:lang w:eastAsia="es-SV"/>
        </w:rPr>
      </w:pPr>
      <w:bookmarkStart w:id="45" w:name="_Toc467228669"/>
      <w:r w:rsidRPr="00892BD5">
        <w:rPr>
          <w:rFonts w:ascii="Cambria" w:eastAsia="Times New Roman" w:hAnsi="Cambria"/>
          <w:b/>
          <w:bCs/>
          <w:color w:val="1F497D"/>
          <w:sz w:val="28"/>
          <w:szCs w:val="28"/>
          <w:lang w:eastAsia="es-SV"/>
        </w:rPr>
        <w:t xml:space="preserve">CONCLUSIONES </w:t>
      </w:r>
      <w:bookmarkEnd w:id="45"/>
    </w:p>
    <w:p w:rsidR="006A7575" w:rsidRPr="00E641A9" w:rsidRDefault="006A7575" w:rsidP="006A7575">
      <w:pPr>
        <w:spacing w:before="200" w:line="276" w:lineRule="auto"/>
        <w:jc w:val="both"/>
        <w:rPr>
          <w:rFonts w:ascii="Century Gothic" w:hAnsi="Century Gothic"/>
        </w:rPr>
      </w:pPr>
      <w:r w:rsidRPr="00E641A9">
        <w:rPr>
          <w:rFonts w:ascii="Century Gothic" w:hAnsi="Century Gothic"/>
        </w:rPr>
        <w:t xml:space="preserve">El Instituto Salvadoreño de Bienestar Magisterial muestra que cada día consolida más su </w:t>
      </w:r>
      <w:r w:rsidR="00DC1250" w:rsidRPr="00E641A9">
        <w:rPr>
          <w:rFonts w:ascii="Century Gothic" w:hAnsi="Century Gothic"/>
        </w:rPr>
        <w:t>transformación institucional</w:t>
      </w:r>
      <w:r w:rsidRPr="00E641A9">
        <w:rPr>
          <w:rFonts w:ascii="Century Gothic" w:hAnsi="Century Gothic"/>
        </w:rPr>
        <w:t>, al acercar y ampliar los servicios de salud; fortalecer su patrimonio institucional, en capital financiero e infraestructura para el funcionamiento de los centros de atención de salud y del área administrativa.</w:t>
      </w:r>
    </w:p>
    <w:p w:rsidR="00892BD5" w:rsidRDefault="006A7575" w:rsidP="006A7575">
      <w:pPr>
        <w:spacing w:before="200" w:line="276" w:lineRule="auto"/>
        <w:jc w:val="both"/>
        <w:rPr>
          <w:rFonts w:ascii="Century Gothic" w:hAnsi="Century Gothic"/>
        </w:rPr>
      </w:pPr>
      <w:r w:rsidRPr="00E641A9">
        <w:rPr>
          <w:rFonts w:ascii="Century Gothic" w:hAnsi="Century Gothic"/>
        </w:rPr>
        <w:t xml:space="preserve">Seguiremos </w:t>
      </w:r>
      <w:r w:rsidR="00DC1250" w:rsidRPr="00E641A9">
        <w:rPr>
          <w:rFonts w:ascii="Century Gothic" w:hAnsi="Century Gothic"/>
        </w:rPr>
        <w:t>fortaleciendo las</w:t>
      </w:r>
      <w:r w:rsidRPr="00E641A9">
        <w:rPr>
          <w:rFonts w:ascii="Century Gothic" w:hAnsi="Century Gothic"/>
        </w:rPr>
        <w:t xml:space="preserve"> capacidades administrativas, dando continuidad al convenio con el Programa de las Naciones Unidas para el Desarrollo (PNUD) y otras alianzas estratégicas como Sistema Nacional de Salud y </w:t>
      </w:r>
      <w:r w:rsidR="00D5734D">
        <w:rPr>
          <w:rFonts w:ascii="Century Gothic" w:hAnsi="Century Gothic"/>
        </w:rPr>
        <w:t>la Conferencia Interamericana de Seguridad Social (CISS</w:t>
      </w:r>
      <w:r w:rsidR="00892BD5">
        <w:rPr>
          <w:rFonts w:ascii="Century Gothic" w:hAnsi="Century Gothic"/>
        </w:rPr>
        <w:t>).</w:t>
      </w:r>
    </w:p>
    <w:p w:rsidR="00892BD5" w:rsidRPr="00B538F5" w:rsidRDefault="00892BD5" w:rsidP="006A7575">
      <w:pPr>
        <w:spacing w:before="200" w:line="276" w:lineRule="auto"/>
        <w:jc w:val="both"/>
        <w:rPr>
          <w:rFonts w:ascii="Century Gothic" w:hAnsi="Century Gothic"/>
        </w:rPr>
      </w:pPr>
      <w:r w:rsidRPr="00B538F5">
        <w:rPr>
          <w:rFonts w:ascii="Century Gothic" w:hAnsi="Century Gothic"/>
        </w:rPr>
        <w:t>Estamos dando pasos firmes y congruentes con nuestra visión de ser una institución de seguridad social eficiente, con cobertura nacional en la prestación de los servicios de asistencia médico hospitalaria, con énfasis en la prevención, atención a la salud mental, cobertura de riesgos profesionales, prestaciones y beneficios, con calidad y calidez a maestras y maestros cotizantes y sus grupos familiares. Con ello esperamos fortalecer la educación de la niñez salvadoreña.</w:t>
      </w:r>
    </w:p>
    <w:p w:rsidR="00892BD5" w:rsidRPr="00B538F5" w:rsidRDefault="00892BD5" w:rsidP="006A7575">
      <w:pPr>
        <w:spacing w:before="200" w:line="276" w:lineRule="auto"/>
        <w:jc w:val="both"/>
        <w:rPr>
          <w:rFonts w:ascii="Century Gothic" w:hAnsi="Century Gothic"/>
        </w:rPr>
      </w:pPr>
      <w:r w:rsidRPr="00B538F5">
        <w:rPr>
          <w:rFonts w:ascii="Century Gothic" w:hAnsi="Century Gothic"/>
        </w:rPr>
        <w:t>De igual manera, estamos conscientes del reto que tenemos por delante, respecto al replanteamiento de la contribución familiar, para hacer frente a los costos que representa la mejora en la atención del grupo familiar del docente y redefinir las mismas de manera responsable y coherente a los principios de la seguridad social; a través de reforma al literal b) del Art. 54 de la Ley del ISBM</w:t>
      </w:r>
      <w:r w:rsidR="00AC7425" w:rsidRPr="00B538F5">
        <w:rPr>
          <w:rFonts w:ascii="Century Gothic" w:hAnsi="Century Gothic"/>
        </w:rPr>
        <w:t>.</w:t>
      </w:r>
    </w:p>
    <w:p w:rsidR="006A7575" w:rsidRPr="00AC7425" w:rsidRDefault="006A7575" w:rsidP="006A7575">
      <w:pPr>
        <w:spacing w:before="200" w:line="276" w:lineRule="auto"/>
        <w:jc w:val="both"/>
        <w:rPr>
          <w:rFonts w:ascii="Century Gothic" w:hAnsi="Century Gothic"/>
          <w:color w:val="002060"/>
        </w:rPr>
      </w:pPr>
    </w:p>
    <w:sectPr w:rsidR="006A7575" w:rsidRPr="00AC7425" w:rsidSect="009A1B80">
      <w:headerReference w:type="default" r:id="rId19"/>
      <w:footerReference w:type="default" r:id="rId20"/>
      <w:pgSz w:w="12240" w:h="15840"/>
      <w:pgMar w:top="2005" w:right="1701" w:bottom="1417"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DF4" w:rsidRDefault="00827DF4" w:rsidP="00E11D81">
      <w:r>
        <w:separator/>
      </w:r>
    </w:p>
  </w:endnote>
  <w:endnote w:type="continuationSeparator" w:id="0">
    <w:p w:rsidR="00827DF4" w:rsidRDefault="00827DF4" w:rsidP="00E11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69" w:rsidRPr="002E4D0B" w:rsidRDefault="008D067D">
    <w:pPr>
      <w:pStyle w:val="Piedepgina"/>
      <w:rPr>
        <w:rStyle w:val="CitadestacadaCar"/>
        <w:sz w:val="20"/>
      </w:rPr>
    </w:pPr>
    <w:r>
      <w:rPr>
        <w:noProof/>
      </w:rPr>
      <w:pict>
        <v:oval id="Óvalo 6" o:spid="_x0000_s2049" style="position:absolute;margin-left:556.7pt;margin-top:744.55pt;width:23.5pt;height:22.4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" filled="f" fillcolor="#c0504d" strokecolor="#adc1d9" strokeweight="1pt">
          <v:textbox inset="0,0,0,0">
            <w:txbxContent>
              <w:p w:rsidR="00042A69" w:rsidRPr="008D067D" w:rsidRDefault="00042A69" w:rsidP="00142000">
                <w:pPr>
                  <w:pStyle w:val="Piedepgina"/>
                  <w:jc w:val="center"/>
                  <w:rPr>
                    <w:color w:val="4F81BD"/>
                  </w:rPr>
                </w:pPr>
                <w:fldSimple w:instr="PAGE  \* MERGEFORMAT">
                  <w:r w:rsidR="00827DF4" w:rsidRPr="00827DF4">
                    <w:rPr>
                      <w:noProof/>
                      <w:color w:val="4F81BD"/>
                      <w:lang w:val="es-ES"/>
                    </w:rPr>
                    <w:t>1</w:t>
                  </w:r>
                </w:fldSimple>
              </w:p>
            </w:txbxContent>
          </v:textbox>
          <w10:wrap anchorx="page" anchory="page"/>
        </v:oval>
      </w:pict>
    </w:r>
    <w:r w:rsidR="00042A69" w:rsidRPr="002E4D0B">
      <w:rPr>
        <w:rStyle w:val="CitadestacadaCar"/>
        <w:sz w:val="20"/>
      </w:rPr>
      <w:t>INFORME ANUAL DE GESTIÓN. JUNIO 201</w:t>
    </w:r>
    <w:r w:rsidR="00042A69">
      <w:rPr>
        <w:rStyle w:val="CitadestacadaCar"/>
        <w:sz w:val="20"/>
      </w:rPr>
      <w:t>5</w:t>
    </w:r>
    <w:r w:rsidR="00042A69" w:rsidRPr="002E4D0B">
      <w:rPr>
        <w:rStyle w:val="CitadestacadaCar"/>
        <w:sz w:val="20"/>
      </w:rPr>
      <w:t xml:space="preserve"> – </w:t>
    </w:r>
    <w:r w:rsidR="00042A69">
      <w:rPr>
        <w:rStyle w:val="CitadestacadaCar"/>
        <w:sz w:val="20"/>
      </w:rPr>
      <w:t>AGOST</w:t>
    </w:r>
    <w:r w:rsidR="00042A69" w:rsidRPr="002E4D0B">
      <w:rPr>
        <w:rStyle w:val="CitadestacadaCar"/>
        <w:sz w:val="20"/>
      </w:rPr>
      <w:t>O 201</w:t>
    </w:r>
    <w:r w:rsidR="00042A69">
      <w:rPr>
        <w:rStyle w:val="CitadestacadaCar"/>
        <w:sz w:val="20"/>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DF4" w:rsidRDefault="00827DF4" w:rsidP="00E11D81">
      <w:r>
        <w:separator/>
      </w:r>
    </w:p>
  </w:footnote>
  <w:footnote w:type="continuationSeparator" w:id="0">
    <w:p w:rsidR="00827DF4" w:rsidRDefault="00827DF4" w:rsidP="00E11D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69" w:rsidRDefault="00755625" w:rsidP="009A1B80">
    <w:pPr>
      <w:pStyle w:val="Encabezado"/>
      <w:jc w:val="center"/>
    </w:pPr>
    <w:r>
      <w:rPr>
        <w:noProof/>
        <w:lang w:eastAsia="es-SV"/>
      </w:rPr>
      <w:drawing>
        <wp:inline distT="0" distB="0" distL="0" distR="0">
          <wp:extent cx="2552700" cy="638175"/>
          <wp:effectExtent l="1905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2552700" cy="638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AF1"/>
    <w:multiLevelType w:val="hybridMultilevel"/>
    <w:tmpl w:val="E18E9C32"/>
    <w:lvl w:ilvl="0" w:tplc="B89846C0">
      <w:start w:val="1"/>
      <w:numFmt w:val="bullet"/>
      <w:lvlText w:val="•"/>
      <w:lvlJc w:val="left"/>
    </w:lvl>
    <w:lvl w:ilvl="1" w:tplc="8CFE8010">
      <w:numFmt w:val="decimal"/>
      <w:lvlText w:val=""/>
      <w:lvlJc w:val="left"/>
    </w:lvl>
    <w:lvl w:ilvl="2" w:tplc="7A244BB6">
      <w:numFmt w:val="decimal"/>
      <w:lvlText w:val=""/>
      <w:lvlJc w:val="left"/>
    </w:lvl>
    <w:lvl w:ilvl="3" w:tplc="1BA27446">
      <w:numFmt w:val="decimal"/>
      <w:lvlText w:val=""/>
      <w:lvlJc w:val="left"/>
    </w:lvl>
    <w:lvl w:ilvl="4" w:tplc="203AACD0">
      <w:numFmt w:val="decimal"/>
      <w:lvlText w:val=""/>
      <w:lvlJc w:val="left"/>
    </w:lvl>
    <w:lvl w:ilvl="5" w:tplc="212601A0">
      <w:numFmt w:val="decimal"/>
      <w:lvlText w:val=""/>
      <w:lvlJc w:val="left"/>
    </w:lvl>
    <w:lvl w:ilvl="6" w:tplc="928A1CFE">
      <w:numFmt w:val="decimal"/>
      <w:lvlText w:val=""/>
      <w:lvlJc w:val="left"/>
    </w:lvl>
    <w:lvl w:ilvl="7" w:tplc="B63252C2">
      <w:numFmt w:val="decimal"/>
      <w:lvlText w:val=""/>
      <w:lvlJc w:val="left"/>
    </w:lvl>
    <w:lvl w:ilvl="8" w:tplc="5DE8213A">
      <w:numFmt w:val="decimal"/>
      <w:lvlText w:val=""/>
      <w:lvlJc w:val="left"/>
    </w:lvl>
  </w:abstractNum>
  <w:abstractNum w:abstractNumId="1">
    <w:nsid w:val="00006DF1"/>
    <w:multiLevelType w:val="hybridMultilevel"/>
    <w:tmpl w:val="46803116"/>
    <w:lvl w:ilvl="0" w:tplc="61A42DAC">
      <w:start w:val="1"/>
      <w:numFmt w:val="bullet"/>
      <w:lvlText w:val="•"/>
      <w:lvlJc w:val="left"/>
    </w:lvl>
    <w:lvl w:ilvl="1" w:tplc="704455B6">
      <w:numFmt w:val="decimal"/>
      <w:lvlText w:val=""/>
      <w:lvlJc w:val="left"/>
    </w:lvl>
    <w:lvl w:ilvl="2" w:tplc="9A7C31C8">
      <w:numFmt w:val="decimal"/>
      <w:lvlText w:val=""/>
      <w:lvlJc w:val="left"/>
    </w:lvl>
    <w:lvl w:ilvl="3" w:tplc="174AC38E">
      <w:numFmt w:val="decimal"/>
      <w:lvlText w:val=""/>
      <w:lvlJc w:val="left"/>
    </w:lvl>
    <w:lvl w:ilvl="4" w:tplc="9E56EC2A">
      <w:numFmt w:val="decimal"/>
      <w:lvlText w:val=""/>
      <w:lvlJc w:val="left"/>
    </w:lvl>
    <w:lvl w:ilvl="5" w:tplc="A38A7568">
      <w:numFmt w:val="decimal"/>
      <w:lvlText w:val=""/>
      <w:lvlJc w:val="left"/>
    </w:lvl>
    <w:lvl w:ilvl="6" w:tplc="A6604018">
      <w:numFmt w:val="decimal"/>
      <w:lvlText w:val=""/>
      <w:lvlJc w:val="left"/>
    </w:lvl>
    <w:lvl w:ilvl="7" w:tplc="5836A82A">
      <w:numFmt w:val="decimal"/>
      <w:lvlText w:val=""/>
      <w:lvlJc w:val="left"/>
    </w:lvl>
    <w:lvl w:ilvl="8" w:tplc="C4ACA48A">
      <w:numFmt w:val="decimal"/>
      <w:lvlText w:val=""/>
      <w:lvlJc w:val="left"/>
    </w:lvl>
  </w:abstractNum>
  <w:abstractNum w:abstractNumId="2">
    <w:nsid w:val="06DF4B4B"/>
    <w:multiLevelType w:val="hybridMultilevel"/>
    <w:tmpl w:val="B9428EB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6443E82">
      <w:start w:val="1"/>
      <w:numFmt w:val="decimal"/>
      <w:lvlText w:val="%4."/>
      <w:lvlJc w:val="left"/>
      <w:pPr>
        <w:ind w:left="4188" w:hanging="360"/>
      </w:pPr>
      <w:rPr>
        <w:b/>
        <w:color w:val="00206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89613EC"/>
    <w:multiLevelType w:val="multilevel"/>
    <w:tmpl w:val="02AAAB40"/>
    <w:lvl w:ilvl="0">
      <w:start w:val="1"/>
      <w:numFmt w:val="decimal"/>
      <w:lvlText w:val="%1"/>
      <w:lvlJc w:val="left"/>
      <w:pPr>
        <w:ind w:left="360" w:hanging="36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0B9E6789"/>
    <w:multiLevelType w:val="hybridMultilevel"/>
    <w:tmpl w:val="7602B77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AC4B41"/>
    <w:multiLevelType w:val="multilevel"/>
    <w:tmpl w:val="95E26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827095"/>
    <w:multiLevelType w:val="multilevel"/>
    <w:tmpl w:val="1DA6D1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AD2A06"/>
    <w:multiLevelType w:val="multilevel"/>
    <w:tmpl w:val="D0E4431E"/>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93F1F1D"/>
    <w:multiLevelType w:val="multilevel"/>
    <w:tmpl w:val="BA4A42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F30A78"/>
    <w:multiLevelType w:val="multilevel"/>
    <w:tmpl w:val="916A3110"/>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CE460AD"/>
    <w:multiLevelType w:val="hybridMultilevel"/>
    <w:tmpl w:val="3A8A403A"/>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start w:val="1"/>
      <w:numFmt w:val="lowerRoman"/>
      <w:lvlText w:val="%3."/>
      <w:lvlJc w:val="right"/>
      <w:pPr>
        <w:ind w:left="2160" w:hanging="180"/>
      </w:pPr>
    </w:lvl>
    <w:lvl w:ilvl="3" w:tplc="440A0019">
      <w:start w:val="1"/>
      <w:numFmt w:val="lowerLetter"/>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32B80A57"/>
    <w:multiLevelType w:val="multilevel"/>
    <w:tmpl w:val="AB30EB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65535E"/>
    <w:multiLevelType w:val="hybridMultilevel"/>
    <w:tmpl w:val="0C267D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81F41AF"/>
    <w:multiLevelType w:val="hybridMultilevel"/>
    <w:tmpl w:val="4308FEAA"/>
    <w:lvl w:ilvl="0" w:tplc="42A29F7A">
      <w:start w:val="1"/>
      <w:numFmt w:val="bullet"/>
      <w:lvlText w:val=""/>
      <w:lvlJc w:val="left"/>
      <w:pPr>
        <w:tabs>
          <w:tab w:val="num" w:pos="720"/>
        </w:tabs>
        <w:ind w:left="720" w:hanging="360"/>
      </w:pPr>
      <w:rPr>
        <w:rFonts w:ascii="Wingdings" w:hAnsi="Wingdings" w:hint="default"/>
      </w:rPr>
    </w:lvl>
    <w:lvl w:ilvl="1" w:tplc="BBD2E042" w:tentative="1">
      <w:start w:val="1"/>
      <w:numFmt w:val="bullet"/>
      <w:lvlText w:val=""/>
      <w:lvlJc w:val="left"/>
      <w:pPr>
        <w:tabs>
          <w:tab w:val="num" w:pos="1440"/>
        </w:tabs>
        <w:ind w:left="1440" w:hanging="360"/>
      </w:pPr>
      <w:rPr>
        <w:rFonts w:ascii="Wingdings" w:hAnsi="Wingdings" w:hint="default"/>
      </w:rPr>
    </w:lvl>
    <w:lvl w:ilvl="2" w:tplc="DEF4BD44" w:tentative="1">
      <w:start w:val="1"/>
      <w:numFmt w:val="bullet"/>
      <w:lvlText w:val=""/>
      <w:lvlJc w:val="left"/>
      <w:pPr>
        <w:tabs>
          <w:tab w:val="num" w:pos="2160"/>
        </w:tabs>
        <w:ind w:left="2160" w:hanging="360"/>
      </w:pPr>
      <w:rPr>
        <w:rFonts w:ascii="Wingdings" w:hAnsi="Wingdings" w:hint="default"/>
      </w:rPr>
    </w:lvl>
    <w:lvl w:ilvl="3" w:tplc="52EC85B0" w:tentative="1">
      <w:start w:val="1"/>
      <w:numFmt w:val="bullet"/>
      <w:lvlText w:val=""/>
      <w:lvlJc w:val="left"/>
      <w:pPr>
        <w:tabs>
          <w:tab w:val="num" w:pos="2880"/>
        </w:tabs>
        <w:ind w:left="2880" w:hanging="360"/>
      </w:pPr>
      <w:rPr>
        <w:rFonts w:ascii="Wingdings" w:hAnsi="Wingdings" w:hint="default"/>
      </w:rPr>
    </w:lvl>
    <w:lvl w:ilvl="4" w:tplc="558C6E00" w:tentative="1">
      <w:start w:val="1"/>
      <w:numFmt w:val="bullet"/>
      <w:lvlText w:val=""/>
      <w:lvlJc w:val="left"/>
      <w:pPr>
        <w:tabs>
          <w:tab w:val="num" w:pos="3600"/>
        </w:tabs>
        <w:ind w:left="3600" w:hanging="360"/>
      </w:pPr>
      <w:rPr>
        <w:rFonts w:ascii="Wingdings" w:hAnsi="Wingdings" w:hint="default"/>
      </w:rPr>
    </w:lvl>
    <w:lvl w:ilvl="5" w:tplc="6C6E54DA" w:tentative="1">
      <w:start w:val="1"/>
      <w:numFmt w:val="bullet"/>
      <w:lvlText w:val=""/>
      <w:lvlJc w:val="left"/>
      <w:pPr>
        <w:tabs>
          <w:tab w:val="num" w:pos="4320"/>
        </w:tabs>
        <w:ind w:left="4320" w:hanging="360"/>
      </w:pPr>
      <w:rPr>
        <w:rFonts w:ascii="Wingdings" w:hAnsi="Wingdings" w:hint="default"/>
      </w:rPr>
    </w:lvl>
    <w:lvl w:ilvl="6" w:tplc="9B629C52" w:tentative="1">
      <w:start w:val="1"/>
      <w:numFmt w:val="bullet"/>
      <w:lvlText w:val=""/>
      <w:lvlJc w:val="left"/>
      <w:pPr>
        <w:tabs>
          <w:tab w:val="num" w:pos="5040"/>
        </w:tabs>
        <w:ind w:left="5040" w:hanging="360"/>
      </w:pPr>
      <w:rPr>
        <w:rFonts w:ascii="Wingdings" w:hAnsi="Wingdings" w:hint="default"/>
      </w:rPr>
    </w:lvl>
    <w:lvl w:ilvl="7" w:tplc="8932DA26" w:tentative="1">
      <w:start w:val="1"/>
      <w:numFmt w:val="bullet"/>
      <w:lvlText w:val=""/>
      <w:lvlJc w:val="left"/>
      <w:pPr>
        <w:tabs>
          <w:tab w:val="num" w:pos="5760"/>
        </w:tabs>
        <w:ind w:left="5760" w:hanging="360"/>
      </w:pPr>
      <w:rPr>
        <w:rFonts w:ascii="Wingdings" w:hAnsi="Wingdings" w:hint="default"/>
      </w:rPr>
    </w:lvl>
    <w:lvl w:ilvl="8" w:tplc="9648D454" w:tentative="1">
      <w:start w:val="1"/>
      <w:numFmt w:val="bullet"/>
      <w:lvlText w:val=""/>
      <w:lvlJc w:val="left"/>
      <w:pPr>
        <w:tabs>
          <w:tab w:val="num" w:pos="6480"/>
        </w:tabs>
        <w:ind w:left="6480" w:hanging="360"/>
      </w:pPr>
      <w:rPr>
        <w:rFonts w:ascii="Wingdings" w:hAnsi="Wingdings" w:hint="default"/>
      </w:rPr>
    </w:lvl>
  </w:abstractNum>
  <w:abstractNum w:abstractNumId="14">
    <w:nsid w:val="38C9333C"/>
    <w:multiLevelType w:val="hybridMultilevel"/>
    <w:tmpl w:val="BE9AAC10"/>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981CE008">
      <w:start w:val="1"/>
      <w:numFmt w:val="upperLetter"/>
      <w:lvlText w:val="%3."/>
      <w:lvlJc w:val="right"/>
      <w:pPr>
        <w:ind w:left="2160" w:hanging="180"/>
      </w:pPr>
      <w:rPr>
        <w:rFonts w:ascii="Century Gothic" w:eastAsia="Calibri" w:hAnsi="Century Gothic" w:cs="Times New Roman"/>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38F604E5"/>
    <w:multiLevelType w:val="multilevel"/>
    <w:tmpl w:val="DE60BF08"/>
    <w:lvl w:ilvl="0">
      <w:start w:val="1"/>
      <w:numFmt w:val="bullet"/>
      <w:lvlText w:val=""/>
      <w:lvlJc w:val="left"/>
      <w:pPr>
        <w:ind w:left="720" w:hanging="360"/>
      </w:pPr>
      <w:rPr>
        <w:rFonts w:ascii="Symbol" w:hAnsi="Symbol"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DE36514"/>
    <w:multiLevelType w:val="multilevel"/>
    <w:tmpl w:val="44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7">
    <w:nsid w:val="40A23D8B"/>
    <w:multiLevelType w:val="multilevel"/>
    <w:tmpl w:val="5BFEA2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46771E4"/>
    <w:multiLevelType w:val="multilevel"/>
    <w:tmpl w:val="FF74BF04"/>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869182A"/>
    <w:multiLevelType w:val="hybridMultilevel"/>
    <w:tmpl w:val="8D300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502075D"/>
    <w:multiLevelType w:val="hybridMultilevel"/>
    <w:tmpl w:val="5F2EDBB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58C53A61"/>
    <w:multiLevelType w:val="hybridMultilevel"/>
    <w:tmpl w:val="A1B8BA2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5F5F025A"/>
    <w:multiLevelType w:val="hybridMultilevel"/>
    <w:tmpl w:val="D576A5E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71D25EE9"/>
    <w:multiLevelType w:val="multilevel"/>
    <w:tmpl w:val="AC1E7A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BC4D81"/>
    <w:multiLevelType w:val="hybridMultilevel"/>
    <w:tmpl w:val="73B2183A"/>
    <w:lvl w:ilvl="0" w:tplc="AA88CD4E">
      <w:start w:val="1"/>
      <w:numFmt w:val="upperRoman"/>
      <w:lvlText w:val="%1."/>
      <w:lvlJc w:val="right"/>
      <w:pPr>
        <w:ind w:left="720" w:hanging="360"/>
      </w:pPr>
      <w:rPr>
        <w:rFonts w:ascii="Cambria" w:hAnsi="Cambria" w:hint="default"/>
        <w:color w:val="00206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51B4E44"/>
    <w:multiLevelType w:val="hybridMultilevel"/>
    <w:tmpl w:val="9C68D5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A112360"/>
    <w:multiLevelType w:val="hybridMultilevel"/>
    <w:tmpl w:val="EA4C0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A893BB2"/>
    <w:multiLevelType w:val="multilevel"/>
    <w:tmpl w:val="BA4A42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B8F7704"/>
    <w:multiLevelType w:val="multilevel"/>
    <w:tmpl w:val="46D23A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2"/>
  </w:num>
  <w:num w:numId="4">
    <w:abstractNumId w:val="10"/>
  </w:num>
  <w:num w:numId="5">
    <w:abstractNumId w:val="13"/>
  </w:num>
  <w:num w:numId="6">
    <w:abstractNumId w:val="9"/>
  </w:num>
  <w:num w:numId="7">
    <w:abstractNumId w:val="15"/>
  </w:num>
  <w:num w:numId="8">
    <w:abstractNumId w:val="18"/>
  </w:num>
  <w:num w:numId="9">
    <w:abstractNumId w:val="3"/>
  </w:num>
  <w:num w:numId="10">
    <w:abstractNumId w:val="24"/>
  </w:num>
  <w:num w:numId="11">
    <w:abstractNumId w:val="16"/>
  </w:num>
  <w:num w:numId="12">
    <w:abstractNumId w:val="6"/>
  </w:num>
  <w:num w:numId="13">
    <w:abstractNumId w:val="4"/>
  </w:num>
  <w:num w:numId="14">
    <w:abstractNumId w:val="7"/>
  </w:num>
  <w:num w:numId="15">
    <w:abstractNumId w:val="2"/>
  </w:num>
  <w:num w:numId="16">
    <w:abstractNumId w:val="28"/>
  </w:num>
  <w:num w:numId="17">
    <w:abstractNumId w:val="11"/>
  </w:num>
  <w:num w:numId="18">
    <w:abstractNumId w:val="5"/>
  </w:num>
  <w:num w:numId="19">
    <w:abstractNumId w:val="16"/>
  </w:num>
  <w:num w:numId="20">
    <w:abstractNumId w:val="16"/>
  </w:num>
  <w:num w:numId="21">
    <w:abstractNumId w:val="16"/>
  </w:num>
  <w:num w:numId="22">
    <w:abstractNumId w:val="16"/>
  </w:num>
  <w:num w:numId="23">
    <w:abstractNumId w:val="23"/>
  </w:num>
  <w:num w:numId="24">
    <w:abstractNumId w:val="16"/>
  </w:num>
  <w:num w:numId="25">
    <w:abstractNumId w:val="17"/>
  </w:num>
  <w:num w:numId="26">
    <w:abstractNumId w:val="16"/>
  </w:num>
  <w:num w:numId="27">
    <w:abstractNumId w:val="16"/>
  </w:num>
  <w:num w:numId="28">
    <w:abstractNumId w:val="16"/>
  </w:num>
  <w:num w:numId="29">
    <w:abstractNumId w:val="16"/>
  </w:num>
  <w:num w:numId="30">
    <w:abstractNumId w:val="27"/>
  </w:num>
  <w:num w:numId="31">
    <w:abstractNumId w:val="16"/>
  </w:num>
  <w:num w:numId="32">
    <w:abstractNumId w:val="16"/>
  </w:num>
  <w:num w:numId="33">
    <w:abstractNumId w:val="16"/>
  </w:num>
  <w:num w:numId="34">
    <w:abstractNumId w:val="16"/>
  </w:num>
  <w:num w:numId="35">
    <w:abstractNumId w:val="8"/>
  </w:num>
  <w:num w:numId="36">
    <w:abstractNumId w:val="12"/>
  </w:num>
  <w:num w:numId="37">
    <w:abstractNumId w:val="19"/>
  </w:num>
  <w:num w:numId="38">
    <w:abstractNumId w:val="25"/>
  </w:num>
  <w:num w:numId="39">
    <w:abstractNumId w:val="1"/>
  </w:num>
  <w:num w:numId="40">
    <w:abstractNumId w:val="0"/>
  </w:num>
  <w:num w:numId="41">
    <w:abstractNumId w:val="20"/>
  </w:num>
  <w:num w:numId="42">
    <w:abstractNumId w:val="21"/>
  </w:num>
  <w:num w:numId="43">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rsids>
    <w:rsidRoot w:val="00BE4A02"/>
    <w:rsid w:val="00004DBB"/>
    <w:rsid w:val="00024156"/>
    <w:rsid w:val="00042A69"/>
    <w:rsid w:val="00043441"/>
    <w:rsid w:val="000503B1"/>
    <w:rsid w:val="000544F6"/>
    <w:rsid w:val="000627FF"/>
    <w:rsid w:val="00066DB2"/>
    <w:rsid w:val="00073BAC"/>
    <w:rsid w:val="00092AC0"/>
    <w:rsid w:val="0009492E"/>
    <w:rsid w:val="000956B5"/>
    <w:rsid w:val="00096391"/>
    <w:rsid w:val="000A2951"/>
    <w:rsid w:val="000A6A3C"/>
    <w:rsid w:val="000B6408"/>
    <w:rsid w:val="000B73E0"/>
    <w:rsid w:val="000D212F"/>
    <w:rsid w:val="000E507C"/>
    <w:rsid w:val="000F5D60"/>
    <w:rsid w:val="00104AD9"/>
    <w:rsid w:val="00105836"/>
    <w:rsid w:val="00106619"/>
    <w:rsid w:val="00116A1C"/>
    <w:rsid w:val="00120774"/>
    <w:rsid w:val="001221A5"/>
    <w:rsid w:val="001262BC"/>
    <w:rsid w:val="00126F82"/>
    <w:rsid w:val="00142000"/>
    <w:rsid w:val="00143DFF"/>
    <w:rsid w:val="0015549A"/>
    <w:rsid w:val="001565AB"/>
    <w:rsid w:val="00157855"/>
    <w:rsid w:val="0016498F"/>
    <w:rsid w:val="00186D9A"/>
    <w:rsid w:val="001940A0"/>
    <w:rsid w:val="001A59B1"/>
    <w:rsid w:val="001B239F"/>
    <w:rsid w:val="001C6526"/>
    <w:rsid w:val="001C7550"/>
    <w:rsid w:val="001D2183"/>
    <w:rsid w:val="001D643D"/>
    <w:rsid w:val="001E4319"/>
    <w:rsid w:val="00213253"/>
    <w:rsid w:val="002172CF"/>
    <w:rsid w:val="00222D23"/>
    <w:rsid w:val="002300E9"/>
    <w:rsid w:val="00232194"/>
    <w:rsid w:val="00233AE7"/>
    <w:rsid w:val="00244AF8"/>
    <w:rsid w:val="00245683"/>
    <w:rsid w:val="0025030A"/>
    <w:rsid w:val="0025721D"/>
    <w:rsid w:val="00262A0F"/>
    <w:rsid w:val="002703A3"/>
    <w:rsid w:val="00271CCA"/>
    <w:rsid w:val="0028449A"/>
    <w:rsid w:val="00284A4F"/>
    <w:rsid w:val="00286402"/>
    <w:rsid w:val="00290ED7"/>
    <w:rsid w:val="002A2F8C"/>
    <w:rsid w:val="002B3330"/>
    <w:rsid w:val="002E4D0B"/>
    <w:rsid w:val="002E7AC5"/>
    <w:rsid w:val="002F0B8A"/>
    <w:rsid w:val="002F2D90"/>
    <w:rsid w:val="002F7381"/>
    <w:rsid w:val="00304D15"/>
    <w:rsid w:val="00324636"/>
    <w:rsid w:val="00335F0A"/>
    <w:rsid w:val="00350273"/>
    <w:rsid w:val="00352176"/>
    <w:rsid w:val="00376610"/>
    <w:rsid w:val="00377978"/>
    <w:rsid w:val="00381593"/>
    <w:rsid w:val="00381D10"/>
    <w:rsid w:val="00384423"/>
    <w:rsid w:val="00385529"/>
    <w:rsid w:val="0039373C"/>
    <w:rsid w:val="003A407B"/>
    <w:rsid w:val="003A4FBD"/>
    <w:rsid w:val="003A5B9A"/>
    <w:rsid w:val="003B1CC4"/>
    <w:rsid w:val="003E05AF"/>
    <w:rsid w:val="003E7D1C"/>
    <w:rsid w:val="004019FA"/>
    <w:rsid w:val="00407F60"/>
    <w:rsid w:val="00410C65"/>
    <w:rsid w:val="0041276A"/>
    <w:rsid w:val="004147CC"/>
    <w:rsid w:val="00422459"/>
    <w:rsid w:val="00431E1B"/>
    <w:rsid w:val="004355E3"/>
    <w:rsid w:val="00463942"/>
    <w:rsid w:val="00463CE6"/>
    <w:rsid w:val="00465B18"/>
    <w:rsid w:val="004802D8"/>
    <w:rsid w:val="004A7EB7"/>
    <w:rsid w:val="004E23E9"/>
    <w:rsid w:val="004E47FA"/>
    <w:rsid w:val="004F0347"/>
    <w:rsid w:val="004F471F"/>
    <w:rsid w:val="00501CDA"/>
    <w:rsid w:val="005337B4"/>
    <w:rsid w:val="00540DD7"/>
    <w:rsid w:val="00574DE2"/>
    <w:rsid w:val="00587ED8"/>
    <w:rsid w:val="0059133F"/>
    <w:rsid w:val="00596862"/>
    <w:rsid w:val="005A4573"/>
    <w:rsid w:val="005A464C"/>
    <w:rsid w:val="005A5E51"/>
    <w:rsid w:val="005A66A1"/>
    <w:rsid w:val="005B0FB8"/>
    <w:rsid w:val="005D2EF0"/>
    <w:rsid w:val="005D73DE"/>
    <w:rsid w:val="00601F3C"/>
    <w:rsid w:val="00615244"/>
    <w:rsid w:val="00615FAE"/>
    <w:rsid w:val="00621ABC"/>
    <w:rsid w:val="00643239"/>
    <w:rsid w:val="00657FFE"/>
    <w:rsid w:val="00663400"/>
    <w:rsid w:val="00667EC1"/>
    <w:rsid w:val="006700C3"/>
    <w:rsid w:val="0068767A"/>
    <w:rsid w:val="006938FE"/>
    <w:rsid w:val="006A5AC5"/>
    <w:rsid w:val="006A7575"/>
    <w:rsid w:val="006B75BA"/>
    <w:rsid w:val="006B7AF3"/>
    <w:rsid w:val="006D5A64"/>
    <w:rsid w:val="006E59E0"/>
    <w:rsid w:val="0070397C"/>
    <w:rsid w:val="00711440"/>
    <w:rsid w:val="007210B7"/>
    <w:rsid w:val="007308E2"/>
    <w:rsid w:val="00734583"/>
    <w:rsid w:val="007346AB"/>
    <w:rsid w:val="00740CEA"/>
    <w:rsid w:val="007538C8"/>
    <w:rsid w:val="00755625"/>
    <w:rsid w:val="007651C1"/>
    <w:rsid w:val="007710EC"/>
    <w:rsid w:val="00774C75"/>
    <w:rsid w:val="007858E5"/>
    <w:rsid w:val="007A3E06"/>
    <w:rsid w:val="007A7363"/>
    <w:rsid w:val="007B31B3"/>
    <w:rsid w:val="007E2A32"/>
    <w:rsid w:val="007E61DD"/>
    <w:rsid w:val="007F2604"/>
    <w:rsid w:val="007F41AF"/>
    <w:rsid w:val="00821812"/>
    <w:rsid w:val="0082392C"/>
    <w:rsid w:val="0082520B"/>
    <w:rsid w:val="00827CDE"/>
    <w:rsid w:val="00827DF4"/>
    <w:rsid w:val="008404BA"/>
    <w:rsid w:val="008407E4"/>
    <w:rsid w:val="008407F6"/>
    <w:rsid w:val="00842B86"/>
    <w:rsid w:val="00847CF7"/>
    <w:rsid w:val="008521D0"/>
    <w:rsid w:val="008548E3"/>
    <w:rsid w:val="00860901"/>
    <w:rsid w:val="00864411"/>
    <w:rsid w:val="0086620E"/>
    <w:rsid w:val="00880526"/>
    <w:rsid w:val="00886CA9"/>
    <w:rsid w:val="008878F6"/>
    <w:rsid w:val="00892BD5"/>
    <w:rsid w:val="008A6A14"/>
    <w:rsid w:val="008C18E5"/>
    <w:rsid w:val="008C709C"/>
    <w:rsid w:val="008D067D"/>
    <w:rsid w:val="008D5EEC"/>
    <w:rsid w:val="0091270D"/>
    <w:rsid w:val="0092473E"/>
    <w:rsid w:val="00927885"/>
    <w:rsid w:val="00935108"/>
    <w:rsid w:val="00936ED7"/>
    <w:rsid w:val="00937002"/>
    <w:rsid w:val="00964F78"/>
    <w:rsid w:val="00984628"/>
    <w:rsid w:val="00987866"/>
    <w:rsid w:val="0099391C"/>
    <w:rsid w:val="009A1049"/>
    <w:rsid w:val="009A1B80"/>
    <w:rsid w:val="009A2647"/>
    <w:rsid w:val="009B0134"/>
    <w:rsid w:val="009C5149"/>
    <w:rsid w:val="009D1190"/>
    <w:rsid w:val="009E0170"/>
    <w:rsid w:val="009E7840"/>
    <w:rsid w:val="00A00102"/>
    <w:rsid w:val="00A06447"/>
    <w:rsid w:val="00A12198"/>
    <w:rsid w:val="00A213DA"/>
    <w:rsid w:val="00A250A5"/>
    <w:rsid w:val="00A2661F"/>
    <w:rsid w:val="00A27A37"/>
    <w:rsid w:val="00A30BD8"/>
    <w:rsid w:val="00A32C9E"/>
    <w:rsid w:val="00A53340"/>
    <w:rsid w:val="00A573FD"/>
    <w:rsid w:val="00A6188F"/>
    <w:rsid w:val="00A64042"/>
    <w:rsid w:val="00A670A7"/>
    <w:rsid w:val="00A72312"/>
    <w:rsid w:val="00A7557C"/>
    <w:rsid w:val="00A90B68"/>
    <w:rsid w:val="00AA07F4"/>
    <w:rsid w:val="00AA5A03"/>
    <w:rsid w:val="00AC7425"/>
    <w:rsid w:val="00AD367A"/>
    <w:rsid w:val="00AE1736"/>
    <w:rsid w:val="00AE3BB8"/>
    <w:rsid w:val="00AE757E"/>
    <w:rsid w:val="00AF2FB7"/>
    <w:rsid w:val="00B03627"/>
    <w:rsid w:val="00B04513"/>
    <w:rsid w:val="00B136AD"/>
    <w:rsid w:val="00B14ADC"/>
    <w:rsid w:val="00B14DFF"/>
    <w:rsid w:val="00B21F96"/>
    <w:rsid w:val="00B249C3"/>
    <w:rsid w:val="00B26CC9"/>
    <w:rsid w:val="00B312C0"/>
    <w:rsid w:val="00B51CE3"/>
    <w:rsid w:val="00B538F5"/>
    <w:rsid w:val="00B766A0"/>
    <w:rsid w:val="00B90A44"/>
    <w:rsid w:val="00B93642"/>
    <w:rsid w:val="00BA2C1A"/>
    <w:rsid w:val="00BA4D62"/>
    <w:rsid w:val="00BA4F36"/>
    <w:rsid w:val="00BA6C94"/>
    <w:rsid w:val="00BB5D71"/>
    <w:rsid w:val="00BC7BE8"/>
    <w:rsid w:val="00BD37B3"/>
    <w:rsid w:val="00BD5EB7"/>
    <w:rsid w:val="00BE4A02"/>
    <w:rsid w:val="00BE7D9B"/>
    <w:rsid w:val="00BF3775"/>
    <w:rsid w:val="00C0485F"/>
    <w:rsid w:val="00C07F9B"/>
    <w:rsid w:val="00C10077"/>
    <w:rsid w:val="00C16675"/>
    <w:rsid w:val="00C219BD"/>
    <w:rsid w:val="00C66CC4"/>
    <w:rsid w:val="00C718FD"/>
    <w:rsid w:val="00C76B9B"/>
    <w:rsid w:val="00C8203E"/>
    <w:rsid w:val="00CC3400"/>
    <w:rsid w:val="00D036BB"/>
    <w:rsid w:val="00D121F6"/>
    <w:rsid w:val="00D138E9"/>
    <w:rsid w:val="00D13FA9"/>
    <w:rsid w:val="00D14D9E"/>
    <w:rsid w:val="00D31A0A"/>
    <w:rsid w:val="00D3373E"/>
    <w:rsid w:val="00D37E02"/>
    <w:rsid w:val="00D44C8E"/>
    <w:rsid w:val="00D56C13"/>
    <w:rsid w:val="00D5734D"/>
    <w:rsid w:val="00D66E1F"/>
    <w:rsid w:val="00D73C30"/>
    <w:rsid w:val="00D777F7"/>
    <w:rsid w:val="00D8456B"/>
    <w:rsid w:val="00D85200"/>
    <w:rsid w:val="00D959B3"/>
    <w:rsid w:val="00DA501E"/>
    <w:rsid w:val="00DB1623"/>
    <w:rsid w:val="00DB1685"/>
    <w:rsid w:val="00DC1250"/>
    <w:rsid w:val="00DD5581"/>
    <w:rsid w:val="00E012B6"/>
    <w:rsid w:val="00E11CA6"/>
    <w:rsid w:val="00E11D81"/>
    <w:rsid w:val="00E33D7F"/>
    <w:rsid w:val="00E3477F"/>
    <w:rsid w:val="00E50D8A"/>
    <w:rsid w:val="00E61FA9"/>
    <w:rsid w:val="00E641A9"/>
    <w:rsid w:val="00E76AAB"/>
    <w:rsid w:val="00E87848"/>
    <w:rsid w:val="00E9178F"/>
    <w:rsid w:val="00E9588C"/>
    <w:rsid w:val="00EB3479"/>
    <w:rsid w:val="00ED4F8B"/>
    <w:rsid w:val="00ED7408"/>
    <w:rsid w:val="00EF1D75"/>
    <w:rsid w:val="00F05DDF"/>
    <w:rsid w:val="00F07C4A"/>
    <w:rsid w:val="00F168B1"/>
    <w:rsid w:val="00F2474A"/>
    <w:rsid w:val="00F27742"/>
    <w:rsid w:val="00F300ED"/>
    <w:rsid w:val="00F35B87"/>
    <w:rsid w:val="00F36DD3"/>
    <w:rsid w:val="00F42306"/>
    <w:rsid w:val="00F45301"/>
    <w:rsid w:val="00F549BD"/>
    <w:rsid w:val="00F60D9C"/>
    <w:rsid w:val="00F73B87"/>
    <w:rsid w:val="00FC129F"/>
    <w:rsid w:val="00FC5FE3"/>
    <w:rsid w:val="00FE797E"/>
    <w:rsid w:val="00FF78D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02"/>
    <w:rPr>
      <w:sz w:val="22"/>
      <w:szCs w:val="22"/>
      <w:lang w:eastAsia="en-US"/>
    </w:rPr>
  </w:style>
  <w:style w:type="paragraph" w:styleId="Ttulo1">
    <w:name w:val="heading 1"/>
    <w:basedOn w:val="Normal"/>
    <w:next w:val="Normal"/>
    <w:link w:val="Ttulo1Car"/>
    <w:uiPriority w:val="9"/>
    <w:qFormat/>
    <w:rsid w:val="00BE4A02"/>
    <w:pPr>
      <w:keepNext/>
      <w:keepLines/>
      <w:numPr>
        <w:numId w:val="11"/>
      </w:numPr>
      <w:spacing w:before="360"/>
      <w:outlineLvl w:val="0"/>
    </w:pPr>
    <w:rPr>
      <w:rFonts w:ascii="Cambria" w:eastAsia="Times New Roman" w:hAnsi="Cambria"/>
      <w:bCs/>
      <w:color w:val="4F81BD"/>
      <w:sz w:val="32"/>
      <w:szCs w:val="32"/>
      <w:lang w:eastAsia="es-SV"/>
    </w:rPr>
  </w:style>
  <w:style w:type="paragraph" w:styleId="Ttulo2">
    <w:name w:val="heading 2"/>
    <w:basedOn w:val="Normal"/>
    <w:next w:val="Normal"/>
    <w:link w:val="Ttulo2Car"/>
    <w:uiPriority w:val="9"/>
    <w:unhideWhenUsed/>
    <w:qFormat/>
    <w:rsid w:val="00BE4A02"/>
    <w:pPr>
      <w:keepNext/>
      <w:keepLines/>
      <w:numPr>
        <w:ilvl w:val="1"/>
        <w:numId w:val="11"/>
      </w:numPr>
      <w:spacing w:before="120"/>
      <w:outlineLvl w:val="1"/>
    </w:pPr>
    <w:rPr>
      <w:rFonts w:ascii="Cambria" w:eastAsia="Times New Roman" w:hAnsi="Cambria"/>
      <w:bCs/>
      <w:color w:val="1F497D"/>
      <w:sz w:val="28"/>
      <w:szCs w:val="28"/>
      <w:lang w:eastAsia="es-SV"/>
    </w:rPr>
  </w:style>
  <w:style w:type="paragraph" w:styleId="Ttulo3">
    <w:name w:val="heading 3"/>
    <w:basedOn w:val="Normal"/>
    <w:next w:val="Normal"/>
    <w:link w:val="Ttulo3Car"/>
    <w:uiPriority w:val="9"/>
    <w:unhideWhenUsed/>
    <w:qFormat/>
    <w:rsid w:val="00D138E9"/>
    <w:pPr>
      <w:keepNext/>
      <w:keepLines/>
      <w:numPr>
        <w:ilvl w:val="2"/>
        <w:numId w:val="11"/>
      </w:numPr>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51CE3"/>
    <w:pPr>
      <w:keepNext/>
      <w:keepLines/>
      <w:numPr>
        <w:ilvl w:val="3"/>
        <w:numId w:val="1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unhideWhenUsed/>
    <w:qFormat/>
    <w:rsid w:val="00B51CE3"/>
    <w:pPr>
      <w:keepNext/>
      <w:keepLines/>
      <w:numPr>
        <w:ilvl w:val="4"/>
        <w:numId w:val="1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B51CE3"/>
    <w:pPr>
      <w:keepNext/>
      <w:keepLines/>
      <w:numPr>
        <w:ilvl w:val="5"/>
        <w:numId w:val="1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B51CE3"/>
    <w:pPr>
      <w:keepNext/>
      <w:keepLines/>
      <w:numPr>
        <w:ilvl w:val="6"/>
        <w:numId w:val="1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B51CE3"/>
    <w:pPr>
      <w:keepNext/>
      <w:keepLines/>
      <w:numPr>
        <w:ilvl w:val="7"/>
        <w:numId w:val="1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B51CE3"/>
    <w:pPr>
      <w:keepNext/>
      <w:keepLines/>
      <w:numPr>
        <w:ilvl w:val="8"/>
        <w:numId w:val="1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4A02"/>
    <w:pPr>
      <w:spacing w:after="200" w:line="276" w:lineRule="auto"/>
      <w:ind w:left="720"/>
      <w:contextualSpacing/>
    </w:pPr>
  </w:style>
  <w:style w:type="character" w:customStyle="1" w:styleId="Ttulo1Car">
    <w:name w:val="Título 1 Car"/>
    <w:link w:val="Ttulo1"/>
    <w:uiPriority w:val="9"/>
    <w:rsid w:val="00BE4A02"/>
    <w:rPr>
      <w:rFonts w:ascii="Cambria" w:eastAsia="Times New Roman" w:hAnsi="Cambria" w:cs="Times New Roman"/>
      <w:bCs/>
      <w:color w:val="4F81BD"/>
      <w:sz w:val="32"/>
      <w:szCs w:val="32"/>
      <w:lang w:eastAsia="es-SV"/>
    </w:rPr>
  </w:style>
  <w:style w:type="character" w:customStyle="1" w:styleId="Ttulo2Car">
    <w:name w:val="Título 2 Car"/>
    <w:link w:val="Ttulo2"/>
    <w:uiPriority w:val="9"/>
    <w:rsid w:val="00BE4A02"/>
    <w:rPr>
      <w:rFonts w:ascii="Cambria" w:eastAsia="Times New Roman" w:hAnsi="Cambria" w:cs="Times New Roman"/>
      <w:bCs/>
      <w:color w:val="1F497D"/>
      <w:sz w:val="28"/>
      <w:szCs w:val="28"/>
      <w:lang w:eastAsia="es-SV"/>
    </w:rPr>
  </w:style>
  <w:style w:type="table" w:customStyle="1" w:styleId="Cuadrculaclara">
    <w:name w:val="Light Grid"/>
    <w:basedOn w:val="Tablanormal"/>
    <w:uiPriority w:val="62"/>
    <w:rsid w:val="00BE4A0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Default">
    <w:name w:val="Default"/>
    <w:rsid w:val="00BE4A02"/>
    <w:pPr>
      <w:autoSpaceDE w:val="0"/>
      <w:autoSpaceDN w:val="0"/>
      <w:adjustRightInd w:val="0"/>
    </w:pPr>
    <w:rPr>
      <w:rFonts w:ascii="Myriad Pro" w:hAnsi="Myriad Pro" w:cs="Myriad Pro"/>
      <w:color w:val="000000"/>
      <w:sz w:val="24"/>
      <w:szCs w:val="24"/>
      <w:lang w:eastAsia="en-US"/>
    </w:rPr>
  </w:style>
  <w:style w:type="paragraph" w:styleId="Textodeglobo">
    <w:name w:val="Balloon Text"/>
    <w:basedOn w:val="Normal"/>
    <w:link w:val="TextodegloboCar"/>
    <w:uiPriority w:val="99"/>
    <w:semiHidden/>
    <w:unhideWhenUsed/>
    <w:rsid w:val="00B93642"/>
    <w:rPr>
      <w:rFonts w:ascii="Tahoma" w:hAnsi="Tahoma" w:cs="Tahoma"/>
      <w:sz w:val="16"/>
      <w:szCs w:val="16"/>
    </w:rPr>
  </w:style>
  <w:style w:type="character" w:customStyle="1" w:styleId="TextodegloboCar">
    <w:name w:val="Texto de globo Car"/>
    <w:link w:val="Textodeglobo"/>
    <w:uiPriority w:val="99"/>
    <w:semiHidden/>
    <w:rsid w:val="00B93642"/>
    <w:rPr>
      <w:rFonts w:ascii="Tahoma" w:hAnsi="Tahoma" w:cs="Tahoma"/>
      <w:sz w:val="16"/>
      <w:szCs w:val="16"/>
    </w:rPr>
  </w:style>
  <w:style w:type="paragraph" w:styleId="NormalWeb">
    <w:name w:val="Normal (Web)"/>
    <w:basedOn w:val="Normal"/>
    <w:uiPriority w:val="99"/>
    <w:unhideWhenUsed/>
    <w:rsid w:val="00B766A0"/>
    <w:pPr>
      <w:spacing w:before="100" w:beforeAutospacing="1" w:after="100" w:afterAutospacing="1"/>
    </w:pPr>
    <w:rPr>
      <w:rFonts w:ascii="Times New Roman" w:eastAsia="Times New Roman" w:hAnsi="Times New Roman"/>
      <w:sz w:val="24"/>
      <w:szCs w:val="24"/>
      <w:lang w:eastAsia="es-SV"/>
    </w:rPr>
  </w:style>
  <w:style w:type="paragraph" w:styleId="TtuloTDC">
    <w:name w:val="Título TDC"/>
    <w:basedOn w:val="Ttulo1"/>
    <w:next w:val="Normal"/>
    <w:uiPriority w:val="39"/>
    <w:unhideWhenUsed/>
    <w:qFormat/>
    <w:rsid w:val="00431E1B"/>
    <w:pPr>
      <w:spacing w:before="480" w:line="276" w:lineRule="auto"/>
      <w:outlineLvl w:val="9"/>
    </w:pPr>
    <w:rPr>
      <w:b/>
      <w:color w:val="365F91"/>
      <w:sz w:val="28"/>
      <w:szCs w:val="28"/>
    </w:rPr>
  </w:style>
  <w:style w:type="paragraph" w:styleId="TDC2">
    <w:name w:val="toc 2"/>
    <w:basedOn w:val="Normal"/>
    <w:next w:val="Normal"/>
    <w:autoRedefine/>
    <w:uiPriority w:val="39"/>
    <w:unhideWhenUsed/>
    <w:qFormat/>
    <w:rsid w:val="00C66CC4"/>
    <w:pPr>
      <w:tabs>
        <w:tab w:val="left" w:pos="880"/>
        <w:tab w:val="right" w:leader="dot" w:pos="8828"/>
      </w:tabs>
      <w:spacing w:after="100" w:line="276" w:lineRule="auto"/>
      <w:ind w:left="220"/>
    </w:pPr>
    <w:rPr>
      <w:rFonts w:eastAsia="Times New Roman"/>
      <w:lang w:eastAsia="es-SV"/>
    </w:rPr>
  </w:style>
  <w:style w:type="paragraph" w:styleId="TDC1">
    <w:name w:val="toc 1"/>
    <w:basedOn w:val="Normal"/>
    <w:next w:val="Normal"/>
    <w:autoRedefine/>
    <w:uiPriority w:val="39"/>
    <w:unhideWhenUsed/>
    <w:qFormat/>
    <w:rsid w:val="00D138E9"/>
    <w:pPr>
      <w:tabs>
        <w:tab w:val="right" w:leader="dot" w:pos="8828"/>
      </w:tabs>
      <w:spacing w:after="100" w:line="276" w:lineRule="auto"/>
    </w:pPr>
    <w:rPr>
      <w:rFonts w:eastAsia="Times New Roman"/>
      <w:lang w:eastAsia="es-SV"/>
    </w:rPr>
  </w:style>
  <w:style w:type="paragraph" w:styleId="TDC3">
    <w:name w:val="toc 3"/>
    <w:basedOn w:val="Normal"/>
    <w:next w:val="Normal"/>
    <w:autoRedefine/>
    <w:uiPriority w:val="39"/>
    <w:unhideWhenUsed/>
    <w:qFormat/>
    <w:rsid w:val="00431E1B"/>
    <w:pPr>
      <w:spacing w:after="100" w:line="276" w:lineRule="auto"/>
      <w:ind w:left="440"/>
    </w:pPr>
    <w:rPr>
      <w:rFonts w:eastAsia="Times New Roman"/>
      <w:lang w:eastAsia="es-SV"/>
    </w:rPr>
  </w:style>
  <w:style w:type="character" w:styleId="Hipervnculo">
    <w:name w:val="Hyperlink"/>
    <w:uiPriority w:val="99"/>
    <w:unhideWhenUsed/>
    <w:rsid w:val="00431E1B"/>
    <w:rPr>
      <w:color w:val="0000FF"/>
      <w:u w:val="single"/>
    </w:rPr>
  </w:style>
  <w:style w:type="character" w:customStyle="1" w:styleId="Ttulo3Car">
    <w:name w:val="Título 3 Car"/>
    <w:link w:val="Ttulo3"/>
    <w:uiPriority w:val="9"/>
    <w:rsid w:val="00D138E9"/>
    <w:rPr>
      <w:rFonts w:ascii="Cambria" w:eastAsia="Times New Roman" w:hAnsi="Cambria" w:cs="Times New Roman"/>
      <w:b/>
      <w:bCs/>
      <w:color w:val="4F81BD"/>
    </w:rPr>
  </w:style>
  <w:style w:type="paragraph" w:styleId="Encabezado">
    <w:name w:val="header"/>
    <w:basedOn w:val="Normal"/>
    <w:link w:val="EncabezadoCar"/>
    <w:uiPriority w:val="99"/>
    <w:unhideWhenUsed/>
    <w:rsid w:val="00E11D81"/>
    <w:pPr>
      <w:tabs>
        <w:tab w:val="center" w:pos="4419"/>
        <w:tab w:val="right" w:pos="8838"/>
      </w:tabs>
    </w:pPr>
  </w:style>
  <w:style w:type="character" w:customStyle="1" w:styleId="EncabezadoCar">
    <w:name w:val="Encabezado Car"/>
    <w:link w:val="Encabezado"/>
    <w:uiPriority w:val="99"/>
    <w:rsid w:val="00E11D81"/>
    <w:rPr>
      <w:rFonts w:ascii="Calibri" w:hAnsi="Calibri" w:cs="Times New Roman"/>
    </w:rPr>
  </w:style>
  <w:style w:type="paragraph" w:styleId="Piedepgina">
    <w:name w:val="footer"/>
    <w:basedOn w:val="Normal"/>
    <w:link w:val="PiedepginaCar"/>
    <w:uiPriority w:val="99"/>
    <w:unhideWhenUsed/>
    <w:rsid w:val="00E11D81"/>
    <w:pPr>
      <w:tabs>
        <w:tab w:val="center" w:pos="4419"/>
        <w:tab w:val="right" w:pos="8838"/>
      </w:tabs>
    </w:pPr>
  </w:style>
  <w:style w:type="character" w:customStyle="1" w:styleId="PiedepginaCar">
    <w:name w:val="Pie de página Car"/>
    <w:link w:val="Piedepgina"/>
    <w:uiPriority w:val="99"/>
    <w:rsid w:val="00E11D81"/>
    <w:rPr>
      <w:rFonts w:ascii="Calibri" w:hAnsi="Calibri" w:cs="Times New Roman"/>
    </w:rPr>
  </w:style>
  <w:style w:type="paragraph" w:styleId="Citadestacada">
    <w:name w:val="Intense Quote"/>
    <w:basedOn w:val="Normal"/>
    <w:next w:val="Normal"/>
    <w:link w:val="CitadestacadaCar"/>
    <w:uiPriority w:val="30"/>
    <w:qFormat/>
    <w:rsid w:val="002E4D0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2E4D0B"/>
    <w:rPr>
      <w:rFonts w:ascii="Calibri" w:hAnsi="Calibri" w:cs="Times New Roman"/>
      <w:b/>
      <w:bCs/>
      <w:i/>
      <w:iCs/>
      <w:color w:val="4F81BD"/>
    </w:rPr>
  </w:style>
  <w:style w:type="character" w:customStyle="1" w:styleId="Ttulo4Car">
    <w:name w:val="Título 4 Car"/>
    <w:link w:val="Ttulo4"/>
    <w:uiPriority w:val="9"/>
    <w:rsid w:val="00B51CE3"/>
    <w:rPr>
      <w:rFonts w:ascii="Cambria" w:eastAsia="Times New Roman" w:hAnsi="Cambria" w:cs="Times New Roman"/>
      <w:b/>
      <w:bCs/>
      <w:i/>
      <w:iCs/>
      <w:color w:val="4F81BD"/>
    </w:rPr>
  </w:style>
  <w:style w:type="character" w:customStyle="1" w:styleId="Ttulo5Car">
    <w:name w:val="Título 5 Car"/>
    <w:link w:val="Ttulo5"/>
    <w:uiPriority w:val="9"/>
    <w:rsid w:val="00B51CE3"/>
    <w:rPr>
      <w:rFonts w:ascii="Cambria" w:eastAsia="Times New Roman" w:hAnsi="Cambria" w:cs="Times New Roman"/>
      <w:color w:val="243F60"/>
    </w:rPr>
  </w:style>
  <w:style w:type="character" w:customStyle="1" w:styleId="Ttulo6Car">
    <w:name w:val="Título 6 Car"/>
    <w:link w:val="Ttulo6"/>
    <w:uiPriority w:val="9"/>
    <w:semiHidden/>
    <w:rsid w:val="00B51CE3"/>
    <w:rPr>
      <w:rFonts w:ascii="Cambria" w:eastAsia="Times New Roman" w:hAnsi="Cambria" w:cs="Times New Roman"/>
      <w:i/>
      <w:iCs/>
      <w:color w:val="243F60"/>
    </w:rPr>
  </w:style>
  <w:style w:type="character" w:customStyle="1" w:styleId="Ttulo7Car">
    <w:name w:val="Título 7 Car"/>
    <w:link w:val="Ttulo7"/>
    <w:uiPriority w:val="9"/>
    <w:semiHidden/>
    <w:rsid w:val="00B51CE3"/>
    <w:rPr>
      <w:rFonts w:ascii="Cambria" w:eastAsia="Times New Roman" w:hAnsi="Cambria" w:cs="Times New Roman"/>
      <w:i/>
      <w:iCs/>
      <w:color w:val="404040"/>
    </w:rPr>
  </w:style>
  <w:style w:type="character" w:customStyle="1" w:styleId="Ttulo8Car">
    <w:name w:val="Título 8 Car"/>
    <w:link w:val="Ttulo8"/>
    <w:uiPriority w:val="9"/>
    <w:semiHidden/>
    <w:rsid w:val="00B51CE3"/>
    <w:rPr>
      <w:rFonts w:ascii="Cambria" w:eastAsia="Times New Roman" w:hAnsi="Cambria" w:cs="Times New Roman"/>
      <w:color w:val="404040"/>
      <w:sz w:val="20"/>
      <w:szCs w:val="20"/>
    </w:rPr>
  </w:style>
  <w:style w:type="character" w:customStyle="1" w:styleId="Ttulo9Car">
    <w:name w:val="Título 9 Car"/>
    <w:link w:val="Ttulo9"/>
    <w:uiPriority w:val="9"/>
    <w:semiHidden/>
    <w:rsid w:val="00B51CE3"/>
    <w:rPr>
      <w:rFonts w:ascii="Cambria" w:eastAsia="Times New Roman" w:hAnsi="Cambria" w:cs="Times New Roman"/>
      <w:i/>
      <w:iCs/>
      <w:color w:val="404040"/>
      <w:sz w:val="20"/>
      <w:szCs w:val="20"/>
    </w:rPr>
  </w:style>
  <w:style w:type="character" w:styleId="Textoennegrita">
    <w:name w:val="Strong"/>
    <w:uiPriority w:val="22"/>
    <w:qFormat/>
    <w:rsid w:val="001D643D"/>
    <w:rPr>
      <w:b/>
      <w:bCs/>
    </w:rPr>
  </w:style>
  <w:style w:type="paragraph" w:styleId="TDC4">
    <w:name w:val="toc 4"/>
    <w:basedOn w:val="Normal"/>
    <w:next w:val="Normal"/>
    <w:autoRedefine/>
    <w:uiPriority w:val="39"/>
    <w:unhideWhenUsed/>
    <w:rsid w:val="00E61FA9"/>
    <w:pPr>
      <w:spacing w:after="100"/>
      <w:ind w:left="660"/>
    </w:pPr>
  </w:style>
  <w:style w:type="paragraph" w:styleId="TDC5">
    <w:name w:val="toc 5"/>
    <w:basedOn w:val="Normal"/>
    <w:next w:val="Normal"/>
    <w:autoRedefine/>
    <w:uiPriority w:val="39"/>
    <w:unhideWhenUsed/>
    <w:rsid w:val="00E61FA9"/>
    <w:pPr>
      <w:spacing w:after="100"/>
      <w:ind w:left="880"/>
    </w:pPr>
  </w:style>
</w:styles>
</file>

<file path=word/webSettings.xml><?xml version="1.0" encoding="utf-8"?>
<w:webSettings xmlns:r="http://schemas.openxmlformats.org/officeDocument/2006/relationships" xmlns:w="http://schemas.openxmlformats.org/wordprocessingml/2006/main">
  <w:divs>
    <w:div w:id="30040875">
      <w:bodyDiv w:val="1"/>
      <w:marLeft w:val="0"/>
      <w:marRight w:val="0"/>
      <w:marTop w:val="0"/>
      <w:marBottom w:val="0"/>
      <w:divBdr>
        <w:top w:val="none" w:sz="0" w:space="0" w:color="auto"/>
        <w:left w:val="none" w:sz="0" w:space="0" w:color="auto"/>
        <w:bottom w:val="none" w:sz="0" w:space="0" w:color="auto"/>
        <w:right w:val="none" w:sz="0" w:space="0" w:color="auto"/>
      </w:divBdr>
    </w:div>
    <w:div w:id="40717622">
      <w:bodyDiv w:val="1"/>
      <w:marLeft w:val="0"/>
      <w:marRight w:val="0"/>
      <w:marTop w:val="0"/>
      <w:marBottom w:val="0"/>
      <w:divBdr>
        <w:top w:val="none" w:sz="0" w:space="0" w:color="auto"/>
        <w:left w:val="none" w:sz="0" w:space="0" w:color="auto"/>
        <w:bottom w:val="none" w:sz="0" w:space="0" w:color="auto"/>
        <w:right w:val="none" w:sz="0" w:space="0" w:color="auto"/>
      </w:divBdr>
    </w:div>
    <w:div w:id="336925880">
      <w:bodyDiv w:val="1"/>
      <w:marLeft w:val="0"/>
      <w:marRight w:val="0"/>
      <w:marTop w:val="0"/>
      <w:marBottom w:val="0"/>
      <w:divBdr>
        <w:top w:val="none" w:sz="0" w:space="0" w:color="auto"/>
        <w:left w:val="none" w:sz="0" w:space="0" w:color="auto"/>
        <w:bottom w:val="none" w:sz="0" w:space="0" w:color="auto"/>
        <w:right w:val="none" w:sz="0" w:space="0" w:color="auto"/>
      </w:divBdr>
    </w:div>
    <w:div w:id="397290871">
      <w:bodyDiv w:val="1"/>
      <w:marLeft w:val="0"/>
      <w:marRight w:val="0"/>
      <w:marTop w:val="0"/>
      <w:marBottom w:val="0"/>
      <w:divBdr>
        <w:top w:val="none" w:sz="0" w:space="0" w:color="auto"/>
        <w:left w:val="none" w:sz="0" w:space="0" w:color="auto"/>
        <w:bottom w:val="none" w:sz="0" w:space="0" w:color="auto"/>
        <w:right w:val="none" w:sz="0" w:space="0" w:color="auto"/>
      </w:divBdr>
    </w:div>
    <w:div w:id="561210019">
      <w:bodyDiv w:val="1"/>
      <w:marLeft w:val="0"/>
      <w:marRight w:val="0"/>
      <w:marTop w:val="0"/>
      <w:marBottom w:val="0"/>
      <w:divBdr>
        <w:top w:val="none" w:sz="0" w:space="0" w:color="auto"/>
        <w:left w:val="none" w:sz="0" w:space="0" w:color="auto"/>
        <w:bottom w:val="none" w:sz="0" w:space="0" w:color="auto"/>
        <w:right w:val="none" w:sz="0" w:space="0" w:color="auto"/>
      </w:divBdr>
    </w:div>
    <w:div w:id="627512645">
      <w:bodyDiv w:val="1"/>
      <w:marLeft w:val="0"/>
      <w:marRight w:val="0"/>
      <w:marTop w:val="0"/>
      <w:marBottom w:val="0"/>
      <w:divBdr>
        <w:top w:val="none" w:sz="0" w:space="0" w:color="auto"/>
        <w:left w:val="none" w:sz="0" w:space="0" w:color="auto"/>
        <w:bottom w:val="none" w:sz="0" w:space="0" w:color="auto"/>
        <w:right w:val="none" w:sz="0" w:space="0" w:color="auto"/>
      </w:divBdr>
    </w:div>
    <w:div w:id="716664778">
      <w:bodyDiv w:val="1"/>
      <w:marLeft w:val="0"/>
      <w:marRight w:val="0"/>
      <w:marTop w:val="0"/>
      <w:marBottom w:val="0"/>
      <w:divBdr>
        <w:top w:val="none" w:sz="0" w:space="0" w:color="auto"/>
        <w:left w:val="none" w:sz="0" w:space="0" w:color="auto"/>
        <w:bottom w:val="none" w:sz="0" w:space="0" w:color="auto"/>
        <w:right w:val="none" w:sz="0" w:space="0" w:color="auto"/>
      </w:divBdr>
    </w:div>
    <w:div w:id="743376323">
      <w:bodyDiv w:val="1"/>
      <w:marLeft w:val="0"/>
      <w:marRight w:val="0"/>
      <w:marTop w:val="0"/>
      <w:marBottom w:val="0"/>
      <w:divBdr>
        <w:top w:val="none" w:sz="0" w:space="0" w:color="auto"/>
        <w:left w:val="none" w:sz="0" w:space="0" w:color="auto"/>
        <w:bottom w:val="none" w:sz="0" w:space="0" w:color="auto"/>
        <w:right w:val="none" w:sz="0" w:space="0" w:color="auto"/>
      </w:divBdr>
    </w:div>
    <w:div w:id="761099994">
      <w:bodyDiv w:val="1"/>
      <w:marLeft w:val="0"/>
      <w:marRight w:val="0"/>
      <w:marTop w:val="0"/>
      <w:marBottom w:val="0"/>
      <w:divBdr>
        <w:top w:val="none" w:sz="0" w:space="0" w:color="auto"/>
        <w:left w:val="none" w:sz="0" w:space="0" w:color="auto"/>
        <w:bottom w:val="none" w:sz="0" w:space="0" w:color="auto"/>
        <w:right w:val="none" w:sz="0" w:space="0" w:color="auto"/>
      </w:divBdr>
    </w:div>
    <w:div w:id="782651720">
      <w:bodyDiv w:val="1"/>
      <w:marLeft w:val="0"/>
      <w:marRight w:val="0"/>
      <w:marTop w:val="0"/>
      <w:marBottom w:val="0"/>
      <w:divBdr>
        <w:top w:val="none" w:sz="0" w:space="0" w:color="auto"/>
        <w:left w:val="none" w:sz="0" w:space="0" w:color="auto"/>
        <w:bottom w:val="none" w:sz="0" w:space="0" w:color="auto"/>
        <w:right w:val="none" w:sz="0" w:space="0" w:color="auto"/>
      </w:divBdr>
      <w:divsChild>
        <w:div w:id="581640619">
          <w:marLeft w:val="446"/>
          <w:marRight w:val="0"/>
          <w:marTop w:val="0"/>
          <w:marBottom w:val="0"/>
          <w:divBdr>
            <w:top w:val="none" w:sz="0" w:space="0" w:color="auto"/>
            <w:left w:val="none" w:sz="0" w:space="0" w:color="auto"/>
            <w:bottom w:val="none" w:sz="0" w:space="0" w:color="auto"/>
            <w:right w:val="none" w:sz="0" w:space="0" w:color="auto"/>
          </w:divBdr>
        </w:div>
        <w:div w:id="1794593914">
          <w:marLeft w:val="446"/>
          <w:marRight w:val="0"/>
          <w:marTop w:val="0"/>
          <w:marBottom w:val="0"/>
          <w:divBdr>
            <w:top w:val="none" w:sz="0" w:space="0" w:color="auto"/>
            <w:left w:val="none" w:sz="0" w:space="0" w:color="auto"/>
            <w:bottom w:val="none" w:sz="0" w:space="0" w:color="auto"/>
            <w:right w:val="none" w:sz="0" w:space="0" w:color="auto"/>
          </w:divBdr>
        </w:div>
      </w:divsChild>
    </w:div>
    <w:div w:id="824399963">
      <w:bodyDiv w:val="1"/>
      <w:marLeft w:val="0"/>
      <w:marRight w:val="0"/>
      <w:marTop w:val="0"/>
      <w:marBottom w:val="0"/>
      <w:divBdr>
        <w:top w:val="none" w:sz="0" w:space="0" w:color="auto"/>
        <w:left w:val="none" w:sz="0" w:space="0" w:color="auto"/>
        <w:bottom w:val="none" w:sz="0" w:space="0" w:color="auto"/>
        <w:right w:val="none" w:sz="0" w:space="0" w:color="auto"/>
      </w:divBdr>
    </w:div>
    <w:div w:id="856818999">
      <w:bodyDiv w:val="1"/>
      <w:marLeft w:val="0"/>
      <w:marRight w:val="0"/>
      <w:marTop w:val="0"/>
      <w:marBottom w:val="0"/>
      <w:divBdr>
        <w:top w:val="none" w:sz="0" w:space="0" w:color="auto"/>
        <w:left w:val="none" w:sz="0" w:space="0" w:color="auto"/>
        <w:bottom w:val="none" w:sz="0" w:space="0" w:color="auto"/>
        <w:right w:val="none" w:sz="0" w:space="0" w:color="auto"/>
      </w:divBdr>
    </w:div>
    <w:div w:id="942807175">
      <w:bodyDiv w:val="1"/>
      <w:marLeft w:val="0"/>
      <w:marRight w:val="0"/>
      <w:marTop w:val="0"/>
      <w:marBottom w:val="0"/>
      <w:divBdr>
        <w:top w:val="none" w:sz="0" w:space="0" w:color="auto"/>
        <w:left w:val="none" w:sz="0" w:space="0" w:color="auto"/>
        <w:bottom w:val="none" w:sz="0" w:space="0" w:color="auto"/>
        <w:right w:val="none" w:sz="0" w:space="0" w:color="auto"/>
      </w:divBdr>
    </w:div>
    <w:div w:id="1167598903">
      <w:bodyDiv w:val="1"/>
      <w:marLeft w:val="0"/>
      <w:marRight w:val="0"/>
      <w:marTop w:val="0"/>
      <w:marBottom w:val="0"/>
      <w:divBdr>
        <w:top w:val="none" w:sz="0" w:space="0" w:color="auto"/>
        <w:left w:val="none" w:sz="0" w:space="0" w:color="auto"/>
        <w:bottom w:val="none" w:sz="0" w:space="0" w:color="auto"/>
        <w:right w:val="none" w:sz="0" w:space="0" w:color="auto"/>
      </w:divBdr>
    </w:div>
    <w:div w:id="1218012715">
      <w:bodyDiv w:val="1"/>
      <w:marLeft w:val="0"/>
      <w:marRight w:val="0"/>
      <w:marTop w:val="0"/>
      <w:marBottom w:val="0"/>
      <w:divBdr>
        <w:top w:val="none" w:sz="0" w:space="0" w:color="auto"/>
        <w:left w:val="none" w:sz="0" w:space="0" w:color="auto"/>
        <w:bottom w:val="none" w:sz="0" w:space="0" w:color="auto"/>
        <w:right w:val="none" w:sz="0" w:space="0" w:color="auto"/>
      </w:divBdr>
    </w:div>
    <w:div w:id="1309168086">
      <w:bodyDiv w:val="1"/>
      <w:marLeft w:val="0"/>
      <w:marRight w:val="0"/>
      <w:marTop w:val="0"/>
      <w:marBottom w:val="0"/>
      <w:divBdr>
        <w:top w:val="none" w:sz="0" w:space="0" w:color="auto"/>
        <w:left w:val="none" w:sz="0" w:space="0" w:color="auto"/>
        <w:bottom w:val="none" w:sz="0" w:space="0" w:color="auto"/>
        <w:right w:val="none" w:sz="0" w:space="0" w:color="auto"/>
      </w:divBdr>
    </w:div>
    <w:div w:id="1357462278">
      <w:bodyDiv w:val="1"/>
      <w:marLeft w:val="0"/>
      <w:marRight w:val="0"/>
      <w:marTop w:val="0"/>
      <w:marBottom w:val="0"/>
      <w:divBdr>
        <w:top w:val="none" w:sz="0" w:space="0" w:color="auto"/>
        <w:left w:val="none" w:sz="0" w:space="0" w:color="auto"/>
        <w:bottom w:val="none" w:sz="0" w:space="0" w:color="auto"/>
        <w:right w:val="none" w:sz="0" w:space="0" w:color="auto"/>
      </w:divBdr>
    </w:div>
    <w:div w:id="1520269254">
      <w:bodyDiv w:val="1"/>
      <w:marLeft w:val="0"/>
      <w:marRight w:val="0"/>
      <w:marTop w:val="0"/>
      <w:marBottom w:val="0"/>
      <w:divBdr>
        <w:top w:val="none" w:sz="0" w:space="0" w:color="auto"/>
        <w:left w:val="none" w:sz="0" w:space="0" w:color="auto"/>
        <w:bottom w:val="none" w:sz="0" w:space="0" w:color="auto"/>
        <w:right w:val="none" w:sz="0" w:space="0" w:color="auto"/>
      </w:divBdr>
    </w:div>
    <w:div w:id="1575234769">
      <w:bodyDiv w:val="1"/>
      <w:marLeft w:val="0"/>
      <w:marRight w:val="0"/>
      <w:marTop w:val="0"/>
      <w:marBottom w:val="0"/>
      <w:divBdr>
        <w:top w:val="none" w:sz="0" w:space="0" w:color="auto"/>
        <w:left w:val="none" w:sz="0" w:space="0" w:color="auto"/>
        <w:bottom w:val="none" w:sz="0" w:space="0" w:color="auto"/>
        <w:right w:val="none" w:sz="0" w:space="0" w:color="auto"/>
      </w:divBdr>
    </w:div>
    <w:div w:id="1682393159">
      <w:bodyDiv w:val="1"/>
      <w:marLeft w:val="0"/>
      <w:marRight w:val="0"/>
      <w:marTop w:val="0"/>
      <w:marBottom w:val="0"/>
      <w:divBdr>
        <w:top w:val="none" w:sz="0" w:space="0" w:color="auto"/>
        <w:left w:val="none" w:sz="0" w:space="0" w:color="auto"/>
        <w:bottom w:val="none" w:sz="0" w:space="0" w:color="auto"/>
        <w:right w:val="none" w:sz="0" w:space="0" w:color="auto"/>
      </w:divBdr>
    </w:div>
    <w:div w:id="20324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18CC-4E28-4544-BEC7-396544C9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4442</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28818</CharactersWithSpaces>
  <SharedDoc>false</SharedDoc>
  <HLinks>
    <vt:vector size="162" baseType="variant">
      <vt:variant>
        <vt:i4>1900599</vt:i4>
      </vt:variant>
      <vt:variant>
        <vt:i4>158</vt:i4>
      </vt:variant>
      <vt:variant>
        <vt:i4>0</vt:i4>
      </vt:variant>
      <vt:variant>
        <vt:i4>5</vt:i4>
      </vt:variant>
      <vt:variant>
        <vt:lpwstr/>
      </vt:variant>
      <vt:variant>
        <vt:lpwstr>_Toc467228669</vt:lpwstr>
      </vt:variant>
      <vt:variant>
        <vt:i4>1900599</vt:i4>
      </vt:variant>
      <vt:variant>
        <vt:i4>152</vt:i4>
      </vt:variant>
      <vt:variant>
        <vt:i4>0</vt:i4>
      </vt:variant>
      <vt:variant>
        <vt:i4>5</vt:i4>
      </vt:variant>
      <vt:variant>
        <vt:lpwstr/>
      </vt:variant>
      <vt:variant>
        <vt:lpwstr>_Toc467228668</vt:lpwstr>
      </vt:variant>
      <vt:variant>
        <vt:i4>1900599</vt:i4>
      </vt:variant>
      <vt:variant>
        <vt:i4>146</vt:i4>
      </vt:variant>
      <vt:variant>
        <vt:i4>0</vt:i4>
      </vt:variant>
      <vt:variant>
        <vt:i4>5</vt:i4>
      </vt:variant>
      <vt:variant>
        <vt:lpwstr/>
      </vt:variant>
      <vt:variant>
        <vt:lpwstr>_Toc467228667</vt:lpwstr>
      </vt:variant>
      <vt:variant>
        <vt:i4>1900599</vt:i4>
      </vt:variant>
      <vt:variant>
        <vt:i4>140</vt:i4>
      </vt:variant>
      <vt:variant>
        <vt:i4>0</vt:i4>
      </vt:variant>
      <vt:variant>
        <vt:i4>5</vt:i4>
      </vt:variant>
      <vt:variant>
        <vt:lpwstr/>
      </vt:variant>
      <vt:variant>
        <vt:lpwstr>_Toc467228666</vt:lpwstr>
      </vt:variant>
      <vt:variant>
        <vt:i4>1900599</vt:i4>
      </vt:variant>
      <vt:variant>
        <vt:i4>134</vt:i4>
      </vt:variant>
      <vt:variant>
        <vt:i4>0</vt:i4>
      </vt:variant>
      <vt:variant>
        <vt:i4>5</vt:i4>
      </vt:variant>
      <vt:variant>
        <vt:lpwstr/>
      </vt:variant>
      <vt:variant>
        <vt:lpwstr>_Toc467228665</vt:lpwstr>
      </vt:variant>
      <vt:variant>
        <vt:i4>1900599</vt:i4>
      </vt:variant>
      <vt:variant>
        <vt:i4>128</vt:i4>
      </vt:variant>
      <vt:variant>
        <vt:i4>0</vt:i4>
      </vt:variant>
      <vt:variant>
        <vt:i4>5</vt:i4>
      </vt:variant>
      <vt:variant>
        <vt:lpwstr/>
      </vt:variant>
      <vt:variant>
        <vt:lpwstr>_Toc467228664</vt:lpwstr>
      </vt:variant>
      <vt:variant>
        <vt:i4>1900599</vt:i4>
      </vt:variant>
      <vt:variant>
        <vt:i4>122</vt:i4>
      </vt:variant>
      <vt:variant>
        <vt:i4>0</vt:i4>
      </vt:variant>
      <vt:variant>
        <vt:i4>5</vt:i4>
      </vt:variant>
      <vt:variant>
        <vt:lpwstr/>
      </vt:variant>
      <vt:variant>
        <vt:lpwstr>_Toc467228663</vt:lpwstr>
      </vt:variant>
      <vt:variant>
        <vt:i4>1900599</vt:i4>
      </vt:variant>
      <vt:variant>
        <vt:i4>116</vt:i4>
      </vt:variant>
      <vt:variant>
        <vt:i4>0</vt:i4>
      </vt:variant>
      <vt:variant>
        <vt:i4>5</vt:i4>
      </vt:variant>
      <vt:variant>
        <vt:lpwstr/>
      </vt:variant>
      <vt:variant>
        <vt:lpwstr>_Toc467228662</vt:lpwstr>
      </vt:variant>
      <vt:variant>
        <vt:i4>1900599</vt:i4>
      </vt:variant>
      <vt:variant>
        <vt:i4>110</vt:i4>
      </vt:variant>
      <vt:variant>
        <vt:i4>0</vt:i4>
      </vt:variant>
      <vt:variant>
        <vt:i4>5</vt:i4>
      </vt:variant>
      <vt:variant>
        <vt:lpwstr/>
      </vt:variant>
      <vt:variant>
        <vt:lpwstr>_Toc467228661</vt:lpwstr>
      </vt:variant>
      <vt:variant>
        <vt:i4>1900599</vt:i4>
      </vt:variant>
      <vt:variant>
        <vt:i4>104</vt:i4>
      </vt:variant>
      <vt:variant>
        <vt:i4>0</vt:i4>
      </vt:variant>
      <vt:variant>
        <vt:i4>5</vt:i4>
      </vt:variant>
      <vt:variant>
        <vt:lpwstr/>
      </vt:variant>
      <vt:variant>
        <vt:lpwstr>_Toc467228660</vt:lpwstr>
      </vt:variant>
      <vt:variant>
        <vt:i4>1966135</vt:i4>
      </vt:variant>
      <vt:variant>
        <vt:i4>98</vt:i4>
      </vt:variant>
      <vt:variant>
        <vt:i4>0</vt:i4>
      </vt:variant>
      <vt:variant>
        <vt:i4>5</vt:i4>
      </vt:variant>
      <vt:variant>
        <vt:lpwstr/>
      </vt:variant>
      <vt:variant>
        <vt:lpwstr>_Toc467228659</vt:lpwstr>
      </vt:variant>
      <vt:variant>
        <vt:i4>1966135</vt:i4>
      </vt:variant>
      <vt:variant>
        <vt:i4>92</vt:i4>
      </vt:variant>
      <vt:variant>
        <vt:i4>0</vt:i4>
      </vt:variant>
      <vt:variant>
        <vt:i4>5</vt:i4>
      </vt:variant>
      <vt:variant>
        <vt:lpwstr/>
      </vt:variant>
      <vt:variant>
        <vt:lpwstr>_Toc467228658</vt:lpwstr>
      </vt:variant>
      <vt:variant>
        <vt:i4>1966135</vt:i4>
      </vt:variant>
      <vt:variant>
        <vt:i4>86</vt:i4>
      </vt:variant>
      <vt:variant>
        <vt:i4>0</vt:i4>
      </vt:variant>
      <vt:variant>
        <vt:i4>5</vt:i4>
      </vt:variant>
      <vt:variant>
        <vt:lpwstr/>
      </vt:variant>
      <vt:variant>
        <vt:lpwstr>_Toc467228657</vt:lpwstr>
      </vt:variant>
      <vt:variant>
        <vt:i4>1966135</vt:i4>
      </vt:variant>
      <vt:variant>
        <vt:i4>80</vt:i4>
      </vt:variant>
      <vt:variant>
        <vt:i4>0</vt:i4>
      </vt:variant>
      <vt:variant>
        <vt:i4>5</vt:i4>
      </vt:variant>
      <vt:variant>
        <vt:lpwstr/>
      </vt:variant>
      <vt:variant>
        <vt:lpwstr>_Toc467228656</vt:lpwstr>
      </vt:variant>
      <vt:variant>
        <vt:i4>1966135</vt:i4>
      </vt:variant>
      <vt:variant>
        <vt:i4>74</vt:i4>
      </vt:variant>
      <vt:variant>
        <vt:i4>0</vt:i4>
      </vt:variant>
      <vt:variant>
        <vt:i4>5</vt:i4>
      </vt:variant>
      <vt:variant>
        <vt:lpwstr/>
      </vt:variant>
      <vt:variant>
        <vt:lpwstr>_Toc467228655</vt:lpwstr>
      </vt:variant>
      <vt:variant>
        <vt:i4>1966135</vt:i4>
      </vt:variant>
      <vt:variant>
        <vt:i4>68</vt:i4>
      </vt:variant>
      <vt:variant>
        <vt:i4>0</vt:i4>
      </vt:variant>
      <vt:variant>
        <vt:i4>5</vt:i4>
      </vt:variant>
      <vt:variant>
        <vt:lpwstr/>
      </vt:variant>
      <vt:variant>
        <vt:lpwstr>_Toc467228654</vt:lpwstr>
      </vt:variant>
      <vt:variant>
        <vt:i4>1966135</vt:i4>
      </vt:variant>
      <vt:variant>
        <vt:i4>62</vt:i4>
      </vt:variant>
      <vt:variant>
        <vt:i4>0</vt:i4>
      </vt:variant>
      <vt:variant>
        <vt:i4>5</vt:i4>
      </vt:variant>
      <vt:variant>
        <vt:lpwstr/>
      </vt:variant>
      <vt:variant>
        <vt:lpwstr>_Toc467228653</vt:lpwstr>
      </vt:variant>
      <vt:variant>
        <vt:i4>1966135</vt:i4>
      </vt:variant>
      <vt:variant>
        <vt:i4>56</vt:i4>
      </vt:variant>
      <vt:variant>
        <vt:i4>0</vt:i4>
      </vt:variant>
      <vt:variant>
        <vt:i4>5</vt:i4>
      </vt:variant>
      <vt:variant>
        <vt:lpwstr/>
      </vt:variant>
      <vt:variant>
        <vt:lpwstr>_Toc467228652</vt:lpwstr>
      </vt:variant>
      <vt:variant>
        <vt:i4>1966135</vt:i4>
      </vt:variant>
      <vt:variant>
        <vt:i4>50</vt:i4>
      </vt:variant>
      <vt:variant>
        <vt:i4>0</vt:i4>
      </vt:variant>
      <vt:variant>
        <vt:i4>5</vt:i4>
      </vt:variant>
      <vt:variant>
        <vt:lpwstr/>
      </vt:variant>
      <vt:variant>
        <vt:lpwstr>_Toc467228651</vt:lpwstr>
      </vt:variant>
      <vt:variant>
        <vt:i4>1966135</vt:i4>
      </vt:variant>
      <vt:variant>
        <vt:i4>44</vt:i4>
      </vt:variant>
      <vt:variant>
        <vt:i4>0</vt:i4>
      </vt:variant>
      <vt:variant>
        <vt:i4>5</vt:i4>
      </vt:variant>
      <vt:variant>
        <vt:lpwstr/>
      </vt:variant>
      <vt:variant>
        <vt:lpwstr>_Toc467228650</vt:lpwstr>
      </vt:variant>
      <vt:variant>
        <vt:i4>2031671</vt:i4>
      </vt:variant>
      <vt:variant>
        <vt:i4>38</vt:i4>
      </vt:variant>
      <vt:variant>
        <vt:i4>0</vt:i4>
      </vt:variant>
      <vt:variant>
        <vt:i4>5</vt:i4>
      </vt:variant>
      <vt:variant>
        <vt:lpwstr/>
      </vt:variant>
      <vt:variant>
        <vt:lpwstr>_Toc467228649</vt:lpwstr>
      </vt:variant>
      <vt:variant>
        <vt:i4>2031671</vt:i4>
      </vt:variant>
      <vt:variant>
        <vt:i4>32</vt:i4>
      </vt:variant>
      <vt:variant>
        <vt:i4>0</vt:i4>
      </vt:variant>
      <vt:variant>
        <vt:i4>5</vt:i4>
      </vt:variant>
      <vt:variant>
        <vt:lpwstr/>
      </vt:variant>
      <vt:variant>
        <vt:lpwstr>_Toc467228648</vt:lpwstr>
      </vt:variant>
      <vt:variant>
        <vt:i4>2031671</vt:i4>
      </vt:variant>
      <vt:variant>
        <vt:i4>26</vt:i4>
      </vt:variant>
      <vt:variant>
        <vt:i4>0</vt:i4>
      </vt:variant>
      <vt:variant>
        <vt:i4>5</vt:i4>
      </vt:variant>
      <vt:variant>
        <vt:lpwstr/>
      </vt:variant>
      <vt:variant>
        <vt:lpwstr>_Toc467228647</vt:lpwstr>
      </vt:variant>
      <vt:variant>
        <vt:i4>2031671</vt:i4>
      </vt:variant>
      <vt:variant>
        <vt:i4>20</vt:i4>
      </vt:variant>
      <vt:variant>
        <vt:i4>0</vt:i4>
      </vt:variant>
      <vt:variant>
        <vt:i4>5</vt:i4>
      </vt:variant>
      <vt:variant>
        <vt:lpwstr/>
      </vt:variant>
      <vt:variant>
        <vt:lpwstr>_Toc467228646</vt:lpwstr>
      </vt:variant>
      <vt:variant>
        <vt:i4>2031671</vt:i4>
      </vt:variant>
      <vt:variant>
        <vt:i4>14</vt:i4>
      </vt:variant>
      <vt:variant>
        <vt:i4>0</vt:i4>
      </vt:variant>
      <vt:variant>
        <vt:i4>5</vt:i4>
      </vt:variant>
      <vt:variant>
        <vt:lpwstr/>
      </vt:variant>
      <vt:variant>
        <vt:lpwstr>_Toc467228645</vt:lpwstr>
      </vt:variant>
      <vt:variant>
        <vt:i4>2031671</vt:i4>
      </vt:variant>
      <vt:variant>
        <vt:i4>8</vt:i4>
      </vt:variant>
      <vt:variant>
        <vt:i4>0</vt:i4>
      </vt:variant>
      <vt:variant>
        <vt:i4>5</vt:i4>
      </vt:variant>
      <vt:variant>
        <vt:lpwstr/>
      </vt:variant>
      <vt:variant>
        <vt:lpwstr>_Toc467228644</vt:lpwstr>
      </vt:variant>
      <vt:variant>
        <vt:i4>2031671</vt:i4>
      </vt:variant>
      <vt:variant>
        <vt:i4>2</vt:i4>
      </vt:variant>
      <vt:variant>
        <vt:i4>0</vt:i4>
      </vt:variant>
      <vt:variant>
        <vt:i4>5</vt:i4>
      </vt:variant>
      <vt:variant>
        <vt:lpwstr/>
      </vt:variant>
      <vt:variant>
        <vt:lpwstr>_Toc467228643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Aniara Bernardina Mejía López</dc:creator>
  <cp:lastModifiedBy>calopez</cp:lastModifiedBy>
  <cp:revision>2</cp:revision>
  <dcterms:created xsi:type="dcterms:W3CDTF">2017-01-20T16:11:00Z</dcterms:created>
  <dcterms:modified xsi:type="dcterms:W3CDTF">2017-01-20T16:11:00Z</dcterms:modified>
</cp:coreProperties>
</file>