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9B" w:rsidRDefault="003A649B" w:rsidP="003A649B">
      <w:pPr>
        <w:spacing w:line="360" w:lineRule="auto"/>
      </w:pPr>
      <w:bookmarkStart w:id="0" w:name="_GoBack"/>
      <w:bookmarkEnd w:id="0"/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  <w:r>
        <w:rPr>
          <w:b/>
          <w:sz w:val="32"/>
          <w:szCs w:val="28"/>
          <w:lang w:val="es-SV"/>
        </w:rPr>
        <w:t>CÓDIGO DE ÉTICA</w:t>
      </w: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b/>
          <w:sz w:val="32"/>
          <w:szCs w:val="28"/>
          <w:lang w:val="es-SV"/>
        </w:rPr>
      </w:pPr>
    </w:p>
    <w:p w:rsidR="003A649B" w:rsidRPr="003A649B" w:rsidRDefault="003A649B" w:rsidP="003A649B">
      <w:pPr>
        <w:spacing w:line="360" w:lineRule="auto"/>
        <w:ind w:left="540"/>
        <w:jc w:val="right"/>
        <w:rPr>
          <w:b/>
          <w:color w:val="000000"/>
          <w:sz w:val="32"/>
        </w:rPr>
      </w:pPr>
      <w:r w:rsidRPr="00997B21">
        <w:rPr>
          <w:b/>
          <w:color w:val="000000"/>
          <w:sz w:val="32"/>
        </w:rPr>
        <w:t>Antiguo Cuscatlán, 10.09.2014</w:t>
      </w:r>
    </w:p>
    <w:p w:rsidR="003A649B" w:rsidRDefault="003A649B" w:rsidP="003A649B">
      <w:pPr>
        <w:spacing w:line="360" w:lineRule="auto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6E0B3920" wp14:editId="3F9B755D">
            <wp:simplePos x="0" y="0"/>
            <wp:positionH relativeFrom="margin">
              <wp:align>center</wp:align>
            </wp:positionH>
            <wp:positionV relativeFrom="margin">
              <wp:posOffset>326390</wp:posOffset>
            </wp:positionV>
            <wp:extent cx="3749675" cy="891540"/>
            <wp:effectExtent l="0" t="0" r="3175" b="3810"/>
            <wp:wrapTopAndBottom/>
            <wp:docPr id="2" name="Picture 5" descr="logo i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n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A649B" w:rsidRDefault="003A649B" w:rsidP="003A649B">
      <w:pPr>
        <w:spacing w:line="360" w:lineRule="auto"/>
      </w:pPr>
    </w:p>
    <w:p w:rsidR="003A649B" w:rsidRDefault="003A649B" w:rsidP="003A649B">
      <w:pPr>
        <w:spacing w:line="360" w:lineRule="auto"/>
        <w:rPr>
          <w:lang w:val="es-SV"/>
        </w:rPr>
      </w:pPr>
    </w:p>
    <w:sdt>
      <w:sdtPr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s-ES" w:eastAsia="es-ES"/>
        </w:rPr>
        <w:id w:val="18445953"/>
        <w:docPartObj>
          <w:docPartGallery w:val="Table of Contents"/>
          <w:docPartUnique/>
        </w:docPartObj>
      </w:sdtPr>
      <w:sdtEndPr/>
      <w:sdtContent>
        <w:p w:rsidR="003A649B" w:rsidRPr="003A649B" w:rsidRDefault="003A649B" w:rsidP="003A649B">
          <w:pPr>
            <w:pStyle w:val="TtulodeTDC"/>
            <w:jc w:val="center"/>
            <w:rPr>
              <w:color w:val="auto"/>
              <w:lang w:val="es-ES"/>
            </w:rPr>
          </w:pPr>
          <w:r w:rsidRPr="003A649B">
            <w:rPr>
              <w:color w:val="auto"/>
              <w:lang w:val="es-ES"/>
            </w:rPr>
            <w:t>ÍNDICE</w:t>
          </w:r>
        </w:p>
        <w:p w:rsidR="003A649B" w:rsidRPr="003A649B" w:rsidRDefault="003A649B" w:rsidP="003A649B">
          <w:pPr>
            <w:rPr>
              <w:lang w:eastAsia="es-SV"/>
            </w:rPr>
          </w:pPr>
        </w:p>
        <w:p w:rsidR="001B1603" w:rsidRDefault="003A649B">
          <w:pPr>
            <w:pStyle w:val="TD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8736937" w:history="1">
            <w:r w:rsidR="001B1603" w:rsidRPr="008A2360">
              <w:rPr>
                <w:rStyle w:val="Hipervnculo"/>
                <w:noProof/>
              </w:rPr>
              <w:t>I.</w:t>
            </w:r>
            <w:r w:rsidR="001B16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SV" w:eastAsia="es-SV"/>
              </w:rPr>
              <w:tab/>
            </w:r>
            <w:r w:rsidR="001B1603" w:rsidRPr="008A2360">
              <w:rPr>
                <w:rStyle w:val="Hipervnculo"/>
                <w:noProof/>
              </w:rPr>
              <w:t>OBJETIVO DEL MANUAL</w:t>
            </w:r>
            <w:r w:rsidR="001B1603">
              <w:rPr>
                <w:noProof/>
                <w:webHidden/>
              </w:rPr>
              <w:tab/>
            </w:r>
            <w:r w:rsidR="001B1603">
              <w:rPr>
                <w:noProof/>
                <w:webHidden/>
              </w:rPr>
              <w:fldChar w:fldCharType="begin"/>
            </w:r>
            <w:r w:rsidR="001B1603">
              <w:rPr>
                <w:noProof/>
                <w:webHidden/>
              </w:rPr>
              <w:instrText xml:space="preserve"> PAGEREF _Toc398736937 \h </w:instrText>
            </w:r>
            <w:r w:rsidR="001B1603">
              <w:rPr>
                <w:noProof/>
                <w:webHidden/>
              </w:rPr>
            </w:r>
            <w:r w:rsidR="001B1603">
              <w:rPr>
                <w:noProof/>
                <w:webHidden/>
              </w:rPr>
              <w:fldChar w:fldCharType="separate"/>
            </w:r>
            <w:r w:rsidR="00EB6FBF">
              <w:rPr>
                <w:noProof/>
                <w:webHidden/>
              </w:rPr>
              <w:t>3</w:t>
            </w:r>
            <w:r w:rsidR="001B1603">
              <w:rPr>
                <w:noProof/>
                <w:webHidden/>
              </w:rPr>
              <w:fldChar w:fldCharType="end"/>
            </w:r>
          </w:hyperlink>
        </w:p>
        <w:p w:rsidR="001B1603" w:rsidRDefault="00EB6FBF">
          <w:pPr>
            <w:pStyle w:val="TD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98736938" w:history="1">
            <w:r w:rsidR="001B1603" w:rsidRPr="008A2360">
              <w:rPr>
                <w:rStyle w:val="Hipervnculo"/>
                <w:noProof/>
              </w:rPr>
              <w:t>II.</w:t>
            </w:r>
            <w:r w:rsidR="001B16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SV" w:eastAsia="es-SV"/>
              </w:rPr>
              <w:tab/>
            </w:r>
            <w:r w:rsidR="001B1603" w:rsidRPr="008A2360">
              <w:rPr>
                <w:rStyle w:val="Hipervnculo"/>
                <w:noProof/>
              </w:rPr>
              <w:t>ALCANCE DEL MANUAL</w:t>
            </w:r>
            <w:r w:rsidR="001B1603">
              <w:rPr>
                <w:noProof/>
                <w:webHidden/>
              </w:rPr>
              <w:tab/>
            </w:r>
            <w:r w:rsidR="001B1603">
              <w:rPr>
                <w:noProof/>
                <w:webHidden/>
              </w:rPr>
              <w:fldChar w:fldCharType="begin"/>
            </w:r>
            <w:r w:rsidR="001B1603">
              <w:rPr>
                <w:noProof/>
                <w:webHidden/>
              </w:rPr>
              <w:instrText xml:space="preserve"> PAGEREF _Toc398736938 \h </w:instrText>
            </w:r>
            <w:r w:rsidR="001B1603">
              <w:rPr>
                <w:noProof/>
                <w:webHidden/>
              </w:rPr>
            </w:r>
            <w:r w:rsidR="001B160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B1603">
              <w:rPr>
                <w:noProof/>
                <w:webHidden/>
              </w:rPr>
              <w:fldChar w:fldCharType="end"/>
            </w:r>
          </w:hyperlink>
        </w:p>
        <w:p w:rsidR="001B1603" w:rsidRDefault="00EB6FBF">
          <w:pPr>
            <w:pStyle w:val="TD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98736939" w:history="1">
            <w:r w:rsidR="001B1603" w:rsidRPr="008A2360">
              <w:rPr>
                <w:rStyle w:val="Hipervnculo"/>
                <w:noProof/>
              </w:rPr>
              <w:t>III.</w:t>
            </w:r>
            <w:r w:rsidR="001B16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SV" w:eastAsia="es-SV"/>
              </w:rPr>
              <w:tab/>
            </w:r>
            <w:r w:rsidR="001B1603" w:rsidRPr="008A2360">
              <w:rPr>
                <w:rStyle w:val="Hipervnculo"/>
                <w:noProof/>
              </w:rPr>
              <w:t>RESPONSABILIDADES</w:t>
            </w:r>
            <w:r w:rsidR="001B1603">
              <w:rPr>
                <w:noProof/>
                <w:webHidden/>
              </w:rPr>
              <w:tab/>
            </w:r>
            <w:r w:rsidR="001B1603">
              <w:rPr>
                <w:noProof/>
                <w:webHidden/>
              </w:rPr>
              <w:fldChar w:fldCharType="begin"/>
            </w:r>
            <w:r w:rsidR="001B1603">
              <w:rPr>
                <w:noProof/>
                <w:webHidden/>
              </w:rPr>
              <w:instrText xml:space="preserve"> PAGEREF _Toc398736939 \h </w:instrText>
            </w:r>
            <w:r w:rsidR="001B1603">
              <w:rPr>
                <w:noProof/>
                <w:webHidden/>
              </w:rPr>
            </w:r>
            <w:r w:rsidR="001B160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B1603">
              <w:rPr>
                <w:noProof/>
                <w:webHidden/>
              </w:rPr>
              <w:fldChar w:fldCharType="end"/>
            </w:r>
          </w:hyperlink>
        </w:p>
        <w:p w:rsidR="001B1603" w:rsidRDefault="00EB6FBF">
          <w:pPr>
            <w:pStyle w:val="TD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98736940" w:history="1">
            <w:r w:rsidR="001B1603" w:rsidRPr="008A2360">
              <w:rPr>
                <w:rStyle w:val="Hipervnculo"/>
                <w:noProof/>
              </w:rPr>
              <w:t>IV.</w:t>
            </w:r>
            <w:r w:rsidR="001B16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SV" w:eastAsia="es-SV"/>
              </w:rPr>
              <w:tab/>
            </w:r>
            <w:r w:rsidR="001B1603" w:rsidRPr="008A2360">
              <w:rPr>
                <w:rStyle w:val="Hipervnculo"/>
                <w:noProof/>
              </w:rPr>
              <w:t>BASE LEGAL</w:t>
            </w:r>
            <w:r w:rsidR="001B1603">
              <w:rPr>
                <w:noProof/>
                <w:webHidden/>
              </w:rPr>
              <w:tab/>
            </w:r>
            <w:r w:rsidR="001B1603">
              <w:rPr>
                <w:noProof/>
                <w:webHidden/>
              </w:rPr>
              <w:fldChar w:fldCharType="begin"/>
            </w:r>
            <w:r w:rsidR="001B1603">
              <w:rPr>
                <w:noProof/>
                <w:webHidden/>
              </w:rPr>
              <w:instrText xml:space="preserve"> PAGEREF _Toc398736940 \h </w:instrText>
            </w:r>
            <w:r w:rsidR="001B1603">
              <w:rPr>
                <w:noProof/>
                <w:webHidden/>
              </w:rPr>
            </w:r>
            <w:r w:rsidR="001B160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B1603">
              <w:rPr>
                <w:noProof/>
                <w:webHidden/>
              </w:rPr>
              <w:fldChar w:fldCharType="end"/>
            </w:r>
          </w:hyperlink>
        </w:p>
        <w:p w:rsidR="001B1603" w:rsidRDefault="00EB6FBF">
          <w:pPr>
            <w:pStyle w:val="TD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398736941" w:history="1">
            <w:r w:rsidR="001B1603" w:rsidRPr="008A2360">
              <w:rPr>
                <w:rStyle w:val="Hipervnculo"/>
                <w:noProof/>
              </w:rPr>
              <w:t>V.</w:t>
            </w:r>
            <w:r w:rsidR="001B160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SV" w:eastAsia="es-SV"/>
              </w:rPr>
              <w:tab/>
            </w:r>
            <w:r w:rsidR="001B1603" w:rsidRPr="008A2360">
              <w:rPr>
                <w:rStyle w:val="Hipervnculo"/>
                <w:noProof/>
              </w:rPr>
              <w:t>DESARROLLO</w:t>
            </w:r>
            <w:r w:rsidR="001B1603">
              <w:rPr>
                <w:noProof/>
                <w:webHidden/>
              </w:rPr>
              <w:tab/>
            </w:r>
            <w:r w:rsidR="001B1603">
              <w:rPr>
                <w:noProof/>
                <w:webHidden/>
              </w:rPr>
              <w:fldChar w:fldCharType="begin"/>
            </w:r>
            <w:r w:rsidR="001B1603">
              <w:rPr>
                <w:noProof/>
                <w:webHidden/>
              </w:rPr>
              <w:instrText xml:space="preserve"> PAGEREF _Toc398736941 \h </w:instrText>
            </w:r>
            <w:r w:rsidR="001B1603">
              <w:rPr>
                <w:noProof/>
                <w:webHidden/>
              </w:rPr>
            </w:r>
            <w:r w:rsidR="001B160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B1603">
              <w:rPr>
                <w:noProof/>
                <w:webHidden/>
              </w:rPr>
              <w:fldChar w:fldCharType="end"/>
            </w:r>
          </w:hyperlink>
        </w:p>
        <w:p w:rsidR="003A649B" w:rsidRDefault="003A649B">
          <w:r>
            <w:rPr>
              <w:b/>
              <w:bCs/>
            </w:rPr>
            <w:fldChar w:fldCharType="end"/>
          </w:r>
        </w:p>
      </w:sdtContent>
    </w:sdt>
    <w:p w:rsidR="003A649B" w:rsidRPr="00E24636" w:rsidRDefault="003A649B" w:rsidP="003A649B">
      <w:pPr>
        <w:spacing w:line="360" w:lineRule="auto"/>
        <w:rPr>
          <w:lang w:val="es-SV"/>
        </w:rPr>
      </w:pPr>
    </w:p>
    <w:p w:rsidR="003A649B" w:rsidRPr="00E24636" w:rsidRDefault="003A649B" w:rsidP="003A649B">
      <w:pPr>
        <w:spacing w:line="360" w:lineRule="auto"/>
        <w:rPr>
          <w:lang w:val="es-SV"/>
        </w:rPr>
      </w:pPr>
    </w:p>
    <w:p w:rsidR="003A649B" w:rsidRPr="00E24636" w:rsidRDefault="003A649B" w:rsidP="003A649B">
      <w:pPr>
        <w:spacing w:line="360" w:lineRule="auto"/>
        <w:rPr>
          <w:lang w:val="es-SV"/>
        </w:rPr>
      </w:pPr>
    </w:p>
    <w:p w:rsidR="003A649B" w:rsidRPr="00E24636" w:rsidRDefault="003A649B" w:rsidP="003A649B">
      <w:pPr>
        <w:spacing w:line="360" w:lineRule="auto"/>
        <w:rPr>
          <w:lang w:val="es-SV"/>
        </w:rPr>
      </w:pPr>
    </w:p>
    <w:p w:rsidR="003A649B" w:rsidRPr="00E24636" w:rsidRDefault="003A649B" w:rsidP="003A649B">
      <w:pPr>
        <w:spacing w:line="360" w:lineRule="auto"/>
        <w:rPr>
          <w:lang w:val="es-SV"/>
        </w:rPr>
      </w:pPr>
    </w:p>
    <w:p w:rsidR="003A649B" w:rsidRDefault="003A649B" w:rsidP="003A649B">
      <w:pPr>
        <w:spacing w:line="360" w:lineRule="auto"/>
        <w:rPr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jc w:val="center"/>
        <w:rPr>
          <w:sz w:val="32"/>
          <w:szCs w:val="28"/>
          <w:lang w:val="es-SV"/>
        </w:rPr>
      </w:pPr>
    </w:p>
    <w:p w:rsidR="003A649B" w:rsidRDefault="003A649B" w:rsidP="003A649B">
      <w:pPr>
        <w:spacing w:line="360" w:lineRule="auto"/>
        <w:rPr>
          <w:rFonts w:ascii="Calibri" w:hAnsi="Calibri"/>
          <w:lang w:val="es-SV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1B1603" w:rsidRDefault="001B1603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A649B" w:rsidRDefault="003A649B" w:rsidP="003A649B">
      <w:pPr>
        <w:spacing w:line="360" w:lineRule="auto"/>
        <w:ind w:left="540"/>
        <w:rPr>
          <w:rFonts w:ascii="Arial" w:hAnsi="Arial" w:cs="Arial"/>
          <w:b/>
          <w:color w:val="000000"/>
        </w:rPr>
      </w:pPr>
    </w:p>
    <w:p w:rsidR="003B4110" w:rsidRPr="003A649B" w:rsidRDefault="001B1603" w:rsidP="003A649B">
      <w:pPr>
        <w:pStyle w:val="Ttulo1"/>
        <w:numPr>
          <w:ilvl w:val="0"/>
          <w:numId w:val="18"/>
        </w:numPr>
      </w:pPr>
      <w:bookmarkStart w:id="1" w:name="_Toc398736937"/>
      <w:r>
        <w:rPr>
          <w:caps w:val="0"/>
        </w:rPr>
        <w:lastRenderedPageBreak/>
        <w:t>O</w:t>
      </w:r>
      <w:r w:rsidRPr="003A649B">
        <w:rPr>
          <w:caps w:val="0"/>
        </w:rPr>
        <w:t>BJETIVO</w:t>
      </w:r>
      <w:r>
        <w:rPr>
          <w:caps w:val="0"/>
        </w:rPr>
        <w:t xml:space="preserve"> DEL MANUAL</w:t>
      </w:r>
      <w:bookmarkEnd w:id="1"/>
    </w:p>
    <w:p w:rsidR="00D06294" w:rsidRPr="00C37615" w:rsidRDefault="00C4591F" w:rsidP="00D06294">
      <w:pPr>
        <w:rPr>
          <w:lang w:val="es-SV"/>
        </w:rPr>
      </w:pPr>
      <w:r w:rsidRPr="00C37615">
        <w:rPr>
          <w:lang w:val="es-SV"/>
        </w:rPr>
        <w:t>Enunciar las normas de conducta orientadas a mantener y demostrar integridad y valores éticos en el cumplimiento de los deberes y obligaciones de los funcionarios y servidores públicos del INSTITUTO SALVADOREÑO DE FORMACIÓN PROFESIONAL</w:t>
      </w:r>
      <w:r w:rsidR="003F578A" w:rsidRPr="00C37615">
        <w:rPr>
          <w:lang w:val="es-SV"/>
        </w:rPr>
        <w:t>-INSAFORP</w:t>
      </w:r>
      <w:r w:rsidRPr="00C37615">
        <w:rPr>
          <w:lang w:val="es-SV"/>
        </w:rPr>
        <w:t>.</w:t>
      </w:r>
    </w:p>
    <w:p w:rsidR="00C70521" w:rsidRPr="003A649B" w:rsidRDefault="001B1603" w:rsidP="003A649B">
      <w:pPr>
        <w:pStyle w:val="Ttulo1"/>
        <w:numPr>
          <w:ilvl w:val="0"/>
          <w:numId w:val="18"/>
        </w:numPr>
      </w:pPr>
      <w:bookmarkStart w:id="2" w:name="_Toc398736938"/>
      <w:r w:rsidRPr="003A649B">
        <w:rPr>
          <w:caps w:val="0"/>
        </w:rPr>
        <w:t>ALCANCE</w:t>
      </w:r>
      <w:r>
        <w:rPr>
          <w:caps w:val="0"/>
        </w:rPr>
        <w:t xml:space="preserve"> DEL MANUAL</w:t>
      </w:r>
      <w:bookmarkEnd w:id="2"/>
    </w:p>
    <w:p w:rsidR="00027C88" w:rsidRPr="00C37615" w:rsidRDefault="00C4591F" w:rsidP="001B1603">
      <w:pPr>
        <w:rPr>
          <w:b/>
          <w:caps/>
        </w:rPr>
      </w:pPr>
      <w:bookmarkStart w:id="3" w:name="_Toc398729648"/>
      <w:r w:rsidRPr="00C37615">
        <w:t>El presente Código de Ética será de obligatorio cumplimiento para el Consejo Directivo, la Dirección y Subdirección Ejecutiva, niveles Gerenciales, Jefaturas y todo el personal del INSAFORP.</w:t>
      </w:r>
      <w:bookmarkEnd w:id="3"/>
      <w:r w:rsidR="00706FF0" w:rsidRPr="00C37615">
        <w:t xml:space="preserve"> </w:t>
      </w:r>
    </w:p>
    <w:p w:rsidR="003B4110" w:rsidRPr="003A649B" w:rsidRDefault="001B1603" w:rsidP="003A649B">
      <w:pPr>
        <w:pStyle w:val="Ttulo1"/>
        <w:numPr>
          <w:ilvl w:val="0"/>
          <w:numId w:val="18"/>
        </w:numPr>
      </w:pPr>
      <w:bookmarkStart w:id="4" w:name="_Toc398736939"/>
      <w:r w:rsidRPr="003A649B">
        <w:rPr>
          <w:caps w:val="0"/>
        </w:rPr>
        <w:t>RESPONSABILIDADES</w:t>
      </w:r>
      <w:bookmarkEnd w:id="4"/>
    </w:p>
    <w:p w:rsidR="003B4110" w:rsidRPr="00C37615" w:rsidRDefault="00C4591F" w:rsidP="003A649B">
      <w:pPr>
        <w:numPr>
          <w:ilvl w:val="1"/>
          <w:numId w:val="15"/>
        </w:numPr>
        <w:tabs>
          <w:tab w:val="left" w:pos="935"/>
        </w:tabs>
        <w:spacing w:before="100" w:beforeAutospacing="1"/>
      </w:pPr>
      <w:r w:rsidRPr="00C37615">
        <w:t>El Consejo Directivo será el responsable de aprobar el Código de Ética y sus actualizaciones.</w:t>
      </w:r>
    </w:p>
    <w:p w:rsidR="00C4591F" w:rsidRPr="00C37615" w:rsidRDefault="00C4591F" w:rsidP="003A649B">
      <w:pPr>
        <w:numPr>
          <w:ilvl w:val="1"/>
          <w:numId w:val="15"/>
        </w:numPr>
        <w:tabs>
          <w:tab w:val="left" w:pos="935"/>
        </w:tabs>
        <w:spacing w:before="100" w:beforeAutospacing="1"/>
      </w:pPr>
      <w:r w:rsidRPr="00C37615">
        <w:t>La Dirección Ejecutiva deberá programar y ejecutar reuniones dirigidas a difundir y sensibilizar a todo el personal sobre el contenido del Código de Ética, el cual estará disponible a través de los diferentes medios institucionales.</w:t>
      </w:r>
    </w:p>
    <w:p w:rsidR="003B4110" w:rsidRPr="003A649B" w:rsidRDefault="00D06294" w:rsidP="003A649B">
      <w:pPr>
        <w:pStyle w:val="Ttulo1"/>
        <w:numPr>
          <w:ilvl w:val="0"/>
          <w:numId w:val="18"/>
        </w:numPr>
      </w:pPr>
      <w:bookmarkStart w:id="5" w:name="_Toc398736940"/>
      <w:r w:rsidRPr="003A649B">
        <w:t>BASE LEGAL</w:t>
      </w:r>
      <w:bookmarkEnd w:id="5"/>
    </w:p>
    <w:p w:rsidR="0054576A" w:rsidRPr="00C37615" w:rsidRDefault="0054576A" w:rsidP="003A649B">
      <w:pPr>
        <w:numPr>
          <w:ilvl w:val="1"/>
          <w:numId w:val="16"/>
        </w:numPr>
        <w:spacing w:before="100" w:beforeAutospacing="1"/>
      </w:pPr>
      <w:r w:rsidRPr="00C37615">
        <w:t xml:space="preserve">La Ley de Ética Gubernamental, promulgada mediante Decreto Legislativo número </w:t>
      </w:r>
      <w:r w:rsidR="003F578A" w:rsidRPr="00C37615">
        <w:t>873</w:t>
      </w:r>
      <w:r w:rsidRPr="00C37615">
        <w:t xml:space="preserve">, de fecha </w:t>
      </w:r>
      <w:r w:rsidR="003F578A" w:rsidRPr="00C37615">
        <w:t>13</w:t>
      </w:r>
      <w:r w:rsidRPr="00C37615">
        <w:t xml:space="preserve"> de </w:t>
      </w:r>
      <w:r w:rsidR="003F578A" w:rsidRPr="00C37615">
        <w:t>octubre</w:t>
      </w:r>
      <w:r w:rsidRPr="00C37615">
        <w:t xml:space="preserve"> de 20</w:t>
      </w:r>
      <w:r w:rsidR="003F578A" w:rsidRPr="00C37615">
        <w:t>11</w:t>
      </w:r>
      <w:r w:rsidRPr="00C37615">
        <w:t xml:space="preserve">, la cual entró en vigencia el día </w:t>
      </w:r>
      <w:r w:rsidR="003F578A" w:rsidRPr="00C37615">
        <w:t>1</w:t>
      </w:r>
      <w:r w:rsidRPr="00C37615">
        <w:t xml:space="preserve"> de </w:t>
      </w:r>
      <w:r w:rsidR="003F578A" w:rsidRPr="00C37615">
        <w:t>enero</w:t>
      </w:r>
      <w:r w:rsidRPr="00C37615">
        <w:t xml:space="preserve"> del año</w:t>
      </w:r>
      <w:r w:rsidR="003F578A" w:rsidRPr="00C37615">
        <w:t xml:space="preserve"> 2012</w:t>
      </w:r>
      <w:r w:rsidRPr="00C37615">
        <w:t>.</w:t>
      </w:r>
    </w:p>
    <w:p w:rsidR="003F1D8E" w:rsidRPr="00187F0E" w:rsidRDefault="0054576A" w:rsidP="003A649B">
      <w:pPr>
        <w:numPr>
          <w:ilvl w:val="1"/>
          <w:numId w:val="16"/>
        </w:numPr>
        <w:spacing w:before="100" w:beforeAutospacing="1"/>
      </w:pPr>
      <w:r w:rsidRPr="00187F0E">
        <w:t xml:space="preserve">El artículo 8 del Reglamento de Normas Técnicas de Control Interno específicas del INSTITUTO SALVADOREÑO DE FORMACIÓN PROFESIONAL, INSAFORP, promulgadas mediante Decreto de Corte de Cuentas de la República número </w:t>
      </w:r>
      <w:r w:rsidR="003F578A" w:rsidRPr="00187F0E">
        <w:t>12</w:t>
      </w:r>
      <w:r w:rsidRPr="00187F0E">
        <w:t xml:space="preserve"> de fecha </w:t>
      </w:r>
      <w:r w:rsidR="003F578A" w:rsidRPr="00187F0E">
        <w:t xml:space="preserve">13 </w:t>
      </w:r>
      <w:r w:rsidRPr="00187F0E">
        <w:t>de ma</w:t>
      </w:r>
      <w:r w:rsidR="003F578A" w:rsidRPr="00187F0E">
        <w:t>rzo</w:t>
      </w:r>
      <w:r w:rsidRPr="00187F0E">
        <w:t xml:space="preserve"> del año 20</w:t>
      </w:r>
      <w:r w:rsidR="003F578A" w:rsidRPr="00187F0E">
        <w:t>12</w:t>
      </w:r>
      <w:r w:rsidRPr="00187F0E">
        <w:t xml:space="preserve">, publicado en el Diario Oficial número </w:t>
      </w:r>
      <w:r w:rsidR="003F578A" w:rsidRPr="00187F0E">
        <w:t>62</w:t>
      </w:r>
      <w:r w:rsidRPr="00187F0E">
        <w:t xml:space="preserve"> Tomo 3</w:t>
      </w:r>
      <w:r w:rsidR="003F578A" w:rsidRPr="00187F0E">
        <w:t>94</w:t>
      </w:r>
      <w:r w:rsidRPr="00187F0E">
        <w:t xml:space="preserve"> de fecha </w:t>
      </w:r>
      <w:r w:rsidR="003F578A" w:rsidRPr="00187F0E">
        <w:t>29</w:t>
      </w:r>
      <w:r w:rsidRPr="00187F0E">
        <w:t xml:space="preserve"> de </w:t>
      </w:r>
      <w:r w:rsidR="003F578A" w:rsidRPr="00187F0E">
        <w:t>marzo</w:t>
      </w:r>
      <w:r w:rsidRPr="00187F0E">
        <w:t xml:space="preserve"> de 20</w:t>
      </w:r>
      <w:r w:rsidR="003F578A" w:rsidRPr="00187F0E">
        <w:t>12</w:t>
      </w:r>
      <w:r w:rsidRPr="00187F0E">
        <w:t>.</w:t>
      </w:r>
    </w:p>
    <w:p w:rsidR="003B4110" w:rsidRPr="003A649B" w:rsidRDefault="001B1603" w:rsidP="003A649B">
      <w:pPr>
        <w:pStyle w:val="Ttulo1"/>
        <w:numPr>
          <w:ilvl w:val="0"/>
          <w:numId w:val="18"/>
        </w:numPr>
      </w:pPr>
      <w:bookmarkStart w:id="6" w:name="_Toc398736941"/>
      <w:r w:rsidRPr="003A649B">
        <w:rPr>
          <w:caps w:val="0"/>
        </w:rPr>
        <w:t>DESARROLLO</w:t>
      </w:r>
      <w:bookmarkEnd w:id="6"/>
    </w:p>
    <w:p w:rsidR="00622C57" w:rsidRPr="00C37615" w:rsidRDefault="00622C57" w:rsidP="00622C57">
      <w:pPr>
        <w:rPr>
          <w:b/>
        </w:rPr>
      </w:pPr>
      <w:r w:rsidRPr="00C37615">
        <w:rPr>
          <w:b/>
        </w:rPr>
        <w:t>CAPITULO I</w:t>
      </w:r>
      <w:r w:rsidR="003A649B">
        <w:rPr>
          <w:b/>
        </w:rPr>
        <w:t>.</w:t>
      </w:r>
      <w:r w:rsidRPr="00C37615">
        <w:rPr>
          <w:b/>
        </w:rPr>
        <w:t xml:space="preserve"> </w:t>
      </w:r>
      <w:r w:rsidR="003F578A" w:rsidRPr="00C37615">
        <w:rPr>
          <w:b/>
        </w:rPr>
        <w:t xml:space="preserve"> PRINCIPIOS</w:t>
      </w:r>
    </w:p>
    <w:p w:rsidR="00622C57" w:rsidRPr="00C37615" w:rsidRDefault="00622C57" w:rsidP="00622C57"/>
    <w:p w:rsidR="00C37615" w:rsidRPr="00C37615" w:rsidRDefault="00C37615" w:rsidP="00C37615">
      <w:r w:rsidRPr="00C37615">
        <w:rPr>
          <w:b/>
        </w:rPr>
        <w:t>Artículo 1.-</w:t>
      </w:r>
      <w:r w:rsidRPr="00C37615">
        <w:t xml:space="preserve"> </w:t>
      </w:r>
      <w:r>
        <w:t xml:space="preserve"> </w:t>
      </w:r>
      <w:r w:rsidRPr="00C37615">
        <w:t xml:space="preserve">La actuación de los servidores públicos del INSAFORP deberá regirse por los siguientes principios de la ética pública: </w:t>
      </w:r>
    </w:p>
    <w:p w:rsidR="00C37615" w:rsidRPr="00C37615" w:rsidRDefault="00C37615" w:rsidP="00C37615">
      <w:pPr>
        <w:jc w:val="left"/>
      </w:pPr>
    </w:p>
    <w:p w:rsidR="00C37615" w:rsidRPr="00C37615" w:rsidRDefault="00C37615" w:rsidP="003A649B">
      <w:r w:rsidRPr="00C37615">
        <w:rPr>
          <w:b/>
        </w:rPr>
        <w:t>a) Supremacía del Interés Público.</w:t>
      </w:r>
      <w:r w:rsidR="003A649B">
        <w:rPr>
          <w:b/>
        </w:rPr>
        <w:t xml:space="preserve"> </w:t>
      </w:r>
      <w:r w:rsidRPr="00C37615">
        <w:t>Anteponer siempre el interés público sobre el interés privado.</w:t>
      </w:r>
    </w:p>
    <w:p w:rsidR="00C37615" w:rsidRPr="00C37615" w:rsidRDefault="00C37615" w:rsidP="003A649B">
      <w:pPr>
        <w:rPr>
          <w:b/>
        </w:rPr>
      </w:pPr>
    </w:p>
    <w:p w:rsidR="00C37615" w:rsidRPr="00C37615" w:rsidRDefault="00C37615" w:rsidP="003A649B">
      <w:r w:rsidRPr="00C37615">
        <w:rPr>
          <w:b/>
        </w:rPr>
        <w:t>b) Probidad</w:t>
      </w:r>
      <w:r w:rsidR="003A649B">
        <w:rPr>
          <w:b/>
        </w:rPr>
        <w:t xml:space="preserve">. </w:t>
      </w:r>
      <w:r w:rsidRPr="00C37615">
        <w:t xml:space="preserve">Actuar con integridad, rectitud y honradez. </w:t>
      </w:r>
    </w:p>
    <w:p w:rsidR="00C37615" w:rsidRPr="00C37615" w:rsidRDefault="00C37615" w:rsidP="003A649B"/>
    <w:p w:rsidR="00C37615" w:rsidRPr="00C37615" w:rsidRDefault="003A649B" w:rsidP="003A649B">
      <w:r>
        <w:rPr>
          <w:b/>
        </w:rPr>
        <w:t xml:space="preserve">c) Igualdad. </w:t>
      </w:r>
      <w:r w:rsidR="00C37615" w:rsidRPr="00C37615">
        <w:t xml:space="preserve">Tratar a todas las personas por igual en condiciones similares. </w:t>
      </w:r>
    </w:p>
    <w:p w:rsidR="00C37615" w:rsidRPr="00C37615" w:rsidRDefault="00C37615" w:rsidP="003A649B">
      <w:pPr>
        <w:rPr>
          <w:b/>
        </w:rPr>
      </w:pPr>
    </w:p>
    <w:p w:rsidR="00C37615" w:rsidRPr="00C37615" w:rsidRDefault="00C37615" w:rsidP="003A649B">
      <w:r w:rsidRPr="00C37615">
        <w:rPr>
          <w:b/>
        </w:rPr>
        <w:t>d) Imparcialidad</w:t>
      </w:r>
      <w:r w:rsidR="003A649B">
        <w:rPr>
          <w:b/>
        </w:rPr>
        <w:t xml:space="preserve">. </w:t>
      </w:r>
      <w:r w:rsidRPr="00C37615">
        <w:t>Proceder con objetividad en el ejercicio de la función pública.</w:t>
      </w:r>
    </w:p>
    <w:p w:rsidR="00C37615" w:rsidRPr="00C37615" w:rsidRDefault="00C37615" w:rsidP="003A649B">
      <w:pPr>
        <w:rPr>
          <w:b/>
        </w:rPr>
      </w:pPr>
    </w:p>
    <w:p w:rsidR="00C37615" w:rsidRPr="00C37615" w:rsidRDefault="00C37615" w:rsidP="003A649B">
      <w:r w:rsidRPr="00C37615">
        <w:rPr>
          <w:b/>
        </w:rPr>
        <w:lastRenderedPageBreak/>
        <w:t>e) Justicia</w:t>
      </w:r>
      <w:r w:rsidR="003A649B">
        <w:rPr>
          <w:b/>
        </w:rPr>
        <w:t xml:space="preserve">. </w:t>
      </w:r>
      <w:r w:rsidRPr="00C37615">
        <w:t>Dar a cada quien lo que le corresponde, según derecho y razón.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f) Transparencia</w:t>
      </w:r>
      <w:r w:rsidR="003A649B">
        <w:rPr>
          <w:b/>
        </w:rPr>
        <w:t xml:space="preserve">. </w:t>
      </w:r>
      <w:r w:rsidRPr="00C37615">
        <w:t>Actuar de manera accesible para que toda persona natural o jurídica, que tenga interés</w:t>
      </w:r>
      <w:r>
        <w:t xml:space="preserve"> </w:t>
      </w:r>
      <w:r w:rsidRPr="00C37615">
        <w:t>legítimo, pueda conocer si las actuaciones del servidor público son apegadas a la ley, a</w:t>
      </w:r>
      <w:r>
        <w:t xml:space="preserve"> </w:t>
      </w:r>
      <w:r w:rsidRPr="00C37615">
        <w:t>la eficiencia, a la eficacia y a la responsabilidad.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g) Responsabilidad</w:t>
      </w:r>
      <w:r w:rsidR="003A649B">
        <w:rPr>
          <w:b/>
        </w:rPr>
        <w:t xml:space="preserve">. </w:t>
      </w:r>
      <w:r w:rsidRPr="00C37615">
        <w:t>Cumplir con diligencia las obligaciones del cargo o</w:t>
      </w:r>
      <w:r>
        <w:t xml:space="preserve"> </w:t>
      </w:r>
      <w:r w:rsidRPr="00C37615">
        <w:t>empleo público.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Default="00C37615" w:rsidP="003A649B">
      <w:pPr>
        <w:rPr>
          <w:b/>
        </w:rPr>
      </w:pPr>
      <w:r w:rsidRPr="00C37615">
        <w:rPr>
          <w:b/>
        </w:rPr>
        <w:t>h) Legalidad</w:t>
      </w:r>
      <w:r w:rsidR="003A649B">
        <w:rPr>
          <w:b/>
        </w:rPr>
        <w:t xml:space="preserve">. </w:t>
      </w:r>
      <w:r w:rsidRPr="00C37615">
        <w:t>Actuar con apego a la Constitución y a las leyes dentro del marco de sus atribuciones</w:t>
      </w:r>
      <w:r w:rsidRPr="00C37615">
        <w:rPr>
          <w:b/>
        </w:rPr>
        <w:t>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i) Lealtad</w:t>
      </w:r>
      <w:r w:rsidR="003A649B">
        <w:rPr>
          <w:b/>
        </w:rPr>
        <w:t xml:space="preserve">. </w:t>
      </w:r>
      <w:r w:rsidRPr="00C37615">
        <w:t>Actuar con fidelidad a los fines del Estado y a los</w:t>
      </w:r>
      <w:r>
        <w:t xml:space="preserve"> </w:t>
      </w:r>
      <w:r w:rsidRPr="00C37615">
        <w:t>de la institución en que se desempeña.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j)  Decoro</w:t>
      </w:r>
      <w:r w:rsidR="003A649B">
        <w:rPr>
          <w:b/>
        </w:rPr>
        <w:t xml:space="preserve">. </w:t>
      </w:r>
      <w:r w:rsidRPr="00C37615">
        <w:t>Guardar las reglas de urbanidad, respeto y buena educación en el ejercicio de la función</w:t>
      </w:r>
      <w:r w:rsidR="003A649B">
        <w:t xml:space="preserve"> </w:t>
      </w:r>
      <w:r w:rsidRPr="00C37615">
        <w:t xml:space="preserve">pública. 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k)  Eficiencia</w:t>
      </w:r>
      <w:r w:rsidR="003A649B">
        <w:rPr>
          <w:b/>
        </w:rPr>
        <w:t xml:space="preserve">. </w:t>
      </w:r>
      <w:r w:rsidRPr="00C37615">
        <w:t>Cumplir los objetivos instituc</w:t>
      </w:r>
      <w:r>
        <w:t>ionales al menor costo posible, cumpliendo con las normativas aplicables al INSAFORP.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C37615" w:rsidRPr="00C37615" w:rsidRDefault="00C37615" w:rsidP="003A649B">
      <w:r w:rsidRPr="00C37615">
        <w:rPr>
          <w:b/>
        </w:rPr>
        <w:t>l)  Eficacia</w:t>
      </w:r>
      <w:r w:rsidR="003A649B">
        <w:rPr>
          <w:b/>
        </w:rPr>
        <w:t xml:space="preserve">. </w:t>
      </w:r>
      <w:r w:rsidRPr="00C37615">
        <w:t>Utilizar los recursos del Estado de manera adecuada</w:t>
      </w:r>
      <w:r>
        <w:t xml:space="preserve"> </w:t>
      </w:r>
      <w:r w:rsidRPr="00C37615">
        <w:t>para el cumplimiento de los fines</w:t>
      </w:r>
      <w:r>
        <w:t xml:space="preserve"> </w:t>
      </w:r>
      <w:r w:rsidRPr="00C37615">
        <w:t>institucionales.</w:t>
      </w:r>
    </w:p>
    <w:p w:rsidR="00C37615" w:rsidRPr="00F70658" w:rsidRDefault="00C37615" w:rsidP="003A649B">
      <w:pPr>
        <w:rPr>
          <w:b/>
          <w:sz w:val="20"/>
          <w:szCs w:val="20"/>
        </w:rPr>
      </w:pPr>
    </w:p>
    <w:p w:rsidR="001673DF" w:rsidRPr="00C37615" w:rsidRDefault="00C37615" w:rsidP="003A649B">
      <w:r w:rsidRPr="00C37615">
        <w:rPr>
          <w:b/>
        </w:rPr>
        <w:t>m)  Rendición de cuentas</w:t>
      </w:r>
      <w:r w:rsidR="003A649B">
        <w:rPr>
          <w:b/>
        </w:rPr>
        <w:t xml:space="preserve">. </w:t>
      </w:r>
      <w:r w:rsidRPr="00C37615">
        <w:t>Rendir cuentas de la gestión pública a la autoridad</w:t>
      </w:r>
      <w:r>
        <w:t xml:space="preserve"> competente y al público.</w:t>
      </w:r>
    </w:p>
    <w:p w:rsidR="00C37615" w:rsidRPr="00C37615" w:rsidRDefault="00C37615" w:rsidP="00CD64FE">
      <w:pPr>
        <w:rPr>
          <w:b/>
        </w:rPr>
      </w:pPr>
    </w:p>
    <w:p w:rsidR="00CD64FE" w:rsidRPr="00C37615" w:rsidRDefault="00CD64FE" w:rsidP="00CD64FE">
      <w:pPr>
        <w:rPr>
          <w:b/>
        </w:rPr>
      </w:pPr>
      <w:r w:rsidRPr="00C37615">
        <w:rPr>
          <w:b/>
        </w:rPr>
        <w:t>CAPITULO</w:t>
      </w:r>
      <w:r w:rsidR="003F578A" w:rsidRPr="00C37615">
        <w:rPr>
          <w:b/>
        </w:rPr>
        <w:t xml:space="preserve"> </w:t>
      </w:r>
      <w:r w:rsidRPr="00C37615">
        <w:rPr>
          <w:b/>
        </w:rPr>
        <w:t>II</w:t>
      </w:r>
      <w:r w:rsidR="003A649B">
        <w:rPr>
          <w:b/>
        </w:rPr>
        <w:t>.</w:t>
      </w:r>
      <w:r w:rsidR="003F578A" w:rsidRPr="00C37615">
        <w:rPr>
          <w:b/>
        </w:rPr>
        <w:t xml:space="preserve"> LEGISLACI</w:t>
      </w:r>
      <w:r w:rsidR="00C37615">
        <w:rPr>
          <w:b/>
        </w:rPr>
        <w:t>ÓN APLICABLE EN MATERIA DE ÉTICA.</w:t>
      </w:r>
    </w:p>
    <w:p w:rsidR="00CD64FE" w:rsidRPr="00C37615" w:rsidRDefault="00CD64FE" w:rsidP="00CD64FE"/>
    <w:p w:rsidR="00C81106" w:rsidRPr="00C37615" w:rsidRDefault="00C81106" w:rsidP="00C81106">
      <w:pPr>
        <w:rPr>
          <w:b/>
        </w:rPr>
      </w:pPr>
      <w:r w:rsidRPr="00C37615">
        <w:rPr>
          <w:b/>
        </w:rPr>
        <w:t>Legislación Aplicable.</w:t>
      </w:r>
    </w:p>
    <w:p w:rsidR="00C81106" w:rsidRPr="00C37615" w:rsidRDefault="00C81106" w:rsidP="00C81106"/>
    <w:p w:rsidR="00C81106" w:rsidRPr="00C37615" w:rsidRDefault="00A30D6C" w:rsidP="00C81106">
      <w:r w:rsidRPr="00C37615">
        <w:rPr>
          <w:b/>
        </w:rPr>
        <w:t xml:space="preserve">Art. </w:t>
      </w:r>
      <w:r w:rsidR="00C37615">
        <w:rPr>
          <w:b/>
        </w:rPr>
        <w:t>2</w:t>
      </w:r>
      <w:r w:rsidR="00C81106" w:rsidRPr="00C37615">
        <w:rPr>
          <w:b/>
        </w:rPr>
        <w:t xml:space="preserve">.- </w:t>
      </w:r>
      <w:r w:rsidR="00C81106" w:rsidRPr="00C37615">
        <w:t xml:space="preserve">En materia de sanciones por incumplimiento </w:t>
      </w:r>
      <w:r w:rsidR="00C37615">
        <w:t xml:space="preserve">referidos a la ética de los servidores públicos del INSAFORP, </w:t>
      </w:r>
      <w:r w:rsidR="00C81106" w:rsidRPr="00C37615">
        <w:t xml:space="preserve">se </w:t>
      </w:r>
      <w:r w:rsidR="00C37615">
        <w:t>estará a lo dispuesto</w:t>
      </w:r>
      <w:r w:rsidR="00C81106" w:rsidRPr="00C37615">
        <w:t xml:space="preserve"> en la Ley de Ética Gubernamental</w:t>
      </w:r>
      <w:r w:rsidR="00AC7D30" w:rsidRPr="00C37615">
        <w:t xml:space="preserve">, </w:t>
      </w:r>
      <w:r w:rsidR="00C37615">
        <w:t xml:space="preserve">su Reglamento, </w:t>
      </w:r>
      <w:r w:rsidR="00AC7D30" w:rsidRPr="00C37615">
        <w:t>Código de Trabajo</w:t>
      </w:r>
      <w:r w:rsidR="00C37615">
        <w:t xml:space="preserve"> y</w:t>
      </w:r>
      <w:r w:rsidR="00C81106" w:rsidRPr="00C37615">
        <w:t xml:space="preserve"> Reglamento Interno de Trabajo del INSAFORP.</w:t>
      </w:r>
    </w:p>
    <w:p w:rsidR="00C81106" w:rsidRPr="00C37615" w:rsidRDefault="00C81106" w:rsidP="00C81106"/>
    <w:p w:rsidR="00592A10" w:rsidRDefault="00592A10" w:rsidP="007C5E4C">
      <w:pPr>
        <w:rPr>
          <w:lang w:val="es-SV"/>
        </w:rPr>
      </w:pPr>
    </w:p>
    <w:tbl>
      <w:tblPr>
        <w:tblStyle w:val="Tablaconcuadrcula1"/>
        <w:tblW w:w="10773" w:type="dxa"/>
        <w:jc w:val="center"/>
        <w:tblInd w:w="-1026" w:type="dxa"/>
        <w:tblLook w:val="04A0" w:firstRow="1" w:lastRow="0" w:firstColumn="1" w:lastColumn="0" w:noHBand="0" w:noVBand="1"/>
      </w:tblPr>
      <w:tblGrid>
        <w:gridCol w:w="4111"/>
        <w:gridCol w:w="3544"/>
        <w:gridCol w:w="3118"/>
      </w:tblGrid>
      <w:tr w:rsidR="003A649B" w:rsidRPr="003A649B" w:rsidTr="003A649B">
        <w:trPr>
          <w:jc w:val="center"/>
        </w:trPr>
        <w:tc>
          <w:tcPr>
            <w:tcW w:w="4111" w:type="dxa"/>
            <w:vAlign w:val="center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Elaboró: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Lila Margarita Rosa de Lemus</w:t>
            </w:r>
          </w:p>
        </w:tc>
        <w:tc>
          <w:tcPr>
            <w:tcW w:w="3544" w:type="dxa"/>
            <w:vAlign w:val="center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Revisó: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  <w:r w:rsidRPr="003A649B">
              <w:rPr>
                <w:color w:val="000000"/>
              </w:rPr>
              <w:t>Carlos Enrique Gómez Benítez</w:t>
            </w:r>
          </w:p>
        </w:tc>
        <w:tc>
          <w:tcPr>
            <w:tcW w:w="3118" w:type="dxa"/>
            <w:vAlign w:val="center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Autorizó: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  <w:r w:rsidRPr="003A649B">
              <w:rPr>
                <w:color w:val="000000"/>
              </w:rPr>
              <w:t>CONSEJO DIRECTIVO</w:t>
            </w:r>
          </w:p>
        </w:tc>
      </w:tr>
      <w:tr w:rsidR="003A649B" w:rsidRPr="003A649B" w:rsidTr="00F70658">
        <w:trPr>
          <w:jc w:val="center"/>
        </w:trPr>
        <w:tc>
          <w:tcPr>
            <w:tcW w:w="4111" w:type="dxa"/>
            <w:vAlign w:val="center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Cargos: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  <w:r w:rsidRPr="003A649B">
              <w:rPr>
                <w:color w:val="000000"/>
              </w:rPr>
              <w:t xml:space="preserve">Gerente </w:t>
            </w:r>
            <w:r>
              <w:rPr>
                <w:color w:val="000000"/>
              </w:rPr>
              <w:t>Legal</w:t>
            </w:r>
          </w:p>
        </w:tc>
        <w:tc>
          <w:tcPr>
            <w:tcW w:w="3544" w:type="dxa"/>
            <w:vAlign w:val="center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Cargo: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  <w:r w:rsidRPr="003A649B">
              <w:rPr>
                <w:color w:val="000000"/>
              </w:rPr>
              <w:t>Director Ejecutivo</w:t>
            </w:r>
          </w:p>
        </w:tc>
        <w:tc>
          <w:tcPr>
            <w:tcW w:w="3118" w:type="dxa"/>
            <w:vMerge w:val="restart"/>
            <w:vAlign w:val="center"/>
          </w:tcPr>
          <w:p w:rsidR="00F70658" w:rsidRDefault="00F70658" w:rsidP="00F706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Acuerdo No. 1018-09-2014</w:t>
            </w:r>
          </w:p>
          <w:p w:rsidR="003A649B" w:rsidRPr="003A649B" w:rsidRDefault="00F70658" w:rsidP="00F706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Sesión No. 253/2014</w:t>
            </w:r>
          </w:p>
        </w:tc>
      </w:tr>
      <w:tr w:rsidR="003A649B" w:rsidRPr="003A649B" w:rsidTr="00F70658">
        <w:trPr>
          <w:trHeight w:val="886"/>
          <w:jc w:val="center"/>
        </w:trPr>
        <w:tc>
          <w:tcPr>
            <w:tcW w:w="4111" w:type="dxa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Firma:</w:t>
            </w: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</w:p>
          <w:p w:rsidR="003A649B" w:rsidRPr="003A649B" w:rsidRDefault="003A649B" w:rsidP="003A649B">
            <w:pPr>
              <w:jc w:val="left"/>
              <w:rPr>
                <w:color w:val="000000"/>
              </w:rPr>
            </w:pPr>
          </w:p>
        </w:tc>
        <w:tc>
          <w:tcPr>
            <w:tcW w:w="3544" w:type="dxa"/>
          </w:tcPr>
          <w:p w:rsidR="003A649B" w:rsidRPr="003A649B" w:rsidRDefault="003A649B" w:rsidP="003A649B">
            <w:pPr>
              <w:jc w:val="left"/>
              <w:rPr>
                <w:b/>
                <w:color w:val="000000"/>
              </w:rPr>
            </w:pPr>
            <w:r w:rsidRPr="003A649B">
              <w:rPr>
                <w:b/>
                <w:color w:val="000000"/>
              </w:rPr>
              <w:t>Firma:</w:t>
            </w:r>
          </w:p>
        </w:tc>
        <w:tc>
          <w:tcPr>
            <w:tcW w:w="3118" w:type="dxa"/>
            <w:vMerge/>
          </w:tcPr>
          <w:p w:rsidR="003A649B" w:rsidRPr="003A649B" w:rsidRDefault="003A649B" w:rsidP="003A649B">
            <w:pPr>
              <w:jc w:val="left"/>
              <w:rPr>
                <w:color w:val="000000"/>
              </w:rPr>
            </w:pPr>
          </w:p>
        </w:tc>
      </w:tr>
    </w:tbl>
    <w:p w:rsidR="007C5E4C" w:rsidRPr="00C37615" w:rsidRDefault="007C5E4C" w:rsidP="00B83B04">
      <w:pPr>
        <w:rPr>
          <w:lang w:val="es-SV"/>
        </w:rPr>
      </w:pPr>
    </w:p>
    <w:sectPr w:rsidR="007C5E4C" w:rsidRPr="00C37615" w:rsidSect="003A649B">
      <w:headerReference w:type="default" r:id="rId10"/>
      <w:footerReference w:type="default" r:id="rId11"/>
      <w:pgSz w:w="12240" w:h="15840" w:code="1"/>
      <w:pgMar w:top="851" w:right="1440" w:bottom="851" w:left="1440" w:header="862" w:footer="8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7A" w:rsidRDefault="00D9407A">
      <w:r>
        <w:separator/>
      </w:r>
    </w:p>
  </w:endnote>
  <w:endnote w:type="continuationSeparator" w:id="0">
    <w:p w:rsidR="00D9407A" w:rsidRDefault="00D9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104143"/>
      <w:docPartObj>
        <w:docPartGallery w:val="Page Numbers (Bottom of Page)"/>
        <w:docPartUnique/>
      </w:docPartObj>
    </w:sdtPr>
    <w:sdtEndPr/>
    <w:sdtContent>
      <w:p w:rsidR="00F70658" w:rsidRDefault="00F706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BF">
          <w:rPr>
            <w:noProof/>
          </w:rPr>
          <w:t>4</w:t>
        </w:r>
        <w:r>
          <w:fldChar w:fldCharType="end"/>
        </w:r>
      </w:p>
    </w:sdtContent>
  </w:sdt>
  <w:p w:rsidR="00F70658" w:rsidRDefault="00F706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7A" w:rsidRDefault="00D9407A">
      <w:r>
        <w:separator/>
      </w:r>
    </w:p>
  </w:footnote>
  <w:footnote w:type="continuationSeparator" w:id="0">
    <w:p w:rsidR="00D9407A" w:rsidRDefault="00D9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07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7012"/>
    </w:tblGrid>
    <w:tr w:rsidR="003A649B" w:rsidRPr="003A649B" w:rsidTr="003A649B">
      <w:trPr>
        <w:trHeight w:val="841"/>
      </w:trPr>
      <w:tc>
        <w:tcPr>
          <w:tcW w:w="14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3A649B" w:rsidRPr="003A649B" w:rsidRDefault="003A649B" w:rsidP="003A649B">
          <w:pPr>
            <w:jc w:val="left"/>
            <w:rPr>
              <w:rFonts w:ascii="Arial" w:eastAsia="Times New Roman" w:hAnsi="Arial" w:cs="Arial"/>
              <w:sz w:val="20"/>
              <w:szCs w:val="20"/>
            </w:rPr>
          </w:pPr>
          <w:r w:rsidRPr="003A649B">
            <w:rPr>
              <w:rFonts w:ascii="Arial" w:eastAsia="Times New Roman" w:hAnsi="Arial" w:cs="Arial"/>
              <w:noProof/>
              <w:sz w:val="20"/>
              <w:szCs w:val="20"/>
              <w:lang w:val="es-SV" w:eastAsia="es-SV"/>
            </w:rPr>
            <w:drawing>
              <wp:anchor distT="0" distB="0" distL="114300" distR="114300" simplePos="0" relativeHeight="251659264" behindDoc="1" locked="0" layoutInCell="1" allowOverlap="1" wp14:anchorId="57A6AA19" wp14:editId="2FD86F9A">
                <wp:simplePos x="0" y="0"/>
                <wp:positionH relativeFrom="margin">
                  <wp:posOffset>154940</wp:posOffset>
                </wp:positionH>
                <wp:positionV relativeFrom="margin">
                  <wp:posOffset>94615</wp:posOffset>
                </wp:positionV>
                <wp:extent cx="1450975" cy="344805"/>
                <wp:effectExtent l="0" t="0" r="0" b="0"/>
                <wp:wrapThrough wrapText="bothSides">
                  <wp:wrapPolygon edited="0">
                    <wp:start x="0" y="0"/>
                    <wp:lineTo x="0" y="20287"/>
                    <wp:lineTo x="21269" y="20287"/>
                    <wp:lineTo x="21269" y="0"/>
                    <wp:lineTo x="0" y="0"/>
                  </wp:wrapPolygon>
                </wp:wrapThrough>
                <wp:docPr id="3" name="Picture 5" descr="logo i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i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75" cy="344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3A649B" w:rsidRPr="003A649B" w:rsidRDefault="003A649B" w:rsidP="003A649B">
          <w:pPr>
            <w:jc w:val="center"/>
            <w:rPr>
              <w:rFonts w:eastAsia="Times New Roman"/>
              <w:sz w:val="20"/>
              <w:szCs w:val="20"/>
            </w:rPr>
          </w:pPr>
          <w:r>
            <w:rPr>
              <w:rFonts w:eastAsia="Times New Roman"/>
              <w:szCs w:val="20"/>
            </w:rPr>
            <w:t>CÓDIGO DE ÉTICA</w:t>
          </w:r>
        </w:p>
      </w:tc>
    </w:tr>
  </w:tbl>
  <w:p w:rsidR="00CE49A0" w:rsidRDefault="00CE4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74C"/>
    <w:multiLevelType w:val="hybridMultilevel"/>
    <w:tmpl w:val="86828F6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0E9E"/>
    <w:multiLevelType w:val="hybridMultilevel"/>
    <w:tmpl w:val="57049896"/>
    <w:lvl w:ilvl="0" w:tplc="4F5001B8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2FE6F5EC">
      <w:start w:val="5"/>
      <w:numFmt w:val="bullet"/>
      <w:lvlText w:val="-"/>
      <w:lvlJc w:val="left"/>
      <w:pPr>
        <w:tabs>
          <w:tab w:val="num" w:pos="1438"/>
        </w:tabs>
        <w:ind w:left="1438" w:hanging="360"/>
      </w:pPr>
      <w:rPr>
        <w:rFonts w:ascii="Arial" w:eastAsia="MS Mincho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">
    <w:nsid w:val="0FA73CC5"/>
    <w:multiLevelType w:val="multilevel"/>
    <w:tmpl w:val="29E6E2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">
    <w:nsid w:val="18DE3A9B"/>
    <w:multiLevelType w:val="multilevel"/>
    <w:tmpl w:val="F41EE1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97F60EE"/>
    <w:multiLevelType w:val="multilevel"/>
    <w:tmpl w:val="8A9030A6"/>
    <w:lvl w:ilvl="0">
      <w:start w:val="3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FA3471"/>
    <w:multiLevelType w:val="multilevel"/>
    <w:tmpl w:val="0D7E0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2"/>
        </w:tabs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4"/>
        </w:tabs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0"/>
        </w:tabs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82"/>
        </w:tabs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8"/>
        </w:tabs>
        <w:ind w:left="7448" w:hanging="1800"/>
      </w:pPr>
      <w:rPr>
        <w:rFonts w:hint="default"/>
      </w:rPr>
    </w:lvl>
  </w:abstractNum>
  <w:abstractNum w:abstractNumId="6">
    <w:nsid w:val="2C5159F7"/>
    <w:multiLevelType w:val="hybridMultilevel"/>
    <w:tmpl w:val="51163B1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571EE"/>
    <w:multiLevelType w:val="hybridMultilevel"/>
    <w:tmpl w:val="B242377A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93743D"/>
    <w:multiLevelType w:val="multilevel"/>
    <w:tmpl w:val="1DEE8F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4972948"/>
    <w:multiLevelType w:val="multilevel"/>
    <w:tmpl w:val="E2E2AE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2166E8C"/>
    <w:multiLevelType w:val="multilevel"/>
    <w:tmpl w:val="614C20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2"/>
        </w:tabs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4"/>
        </w:tabs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0"/>
        </w:tabs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82"/>
        </w:tabs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8"/>
        </w:tabs>
        <w:ind w:left="7448" w:hanging="1800"/>
      </w:pPr>
      <w:rPr>
        <w:rFonts w:hint="default"/>
      </w:rPr>
    </w:lvl>
  </w:abstractNum>
  <w:abstractNum w:abstractNumId="11">
    <w:nsid w:val="55101C14"/>
    <w:multiLevelType w:val="hybridMultilevel"/>
    <w:tmpl w:val="108E70BE"/>
    <w:lvl w:ilvl="0" w:tplc="775EF696">
      <w:start w:val="1"/>
      <w:numFmt w:val="bullet"/>
      <w:lvlText w:val="►"/>
      <w:lvlJc w:val="left"/>
      <w:pPr>
        <w:tabs>
          <w:tab w:val="num" w:pos="718"/>
        </w:tabs>
        <w:ind w:left="718" w:hanging="360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2">
    <w:nsid w:val="573A0E31"/>
    <w:multiLevelType w:val="multilevel"/>
    <w:tmpl w:val="604CA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9D807E8"/>
    <w:multiLevelType w:val="multilevel"/>
    <w:tmpl w:val="A4C0F05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6"/>
        </w:tabs>
        <w:ind w:left="106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2"/>
        </w:tabs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4"/>
        </w:tabs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10"/>
        </w:tabs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6"/>
        </w:tabs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82"/>
        </w:tabs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8"/>
        </w:tabs>
        <w:ind w:left="7448" w:hanging="1800"/>
      </w:pPr>
      <w:rPr>
        <w:rFonts w:hint="default"/>
      </w:rPr>
    </w:lvl>
  </w:abstractNum>
  <w:abstractNum w:abstractNumId="14">
    <w:nsid w:val="6257013E"/>
    <w:multiLevelType w:val="multilevel"/>
    <w:tmpl w:val="8B3AD254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6C217526"/>
    <w:multiLevelType w:val="multilevel"/>
    <w:tmpl w:val="73480C0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2"/>
        </w:tabs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4"/>
        </w:tabs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10"/>
        </w:tabs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6"/>
        </w:tabs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82"/>
        </w:tabs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8"/>
        </w:tabs>
        <w:ind w:left="7448" w:hanging="1800"/>
      </w:pPr>
      <w:rPr>
        <w:rFonts w:hint="default"/>
      </w:rPr>
    </w:lvl>
  </w:abstractNum>
  <w:abstractNum w:abstractNumId="16">
    <w:nsid w:val="74FD5167"/>
    <w:multiLevelType w:val="hybridMultilevel"/>
    <w:tmpl w:val="6D3C2082"/>
    <w:lvl w:ilvl="0" w:tplc="4F5001B8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775EF69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6D61D8"/>
    <w:multiLevelType w:val="hybridMultilevel"/>
    <w:tmpl w:val="DF00B286"/>
    <w:lvl w:ilvl="0" w:tplc="440A0013">
      <w:start w:val="1"/>
      <w:numFmt w:val="upperRoman"/>
      <w:lvlText w:val="%1."/>
      <w:lvlJc w:val="righ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6"/>
  </w:num>
  <w:num w:numId="10">
    <w:abstractNumId w:val="11"/>
  </w:num>
  <w:num w:numId="11">
    <w:abstractNumId w:val="1"/>
  </w:num>
  <w:num w:numId="12">
    <w:abstractNumId w:val="14"/>
  </w:num>
  <w:num w:numId="13">
    <w:abstractNumId w:val="17"/>
  </w:num>
  <w:num w:numId="14">
    <w:abstractNumId w:val="0"/>
  </w:num>
  <w:num w:numId="15">
    <w:abstractNumId w:val="12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7"/>
  <w:drawingGridVerticalSpacing w:val="1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10"/>
    <w:rsid w:val="00004FB4"/>
    <w:rsid w:val="00005939"/>
    <w:rsid w:val="00006321"/>
    <w:rsid w:val="000117EF"/>
    <w:rsid w:val="00012AAE"/>
    <w:rsid w:val="00012D22"/>
    <w:rsid w:val="00017E76"/>
    <w:rsid w:val="00022F30"/>
    <w:rsid w:val="00026FE8"/>
    <w:rsid w:val="00027C88"/>
    <w:rsid w:val="00031AF6"/>
    <w:rsid w:val="00032AC5"/>
    <w:rsid w:val="00042AD1"/>
    <w:rsid w:val="000459EC"/>
    <w:rsid w:val="00050079"/>
    <w:rsid w:val="00057113"/>
    <w:rsid w:val="00060841"/>
    <w:rsid w:val="00061DA5"/>
    <w:rsid w:val="00071200"/>
    <w:rsid w:val="000832B2"/>
    <w:rsid w:val="00090675"/>
    <w:rsid w:val="00092F13"/>
    <w:rsid w:val="00093A4A"/>
    <w:rsid w:val="000B00D5"/>
    <w:rsid w:val="000C38E9"/>
    <w:rsid w:val="000C4985"/>
    <w:rsid w:val="000D4AAD"/>
    <w:rsid w:val="000E5CEA"/>
    <w:rsid w:val="000E7981"/>
    <w:rsid w:val="000F6A53"/>
    <w:rsid w:val="00114FB0"/>
    <w:rsid w:val="001209A8"/>
    <w:rsid w:val="00146674"/>
    <w:rsid w:val="001525D0"/>
    <w:rsid w:val="00160F1D"/>
    <w:rsid w:val="00162468"/>
    <w:rsid w:val="001673DF"/>
    <w:rsid w:val="00171A22"/>
    <w:rsid w:val="00173E48"/>
    <w:rsid w:val="00175770"/>
    <w:rsid w:val="00175D11"/>
    <w:rsid w:val="001800B4"/>
    <w:rsid w:val="00180CC1"/>
    <w:rsid w:val="00185F1A"/>
    <w:rsid w:val="001876B9"/>
    <w:rsid w:val="00187F0E"/>
    <w:rsid w:val="00191EE8"/>
    <w:rsid w:val="001A2C00"/>
    <w:rsid w:val="001B1603"/>
    <w:rsid w:val="001B4B0A"/>
    <w:rsid w:val="001B5781"/>
    <w:rsid w:val="001C1DDD"/>
    <w:rsid w:val="001D4245"/>
    <w:rsid w:val="001F2346"/>
    <w:rsid w:val="001F6C3B"/>
    <w:rsid w:val="00201D2A"/>
    <w:rsid w:val="002159E9"/>
    <w:rsid w:val="002358D8"/>
    <w:rsid w:val="00243776"/>
    <w:rsid w:val="00247218"/>
    <w:rsid w:val="00250C84"/>
    <w:rsid w:val="00275337"/>
    <w:rsid w:val="0027738A"/>
    <w:rsid w:val="002A6544"/>
    <w:rsid w:val="002B0A9C"/>
    <w:rsid w:val="002B2D04"/>
    <w:rsid w:val="002C7141"/>
    <w:rsid w:val="002C7A5B"/>
    <w:rsid w:val="002D6AE9"/>
    <w:rsid w:val="002D7AC9"/>
    <w:rsid w:val="002E18B8"/>
    <w:rsid w:val="002E6C5D"/>
    <w:rsid w:val="00300B20"/>
    <w:rsid w:val="00303BB9"/>
    <w:rsid w:val="00306FC8"/>
    <w:rsid w:val="00312147"/>
    <w:rsid w:val="00316A7D"/>
    <w:rsid w:val="00321B52"/>
    <w:rsid w:val="00327189"/>
    <w:rsid w:val="00327A80"/>
    <w:rsid w:val="00330292"/>
    <w:rsid w:val="003416DB"/>
    <w:rsid w:val="003425A5"/>
    <w:rsid w:val="0035492E"/>
    <w:rsid w:val="00357676"/>
    <w:rsid w:val="00362BDF"/>
    <w:rsid w:val="00365304"/>
    <w:rsid w:val="003835A7"/>
    <w:rsid w:val="003A1F4D"/>
    <w:rsid w:val="003A649B"/>
    <w:rsid w:val="003B4110"/>
    <w:rsid w:val="003C0010"/>
    <w:rsid w:val="003E4441"/>
    <w:rsid w:val="003F1D8E"/>
    <w:rsid w:val="003F50C1"/>
    <w:rsid w:val="003F578A"/>
    <w:rsid w:val="004026CD"/>
    <w:rsid w:val="00410FC2"/>
    <w:rsid w:val="00411869"/>
    <w:rsid w:val="004127C4"/>
    <w:rsid w:val="00415F25"/>
    <w:rsid w:val="00427B56"/>
    <w:rsid w:val="00436139"/>
    <w:rsid w:val="00440446"/>
    <w:rsid w:val="00441142"/>
    <w:rsid w:val="00444FFB"/>
    <w:rsid w:val="00462ACE"/>
    <w:rsid w:val="00463EF7"/>
    <w:rsid w:val="00464829"/>
    <w:rsid w:val="00472D9F"/>
    <w:rsid w:val="00474A1B"/>
    <w:rsid w:val="0049244E"/>
    <w:rsid w:val="00495632"/>
    <w:rsid w:val="004B2DD9"/>
    <w:rsid w:val="004C04C3"/>
    <w:rsid w:val="004D02D1"/>
    <w:rsid w:val="004D084D"/>
    <w:rsid w:val="004D4E7E"/>
    <w:rsid w:val="004E298B"/>
    <w:rsid w:val="004E29A2"/>
    <w:rsid w:val="004E3E76"/>
    <w:rsid w:val="004F1294"/>
    <w:rsid w:val="00505901"/>
    <w:rsid w:val="00505F81"/>
    <w:rsid w:val="00506960"/>
    <w:rsid w:val="0051183D"/>
    <w:rsid w:val="00524CE8"/>
    <w:rsid w:val="00542777"/>
    <w:rsid w:val="0054576A"/>
    <w:rsid w:val="00560B15"/>
    <w:rsid w:val="0057024B"/>
    <w:rsid w:val="00576B59"/>
    <w:rsid w:val="00580267"/>
    <w:rsid w:val="00583FEA"/>
    <w:rsid w:val="00592A10"/>
    <w:rsid w:val="005B7AB7"/>
    <w:rsid w:val="005B7F98"/>
    <w:rsid w:val="005C3C69"/>
    <w:rsid w:val="005C6A79"/>
    <w:rsid w:val="005E10AD"/>
    <w:rsid w:val="005E4587"/>
    <w:rsid w:val="005E5984"/>
    <w:rsid w:val="005F722C"/>
    <w:rsid w:val="00622C57"/>
    <w:rsid w:val="00630C0D"/>
    <w:rsid w:val="0064768B"/>
    <w:rsid w:val="00647970"/>
    <w:rsid w:val="00650105"/>
    <w:rsid w:val="006527F9"/>
    <w:rsid w:val="00664795"/>
    <w:rsid w:val="00673661"/>
    <w:rsid w:val="0067446C"/>
    <w:rsid w:val="00682837"/>
    <w:rsid w:val="006837FF"/>
    <w:rsid w:val="006901F5"/>
    <w:rsid w:val="00695E19"/>
    <w:rsid w:val="006A27E2"/>
    <w:rsid w:val="006A631F"/>
    <w:rsid w:val="006C163C"/>
    <w:rsid w:val="006C491E"/>
    <w:rsid w:val="006D7858"/>
    <w:rsid w:val="006E483A"/>
    <w:rsid w:val="007011B3"/>
    <w:rsid w:val="00706FF0"/>
    <w:rsid w:val="007275B4"/>
    <w:rsid w:val="0072761C"/>
    <w:rsid w:val="00731C8D"/>
    <w:rsid w:val="00757E98"/>
    <w:rsid w:val="007627AE"/>
    <w:rsid w:val="00772DD2"/>
    <w:rsid w:val="007753B3"/>
    <w:rsid w:val="007864F7"/>
    <w:rsid w:val="007B1EC5"/>
    <w:rsid w:val="007C5E4C"/>
    <w:rsid w:val="007C7E2E"/>
    <w:rsid w:val="007D2E96"/>
    <w:rsid w:val="007D3C24"/>
    <w:rsid w:val="007E4C99"/>
    <w:rsid w:val="007F4E6C"/>
    <w:rsid w:val="007F5FBD"/>
    <w:rsid w:val="0080221C"/>
    <w:rsid w:val="00820D41"/>
    <w:rsid w:val="00833C92"/>
    <w:rsid w:val="0084608D"/>
    <w:rsid w:val="008557F7"/>
    <w:rsid w:val="00855EDC"/>
    <w:rsid w:val="00864242"/>
    <w:rsid w:val="008671F8"/>
    <w:rsid w:val="00867C36"/>
    <w:rsid w:val="00884629"/>
    <w:rsid w:val="0088494C"/>
    <w:rsid w:val="0089752B"/>
    <w:rsid w:val="008A0E97"/>
    <w:rsid w:val="008A355D"/>
    <w:rsid w:val="008A5A1A"/>
    <w:rsid w:val="008A62EC"/>
    <w:rsid w:val="008B2E49"/>
    <w:rsid w:val="008C21A9"/>
    <w:rsid w:val="008D2D20"/>
    <w:rsid w:val="008E4575"/>
    <w:rsid w:val="008F517A"/>
    <w:rsid w:val="00901222"/>
    <w:rsid w:val="00912057"/>
    <w:rsid w:val="00921190"/>
    <w:rsid w:val="009321CD"/>
    <w:rsid w:val="009362CF"/>
    <w:rsid w:val="009512AF"/>
    <w:rsid w:val="00954D7E"/>
    <w:rsid w:val="0095533E"/>
    <w:rsid w:val="009709F0"/>
    <w:rsid w:val="00973FC4"/>
    <w:rsid w:val="009747E5"/>
    <w:rsid w:val="00976265"/>
    <w:rsid w:val="009768FE"/>
    <w:rsid w:val="00981C17"/>
    <w:rsid w:val="009C4FB7"/>
    <w:rsid w:val="009D4F84"/>
    <w:rsid w:val="009D740B"/>
    <w:rsid w:val="009E526E"/>
    <w:rsid w:val="00A0032F"/>
    <w:rsid w:val="00A019E1"/>
    <w:rsid w:val="00A04862"/>
    <w:rsid w:val="00A06FAA"/>
    <w:rsid w:val="00A23A40"/>
    <w:rsid w:val="00A245F8"/>
    <w:rsid w:val="00A30D6C"/>
    <w:rsid w:val="00A36B39"/>
    <w:rsid w:val="00A4148B"/>
    <w:rsid w:val="00A424AB"/>
    <w:rsid w:val="00A43262"/>
    <w:rsid w:val="00A5317B"/>
    <w:rsid w:val="00A633B1"/>
    <w:rsid w:val="00A81CDF"/>
    <w:rsid w:val="00A81F2E"/>
    <w:rsid w:val="00A94809"/>
    <w:rsid w:val="00AC25C1"/>
    <w:rsid w:val="00AC7D30"/>
    <w:rsid w:val="00AD0222"/>
    <w:rsid w:val="00AD699C"/>
    <w:rsid w:val="00AF423C"/>
    <w:rsid w:val="00AF4511"/>
    <w:rsid w:val="00AF47D9"/>
    <w:rsid w:val="00AF66DE"/>
    <w:rsid w:val="00AF6F94"/>
    <w:rsid w:val="00B0023A"/>
    <w:rsid w:val="00B0632D"/>
    <w:rsid w:val="00B13941"/>
    <w:rsid w:val="00B20177"/>
    <w:rsid w:val="00B25F56"/>
    <w:rsid w:val="00B27C75"/>
    <w:rsid w:val="00B31A7D"/>
    <w:rsid w:val="00B36C1C"/>
    <w:rsid w:val="00B3737F"/>
    <w:rsid w:val="00B40755"/>
    <w:rsid w:val="00B50565"/>
    <w:rsid w:val="00B54701"/>
    <w:rsid w:val="00B65546"/>
    <w:rsid w:val="00B76285"/>
    <w:rsid w:val="00B7779E"/>
    <w:rsid w:val="00B800BA"/>
    <w:rsid w:val="00B83B04"/>
    <w:rsid w:val="00B84248"/>
    <w:rsid w:val="00B843B5"/>
    <w:rsid w:val="00BA23EE"/>
    <w:rsid w:val="00BA41C3"/>
    <w:rsid w:val="00BB01DC"/>
    <w:rsid w:val="00BB4116"/>
    <w:rsid w:val="00BD7659"/>
    <w:rsid w:val="00BE72B7"/>
    <w:rsid w:val="00BF209D"/>
    <w:rsid w:val="00C05A7E"/>
    <w:rsid w:val="00C06A57"/>
    <w:rsid w:val="00C073A4"/>
    <w:rsid w:val="00C10515"/>
    <w:rsid w:val="00C17DF0"/>
    <w:rsid w:val="00C20751"/>
    <w:rsid w:val="00C30CF8"/>
    <w:rsid w:val="00C31514"/>
    <w:rsid w:val="00C37615"/>
    <w:rsid w:val="00C4591F"/>
    <w:rsid w:val="00C45DF7"/>
    <w:rsid w:val="00C46DCB"/>
    <w:rsid w:val="00C471B3"/>
    <w:rsid w:val="00C54634"/>
    <w:rsid w:val="00C567AB"/>
    <w:rsid w:val="00C63E79"/>
    <w:rsid w:val="00C70521"/>
    <w:rsid w:val="00C76ACE"/>
    <w:rsid w:val="00C80FC2"/>
    <w:rsid w:val="00C81106"/>
    <w:rsid w:val="00C874FC"/>
    <w:rsid w:val="00CA272F"/>
    <w:rsid w:val="00CA3DC4"/>
    <w:rsid w:val="00CB51D6"/>
    <w:rsid w:val="00CC79D2"/>
    <w:rsid w:val="00CD64FE"/>
    <w:rsid w:val="00CE0402"/>
    <w:rsid w:val="00CE1679"/>
    <w:rsid w:val="00CE28E8"/>
    <w:rsid w:val="00CE3EBC"/>
    <w:rsid w:val="00CE49A0"/>
    <w:rsid w:val="00CF5726"/>
    <w:rsid w:val="00CF7A8C"/>
    <w:rsid w:val="00CF7F55"/>
    <w:rsid w:val="00D06294"/>
    <w:rsid w:val="00D14239"/>
    <w:rsid w:val="00D146FB"/>
    <w:rsid w:val="00D25721"/>
    <w:rsid w:val="00D266A7"/>
    <w:rsid w:val="00D32BC4"/>
    <w:rsid w:val="00D374D4"/>
    <w:rsid w:val="00D53F82"/>
    <w:rsid w:val="00D56984"/>
    <w:rsid w:val="00D64E93"/>
    <w:rsid w:val="00D65776"/>
    <w:rsid w:val="00D669A7"/>
    <w:rsid w:val="00D678CA"/>
    <w:rsid w:val="00D906E8"/>
    <w:rsid w:val="00D9407A"/>
    <w:rsid w:val="00DA6F0B"/>
    <w:rsid w:val="00DB20C6"/>
    <w:rsid w:val="00DB5CC7"/>
    <w:rsid w:val="00DC3B77"/>
    <w:rsid w:val="00DC4E6B"/>
    <w:rsid w:val="00DD6A61"/>
    <w:rsid w:val="00DE1826"/>
    <w:rsid w:val="00DF6C59"/>
    <w:rsid w:val="00E00437"/>
    <w:rsid w:val="00E04005"/>
    <w:rsid w:val="00E045E9"/>
    <w:rsid w:val="00E12924"/>
    <w:rsid w:val="00E25C3E"/>
    <w:rsid w:val="00E4088F"/>
    <w:rsid w:val="00E42F69"/>
    <w:rsid w:val="00E43782"/>
    <w:rsid w:val="00E47674"/>
    <w:rsid w:val="00E5196E"/>
    <w:rsid w:val="00E55410"/>
    <w:rsid w:val="00E752A2"/>
    <w:rsid w:val="00E83ADC"/>
    <w:rsid w:val="00E83D37"/>
    <w:rsid w:val="00E85E60"/>
    <w:rsid w:val="00E91CC2"/>
    <w:rsid w:val="00E93F64"/>
    <w:rsid w:val="00E9411C"/>
    <w:rsid w:val="00EB1211"/>
    <w:rsid w:val="00EB6FBF"/>
    <w:rsid w:val="00ED54BC"/>
    <w:rsid w:val="00ED55C8"/>
    <w:rsid w:val="00EE1A2B"/>
    <w:rsid w:val="00EE37ED"/>
    <w:rsid w:val="00EF6860"/>
    <w:rsid w:val="00EF714E"/>
    <w:rsid w:val="00F06CC5"/>
    <w:rsid w:val="00F12B5C"/>
    <w:rsid w:val="00F16F7F"/>
    <w:rsid w:val="00F17A15"/>
    <w:rsid w:val="00F32D64"/>
    <w:rsid w:val="00F33066"/>
    <w:rsid w:val="00F3472D"/>
    <w:rsid w:val="00F3585A"/>
    <w:rsid w:val="00F42F90"/>
    <w:rsid w:val="00F46B67"/>
    <w:rsid w:val="00F6069E"/>
    <w:rsid w:val="00F63AC0"/>
    <w:rsid w:val="00F660B0"/>
    <w:rsid w:val="00F67A5F"/>
    <w:rsid w:val="00F70658"/>
    <w:rsid w:val="00F708CD"/>
    <w:rsid w:val="00F82DA3"/>
    <w:rsid w:val="00F9527A"/>
    <w:rsid w:val="00FB50E7"/>
    <w:rsid w:val="00FB6A79"/>
    <w:rsid w:val="00FD5A57"/>
    <w:rsid w:val="00FF3764"/>
    <w:rsid w:val="00FF40F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b/>
      <w:bCs/>
      <w:caps/>
      <w:lang w:val="es-SV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705"/>
        <w:tab w:val="num" w:pos="900"/>
      </w:tabs>
      <w:ind w:left="907" w:hanging="547"/>
      <w:jc w:val="lef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18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caps/>
      <w:sz w:val="40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b/>
      <w:bCs/>
      <w:sz w:val="40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8"/>
      <w:outlineLvl w:val="6"/>
    </w:pPr>
    <w:rPr>
      <w:b/>
      <w:bCs/>
      <w:sz w:val="32"/>
      <w:lang w:val="en-US"/>
    </w:rPr>
  </w:style>
  <w:style w:type="paragraph" w:styleId="Ttulo8">
    <w:name w:val="heading 8"/>
    <w:basedOn w:val="Normal"/>
    <w:next w:val="Normal"/>
    <w:qFormat/>
    <w:pPr>
      <w:keepNext/>
      <w:ind w:firstLine="705"/>
      <w:outlineLvl w:val="7"/>
    </w:pPr>
    <w:rPr>
      <w:sz w:val="32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  <w:jc w:val="right"/>
    </w:pPr>
    <w:rPr>
      <w:i/>
      <w:sz w:val="20"/>
    </w:rPr>
  </w:style>
  <w:style w:type="paragraph" w:customStyle="1" w:styleId="StyleHeading1After6pt">
    <w:name w:val="Style Heading 1 + After:  6 pt"/>
    <w:basedOn w:val="Ttulo1"/>
    <w:rPr>
      <w:szCs w:val="20"/>
    </w:rPr>
  </w:style>
  <w:style w:type="table" w:styleId="Tablaconcuadrcula">
    <w:name w:val="Table Grid"/>
    <w:basedOn w:val="Tablanormal"/>
    <w:rsid w:val="001B578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35767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04005"/>
  </w:style>
  <w:style w:type="table" w:customStyle="1" w:styleId="Tablaconcuadrcula1">
    <w:name w:val="Tabla con cuadrícula1"/>
    <w:basedOn w:val="Tablanormal"/>
    <w:next w:val="Tablaconcuadrcula"/>
    <w:uiPriority w:val="59"/>
    <w:rsid w:val="003A649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A649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A649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A649B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658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b/>
      <w:bCs/>
      <w:caps/>
      <w:lang w:val="es-SV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705"/>
        <w:tab w:val="num" w:pos="900"/>
      </w:tabs>
      <w:ind w:left="907" w:hanging="547"/>
      <w:jc w:val="lef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18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caps/>
      <w:sz w:val="40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b/>
      <w:bCs/>
      <w:sz w:val="40"/>
      <w:lang w:val="en-US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8"/>
      <w:outlineLvl w:val="6"/>
    </w:pPr>
    <w:rPr>
      <w:b/>
      <w:bCs/>
      <w:sz w:val="32"/>
      <w:lang w:val="en-US"/>
    </w:rPr>
  </w:style>
  <w:style w:type="paragraph" w:styleId="Ttulo8">
    <w:name w:val="heading 8"/>
    <w:basedOn w:val="Normal"/>
    <w:next w:val="Normal"/>
    <w:qFormat/>
    <w:pPr>
      <w:keepNext/>
      <w:ind w:firstLine="705"/>
      <w:outlineLvl w:val="7"/>
    </w:pPr>
    <w:rPr>
      <w:sz w:val="32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</w:style>
  <w:style w:type="paragraph" w:styleId="Encabezado">
    <w:name w:val="header"/>
    <w:basedOn w:val="Normal"/>
    <w:pPr>
      <w:tabs>
        <w:tab w:val="center" w:pos="4419"/>
        <w:tab w:val="right" w:pos="8838"/>
      </w:tabs>
      <w:jc w:val="right"/>
    </w:pPr>
    <w:rPr>
      <w:i/>
      <w:sz w:val="20"/>
    </w:rPr>
  </w:style>
  <w:style w:type="paragraph" w:customStyle="1" w:styleId="StyleHeading1After6pt">
    <w:name w:val="Style Heading 1 + After:  6 pt"/>
    <w:basedOn w:val="Ttulo1"/>
    <w:rPr>
      <w:szCs w:val="20"/>
    </w:rPr>
  </w:style>
  <w:style w:type="table" w:styleId="Tablaconcuadrcula">
    <w:name w:val="Table Grid"/>
    <w:basedOn w:val="Tablanormal"/>
    <w:rsid w:val="001B578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35767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04005"/>
  </w:style>
  <w:style w:type="table" w:customStyle="1" w:styleId="Tablaconcuadrcula1">
    <w:name w:val="Tabla con cuadrícula1"/>
    <w:basedOn w:val="Tablanormal"/>
    <w:next w:val="Tablaconcuadrcula"/>
    <w:uiPriority w:val="59"/>
    <w:rsid w:val="003A649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A649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3A649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A649B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65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C2F4-A515-4479-BE8C-3B818851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564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BASA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upe_jorge</dc:creator>
  <cp:lastModifiedBy>upe_jorge</cp:lastModifiedBy>
  <cp:revision>4</cp:revision>
  <cp:lastPrinted>2014-10-16T19:23:00Z</cp:lastPrinted>
  <dcterms:created xsi:type="dcterms:W3CDTF">2014-09-17T23:08:00Z</dcterms:created>
  <dcterms:modified xsi:type="dcterms:W3CDTF">2014-10-16T19:23:00Z</dcterms:modified>
</cp:coreProperties>
</file>