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408328C6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 xml:space="preserve">(PERIODO DE </w:t>
      </w:r>
      <w:r w:rsidR="00946478">
        <w:rPr>
          <w:b/>
          <w:bCs/>
          <w:sz w:val="24"/>
          <w:szCs w:val="24"/>
        </w:rPr>
        <w:t>ENERO 2021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26F8ADDE" w:rsidR="000900D7" w:rsidRDefault="00165A3B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348E5809" w:rsidR="000900D7" w:rsidRPr="000900D7" w:rsidRDefault="00283C94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70B4C0BC" w:rsidR="000900D7" w:rsidRPr="000900D7" w:rsidRDefault="00AC710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432B548F" w:rsidR="000900D7" w:rsidRPr="000900D7" w:rsidRDefault="00AC710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77597C68" w:rsidR="000900D7" w:rsidRPr="000900D7" w:rsidRDefault="00AC710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61FEA" w14:textId="1ABA5120" w:rsidR="0084177F" w:rsidRPr="003F67A4" w:rsidRDefault="00CA116A" w:rsidP="0084177F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8C6F6C6" wp14:editId="03F610B1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4177F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1418B9"/>
    <w:rsid w:val="00165A3B"/>
    <w:rsid w:val="00283C94"/>
    <w:rsid w:val="00376BF4"/>
    <w:rsid w:val="003F67A4"/>
    <w:rsid w:val="00440213"/>
    <w:rsid w:val="005D5F1A"/>
    <w:rsid w:val="005E38AC"/>
    <w:rsid w:val="00625875"/>
    <w:rsid w:val="00697F32"/>
    <w:rsid w:val="00724072"/>
    <w:rsid w:val="007B5F35"/>
    <w:rsid w:val="008206C6"/>
    <w:rsid w:val="0084177F"/>
    <w:rsid w:val="008C4CA3"/>
    <w:rsid w:val="00946478"/>
    <w:rsid w:val="009F2BEF"/>
    <w:rsid w:val="00AC710E"/>
    <w:rsid w:val="00AD57D8"/>
    <w:rsid w:val="00C8401F"/>
    <w:rsid w:val="00CA116A"/>
    <w:rsid w:val="00DB7E55"/>
    <w:rsid w:val="00DD4061"/>
    <w:rsid w:val="00F7637E"/>
    <w:rsid w:val="00F93F1F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de Enero  2021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83E6-4D3A-B9D0-E5F39F243CD9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83E6-4D3A-B9D0-E5F39F243CD9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83E6-4D3A-B9D0-E5F39F243CD9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83E6-4D3A-B9D0-E5F39F243CD9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83E6-4D3A-B9D0-E5F39F243C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3E6-4D3A-B9D0-E5F39F243CD9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3E6-4D3A-B9D0-E5F39F243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9</cp:revision>
  <dcterms:created xsi:type="dcterms:W3CDTF">2021-05-06T19:33:00Z</dcterms:created>
  <dcterms:modified xsi:type="dcterms:W3CDTF">2021-05-06T19:48:00Z</dcterms:modified>
</cp:coreProperties>
</file>