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578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2928"/>
        <w:gridCol w:w="1959"/>
        <w:gridCol w:w="1478"/>
        <w:gridCol w:w="1662"/>
        <w:gridCol w:w="836"/>
        <w:gridCol w:w="1170"/>
        <w:gridCol w:w="2007"/>
        <w:gridCol w:w="3743"/>
      </w:tblGrid>
      <w:tr w:rsidR="000A1073" w:rsidRPr="0061147D" w14:paraId="233476E7" w14:textId="77777777" w:rsidTr="002849B1">
        <w:trPr>
          <w:trHeight w:val="330"/>
        </w:trPr>
        <w:tc>
          <w:tcPr>
            <w:tcW w:w="17578" w:type="dxa"/>
            <w:gridSpan w:val="9"/>
            <w:shd w:val="clear" w:color="auto" w:fill="BDD6EE" w:themeFill="accent1" w:themeFillTint="66"/>
            <w:vAlign w:val="center"/>
          </w:tcPr>
          <w:p w14:paraId="7B2DB075" w14:textId="77777777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color w:val="002060"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color w:val="002060"/>
                <w:sz w:val="22"/>
              </w:rPr>
              <w:t>ÍNDICE DE INFORMACIÓN RESERVADA</w:t>
            </w:r>
          </w:p>
          <w:p w14:paraId="1B3389A6" w14:textId="6A301858" w:rsidR="000A1073" w:rsidRPr="000A1073" w:rsidRDefault="000A1073" w:rsidP="00AA1EF0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color w:val="002060"/>
                <w:sz w:val="22"/>
              </w:rPr>
            </w:pPr>
            <w:r w:rsidRPr="00AE5671">
              <w:rPr>
                <w:rFonts w:ascii="Museo Sans 300" w:hAnsi="Museo Sans 300"/>
                <w:b/>
                <w:bCs/>
                <w:color w:val="222A35" w:themeColor="text2" w:themeShade="80"/>
                <w:sz w:val="22"/>
              </w:rPr>
              <w:t xml:space="preserve">Actualización </w:t>
            </w:r>
            <w:r w:rsidR="000D115F">
              <w:rPr>
                <w:rFonts w:ascii="Museo Sans 300" w:hAnsi="Museo Sans 300"/>
                <w:b/>
                <w:bCs/>
                <w:color w:val="222A35" w:themeColor="text2" w:themeShade="80"/>
                <w:sz w:val="22"/>
              </w:rPr>
              <w:t>30 de junio</w:t>
            </w:r>
            <w:bookmarkStart w:id="0" w:name="_GoBack"/>
            <w:bookmarkEnd w:id="0"/>
            <w:r w:rsidR="00CA6FC0" w:rsidRPr="00AE5671">
              <w:rPr>
                <w:rFonts w:ascii="Museo Sans 300" w:hAnsi="Museo Sans 300"/>
                <w:b/>
                <w:bCs/>
                <w:color w:val="222A35" w:themeColor="text2" w:themeShade="80"/>
                <w:sz w:val="22"/>
              </w:rPr>
              <w:t xml:space="preserve"> de 2020</w:t>
            </w:r>
          </w:p>
        </w:tc>
      </w:tr>
      <w:tr w:rsidR="000A1073" w:rsidRPr="0061147D" w14:paraId="20C3B36E" w14:textId="77777777" w:rsidTr="002849B1">
        <w:trPr>
          <w:trHeight w:val="330"/>
        </w:trPr>
        <w:tc>
          <w:tcPr>
            <w:tcW w:w="1795" w:type="dxa"/>
            <w:shd w:val="clear" w:color="auto" w:fill="BDD6EE" w:themeFill="accent1" w:themeFillTint="66"/>
            <w:vAlign w:val="center"/>
          </w:tcPr>
          <w:p w14:paraId="377B7A70" w14:textId="5BAFF4AA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2928" w:type="dxa"/>
            <w:shd w:val="clear" w:color="auto" w:fill="BDD6EE" w:themeFill="accent1" w:themeFillTint="66"/>
            <w:vAlign w:val="center"/>
          </w:tcPr>
          <w:p w14:paraId="1714F8E0" w14:textId="084A0370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959" w:type="dxa"/>
            <w:shd w:val="clear" w:color="auto" w:fill="BDD6EE" w:themeFill="accent1" w:themeFillTint="66"/>
            <w:vAlign w:val="center"/>
          </w:tcPr>
          <w:p w14:paraId="1A9C6937" w14:textId="1A72A5D3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478" w:type="dxa"/>
            <w:shd w:val="clear" w:color="auto" w:fill="BDD6EE" w:themeFill="accent1" w:themeFillTint="66"/>
            <w:vAlign w:val="center"/>
          </w:tcPr>
          <w:p w14:paraId="7D7D3386" w14:textId="3B5043BA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1662" w:type="dxa"/>
            <w:shd w:val="clear" w:color="auto" w:fill="BDD6EE" w:themeFill="accent1" w:themeFillTint="66"/>
            <w:vAlign w:val="center"/>
          </w:tcPr>
          <w:p w14:paraId="472EA5FF" w14:textId="114319A1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2006" w:type="dxa"/>
            <w:gridSpan w:val="2"/>
            <w:shd w:val="clear" w:color="auto" w:fill="BDD6EE" w:themeFill="accent1" w:themeFillTint="66"/>
            <w:vAlign w:val="center"/>
          </w:tcPr>
          <w:p w14:paraId="63A30D76" w14:textId="563AEDE9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Tipo de RESERVA</w:t>
            </w:r>
          </w:p>
        </w:tc>
        <w:tc>
          <w:tcPr>
            <w:tcW w:w="2007" w:type="dxa"/>
            <w:shd w:val="clear" w:color="auto" w:fill="BDD6EE" w:themeFill="accent1" w:themeFillTint="66"/>
            <w:vAlign w:val="center"/>
          </w:tcPr>
          <w:p w14:paraId="0148624E" w14:textId="2DC5D4DE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  <w:tc>
          <w:tcPr>
            <w:tcW w:w="3743" w:type="dxa"/>
            <w:shd w:val="clear" w:color="auto" w:fill="BDD6EE" w:themeFill="accent1" w:themeFillTint="66"/>
            <w:vAlign w:val="center"/>
          </w:tcPr>
          <w:p w14:paraId="50EFF62B" w14:textId="19841E98" w:rsidR="000A1073" w:rsidRPr="000A1073" w:rsidRDefault="000A1073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 </w:t>
            </w:r>
          </w:p>
        </w:tc>
      </w:tr>
      <w:tr w:rsidR="009F5DA8" w:rsidRPr="0061147D" w14:paraId="30ECD1A6" w14:textId="77777777" w:rsidTr="002849B1">
        <w:trPr>
          <w:trHeight w:val="1395"/>
        </w:trPr>
        <w:tc>
          <w:tcPr>
            <w:tcW w:w="1795" w:type="dxa"/>
            <w:shd w:val="clear" w:color="auto" w:fill="BDD6EE" w:themeFill="accent1" w:themeFillTint="66"/>
            <w:vAlign w:val="center"/>
            <w:hideMark/>
          </w:tcPr>
          <w:p w14:paraId="2EC24E57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N° DE DECLARATORIA DE RESERVA</w:t>
            </w:r>
          </w:p>
        </w:tc>
        <w:tc>
          <w:tcPr>
            <w:tcW w:w="2928" w:type="dxa"/>
            <w:shd w:val="clear" w:color="auto" w:fill="BDD6EE" w:themeFill="accent1" w:themeFillTint="66"/>
            <w:vAlign w:val="center"/>
            <w:hideMark/>
          </w:tcPr>
          <w:p w14:paraId="6F4431F3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RUBRO TEMÁTICO</w:t>
            </w:r>
          </w:p>
        </w:tc>
        <w:tc>
          <w:tcPr>
            <w:tcW w:w="1959" w:type="dxa"/>
            <w:shd w:val="clear" w:color="auto" w:fill="BDD6EE" w:themeFill="accent1" w:themeFillTint="66"/>
            <w:vAlign w:val="center"/>
            <w:hideMark/>
          </w:tcPr>
          <w:p w14:paraId="263D2905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AUTORIDAD QUE            RESERVA</w:t>
            </w:r>
          </w:p>
        </w:tc>
        <w:tc>
          <w:tcPr>
            <w:tcW w:w="1478" w:type="dxa"/>
            <w:shd w:val="clear" w:color="auto" w:fill="BDD6EE" w:themeFill="accent1" w:themeFillTint="66"/>
            <w:vAlign w:val="center"/>
            <w:hideMark/>
          </w:tcPr>
          <w:p w14:paraId="135B7478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UNIDAD   QUE   GENERA O ADMINISTRA</w:t>
            </w:r>
          </w:p>
        </w:tc>
        <w:tc>
          <w:tcPr>
            <w:tcW w:w="1662" w:type="dxa"/>
            <w:shd w:val="clear" w:color="auto" w:fill="BDD6EE" w:themeFill="accent1" w:themeFillTint="66"/>
            <w:vAlign w:val="center"/>
            <w:hideMark/>
          </w:tcPr>
          <w:p w14:paraId="368FD64B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FECHA DE GENERACIÓN U OBTENCIÓN</w:t>
            </w:r>
          </w:p>
        </w:tc>
        <w:tc>
          <w:tcPr>
            <w:tcW w:w="836" w:type="dxa"/>
            <w:shd w:val="clear" w:color="auto" w:fill="BDD6EE" w:themeFill="accent1" w:themeFillTint="66"/>
            <w:vAlign w:val="center"/>
            <w:hideMark/>
          </w:tcPr>
          <w:p w14:paraId="471CC5A6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TOTAL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  <w:hideMark/>
          </w:tcPr>
          <w:p w14:paraId="35D7594E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PARCIAL</w:t>
            </w:r>
          </w:p>
        </w:tc>
        <w:tc>
          <w:tcPr>
            <w:tcW w:w="2007" w:type="dxa"/>
            <w:shd w:val="clear" w:color="auto" w:fill="BDD6EE" w:themeFill="accent1" w:themeFillTint="66"/>
            <w:vAlign w:val="center"/>
            <w:hideMark/>
          </w:tcPr>
          <w:p w14:paraId="2189E3AC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TERMINO PLAZO</w:t>
            </w:r>
          </w:p>
        </w:tc>
        <w:tc>
          <w:tcPr>
            <w:tcW w:w="3743" w:type="dxa"/>
            <w:shd w:val="clear" w:color="auto" w:fill="BDD6EE" w:themeFill="accent1" w:themeFillTint="66"/>
            <w:vAlign w:val="center"/>
            <w:hideMark/>
          </w:tcPr>
          <w:p w14:paraId="41F00B43" w14:textId="77777777" w:rsidR="0061147D" w:rsidRPr="000A1073" w:rsidRDefault="0061147D" w:rsidP="000A1073">
            <w:pPr>
              <w:pStyle w:val="NormalWeb"/>
              <w:spacing w:before="0" w:after="0"/>
              <w:ind w:right="-142"/>
              <w:jc w:val="center"/>
              <w:rPr>
                <w:rFonts w:ascii="Museo Sans 300" w:hAnsi="Museo Sans 300"/>
                <w:b/>
                <w:bCs/>
                <w:sz w:val="22"/>
              </w:rPr>
            </w:pPr>
            <w:r w:rsidRPr="000A1073">
              <w:rPr>
                <w:rFonts w:ascii="Museo Sans 300" w:hAnsi="Museo Sans 300"/>
                <w:b/>
                <w:bCs/>
                <w:sz w:val="22"/>
              </w:rPr>
              <w:t>JUSTIFICACION LEGAL DE RESERVA   (Art. 19 LAIP según literales)</w:t>
            </w:r>
          </w:p>
        </w:tc>
      </w:tr>
      <w:tr w:rsidR="00E02B4F" w:rsidRPr="0061147D" w14:paraId="39D1C744" w14:textId="77777777" w:rsidTr="002849B1">
        <w:trPr>
          <w:trHeight w:val="885"/>
        </w:trPr>
        <w:tc>
          <w:tcPr>
            <w:tcW w:w="1795" w:type="dxa"/>
            <w:shd w:val="clear" w:color="auto" w:fill="auto"/>
            <w:vAlign w:val="center"/>
            <w:hideMark/>
          </w:tcPr>
          <w:p w14:paraId="08338BA6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181-250614</w:t>
            </w:r>
          </w:p>
        </w:tc>
        <w:tc>
          <w:tcPr>
            <w:tcW w:w="2928" w:type="dxa"/>
            <w:shd w:val="clear" w:color="auto" w:fill="auto"/>
            <w:vAlign w:val="center"/>
            <w:hideMark/>
          </w:tcPr>
          <w:p w14:paraId="3C811794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Copias de Expedientes de Contratos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3F724C0D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EDC6CE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094AE67D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01/01/2014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1978F39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025F22C" w14:textId="49AD324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5AC867A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01/01/2021</w:t>
            </w:r>
          </w:p>
        </w:tc>
        <w:tc>
          <w:tcPr>
            <w:tcW w:w="3743" w:type="dxa"/>
            <w:shd w:val="clear" w:color="auto" w:fill="auto"/>
            <w:vAlign w:val="center"/>
            <w:hideMark/>
          </w:tcPr>
          <w:p w14:paraId="553DAAE4" w14:textId="77777777" w:rsidR="0061147D" w:rsidRPr="000A1073" w:rsidRDefault="0061147D" w:rsidP="009F5DA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1F64E006" w14:textId="77777777" w:rsidTr="002849B1">
        <w:trPr>
          <w:trHeight w:val="900"/>
        </w:trPr>
        <w:tc>
          <w:tcPr>
            <w:tcW w:w="1795" w:type="dxa"/>
            <w:shd w:val="clear" w:color="auto" w:fill="auto"/>
            <w:vAlign w:val="center"/>
            <w:hideMark/>
          </w:tcPr>
          <w:p w14:paraId="3FD65EC2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186-2014</w:t>
            </w:r>
          </w:p>
        </w:tc>
        <w:tc>
          <w:tcPr>
            <w:tcW w:w="2928" w:type="dxa"/>
            <w:shd w:val="clear" w:color="auto" w:fill="auto"/>
            <w:vAlign w:val="center"/>
            <w:hideMark/>
          </w:tcPr>
          <w:p w14:paraId="1DFE1743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Expedientes de recuperación judicial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37CF3690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236D0842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28E28C91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12/12/2014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1637602F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571A5D1" w14:textId="146EAB3B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53F32C5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12/12/2021</w:t>
            </w:r>
          </w:p>
        </w:tc>
        <w:tc>
          <w:tcPr>
            <w:tcW w:w="3743" w:type="dxa"/>
            <w:shd w:val="clear" w:color="auto" w:fill="auto"/>
            <w:vAlign w:val="center"/>
            <w:hideMark/>
          </w:tcPr>
          <w:p w14:paraId="32F941FA" w14:textId="77777777" w:rsidR="0061147D" w:rsidRPr="000A1073" w:rsidRDefault="0061147D" w:rsidP="009F5DA8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ponga en peligro evidente la vida, la seguridad o la salud de cualquier persona. Art. 19 Lit. d</w:t>
            </w:r>
          </w:p>
        </w:tc>
      </w:tr>
      <w:tr w:rsidR="00E02B4F" w:rsidRPr="0061147D" w14:paraId="628695F5" w14:textId="77777777" w:rsidTr="002849B1">
        <w:trPr>
          <w:trHeight w:val="1635"/>
        </w:trPr>
        <w:tc>
          <w:tcPr>
            <w:tcW w:w="1795" w:type="dxa"/>
            <w:shd w:val="clear" w:color="auto" w:fill="auto"/>
            <w:vAlign w:val="center"/>
            <w:hideMark/>
          </w:tcPr>
          <w:p w14:paraId="7BF3159A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204-10082015</w:t>
            </w:r>
          </w:p>
        </w:tc>
        <w:tc>
          <w:tcPr>
            <w:tcW w:w="2928" w:type="dxa"/>
            <w:shd w:val="clear" w:color="auto" w:fill="auto"/>
            <w:vAlign w:val="center"/>
            <w:hideMark/>
          </w:tcPr>
          <w:p w14:paraId="3790A377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de Ministerio de Trabajo Ref. 1875-14-(13499-IC-06-13)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42DBE313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08A3176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73C4EF61" w14:textId="2FD3B6A2" w:rsidR="0061147D" w:rsidRPr="000A1073" w:rsidRDefault="00541C4B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</w:t>
            </w:r>
            <w:r w:rsidR="0061147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/01/2015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652041D7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18ABAA3" w14:textId="74ABBD50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6226B769" w14:textId="71DDDB02" w:rsidR="0061147D" w:rsidRPr="000A1073" w:rsidRDefault="00541C4B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</w:t>
            </w:r>
            <w:r w:rsidR="0061147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/01/2022</w:t>
            </w:r>
          </w:p>
        </w:tc>
        <w:tc>
          <w:tcPr>
            <w:tcW w:w="3743" w:type="dxa"/>
            <w:shd w:val="clear" w:color="auto" w:fill="auto"/>
            <w:vAlign w:val="center"/>
            <w:hideMark/>
          </w:tcPr>
          <w:p w14:paraId="025719D4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Son documentos Judiciales y Administrativos que podrían comprometer las estrategias en curso y funciones Estatales en procedimientos,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así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como los resultados de los procesos Judiciales y Administrativos correspondientes.  Art. 19 lit.g</w:t>
            </w:r>
          </w:p>
        </w:tc>
      </w:tr>
      <w:tr w:rsidR="00E02B4F" w:rsidRPr="0061147D" w14:paraId="1B501B59" w14:textId="77777777" w:rsidTr="002849B1">
        <w:trPr>
          <w:trHeight w:val="1665"/>
        </w:trPr>
        <w:tc>
          <w:tcPr>
            <w:tcW w:w="1795" w:type="dxa"/>
            <w:shd w:val="clear" w:color="auto" w:fill="auto"/>
            <w:vAlign w:val="center"/>
            <w:hideMark/>
          </w:tcPr>
          <w:p w14:paraId="6033BDD5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205-10082015</w:t>
            </w:r>
          </w:p>
        </w:tc>
        <w:tc>
          <w:tcPr>
            <w:tcW w:w="2928" w:type="dxa"/>
            <w:shd w:val="clear" w:color="auto" w:fill="auto"/>
            <w:vAlign w:val="center"/>
            <w:hideMark/>
          </w:tcPr>
          <w:p w14:paraId="3C067F74" w14:textId="77777777" w:rsidR="0061147D" w:rsidRPr="000A1073" w:rsidRDefault="0061147D" w:rsidP="000A107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Ref. 131-DE-UP-10-15, Unidad Penal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60544E45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Presidente de INPEP Lic. Andrés Rodríguez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D4B91B3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77213154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04/02/2015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4F6E514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6313B67" w14:textId="7B8A9FD1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39C0CF1C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04/02/2022</w:t>
            </w:r>
          </w:p>
        </w:tc>
        <w:tc>
          <w:tcPr>
            <w:tcW w:w="3743" w:type="dxa"/>
            <w:shd w:val="clear" w:color="auto" w:fill="auto"/>
            <w:vAlign w:val="center"/>
            <w:hideMark/>
          </w:tcPr>
          <w:p w14:paraId="34D64634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Son documentos Judiciales y Administrativos que podrían comprometer las estrategias en curso y funciones Estatales en procedimientos,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así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como los resultados de los procesos Judiciales y Administrativos correspondientes.  Art. 19 lit.g</w:t>
            </w:r>
          </w:p>
        </w:tc>
      </w:tr>
      <w:tr w:rsidR="00E02B4F" w:rsidRPr="000A1073" w14:paraId="096535B7" w14:textId="77777777" w:rsidTr="002849B1">
        <w:trPr>
          <w:trHeight w:val="1515"/>
        </w:trPr>
        <w:tc>
          <w:tcPr>
            <w:tcW w:w="1795" w:type="dxa"/>
            <w:shd w:val="clear" w:color="auto" w:fill="auto"/>
            <w:vAlign w:val="center"/>
            <w:hideMark/>
          </w:tcPr>
          <w:p w14:paraId="6A290E51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lastRenderedPageBreak/>
              <w:t>DR 001/2019</w:t>
            </w:r>
          </w:p>
        </w:tc>
        <w:tc>
          <w:tcPr>
            <w:tcW w:w="2928" w:type="dxa"/>
            <w:shd w:val="clear" w:color="auto" w:fill="auto"/>
            <w:vAlign w:val="center"/>
            <w:hideMark/>
          </w:tcPr>
          <w:p w14:paraId="44172ACB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Expediente Administrativo del proceso Judicial, Expediente Administrativo de Créditos en proceso de cobro Judicial y toda información contenida en los Sistemas Institucionales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14:paraId="47D180C4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4B45C2EF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Subgerencia Legal de INPEP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4E541B99" w14:textId="6B16D90B" w:rsidR="0061147D" w:rsidRPr="000A1073" w:rsidRDefault="00541C4B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13</w:t>
            </w:r>
            <w:r w:rsidR="0061147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/</w:t>
            </w:r>
            <w:r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</w:t>
            </w:r>
            <w:r w:rsidR="0061147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2/201</w:t>
            </w:r>
            <w:r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8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0BB38F15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84CB96" w14:textId="09ACD47A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14:paraId="3B82DA63" w14:textId="5A10D944" w:rsidR="0061147D" w:rsidRPr="000A1073" w:rsidRDefault="00541C4B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13</w:t>
            </w:r>
            <w:r w:rsidR="0061147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/</w:t>
            </w:r>
            <w:r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1</w:t>
            </w:r>
            <w:r w:rsidR="0061147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2/202</w:t>
            </w:r>
            <w:r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</w:t>
            </w:r>
            <w:r w:rsidR="0086289A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</w:t>
            </w:r>
            <w:r w:rsidR="00047212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 </w:t>
            </w:r>
          </w:p>
        </w:tc>
        <w:tc>
          <w:tcPr>
            <w:tcW w:w="3743" w:type="dxa"/>
            <w:shd w:val="clear" w:color="auto" w:fill="auto"/>
            <w:vAlign w:val="center"/>
            <w:hideMark/>
          </w:tcPr>
          <w:p w14:paraId="2600D7D8" w14:textId="77777777" w:rsidR="0061147D" w:rsidRPr="000A1073" w:rsidRDefault="0061147D" w:rsidP="00993C33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Por tratarse de un proceso en desarrollo, en donde no existe por el momento una sentencia que produzca efecto de cosa juzgada, no se puede dar a conocer la información. Art. 19 lit. g.</w:t>
            </w:r>
          </w:p>
        </w:tc>
      </w:tr>
      <w:tr w:rsidR="00E02B4F" w:rsidRPr="000A1073" w14:paraId="5F8CBE38" w14:textId="77777777" w:rsidTr="002849B1">
        <w:trPr>
          <w:trHeight w:val="2248"/>
        </w:trPr>
        <w:tc>
          <w:tcPr>
            <w:tcW w:w="1795" w:type="dxa"/>
            <w:shd w:val="clear" w:color="000000" w:fill="FCE4D6"/>
            <w:vAlign w:val="center"/>
            <w:hideMark/>
          </w:tcPr>
          <w:p w14:paraId="0ACA6275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005/2019</w:t>
            </w:r>
          </w:p>
        </w:tc>
        <w:tc>
          <w:tcPr>
            <w:tcW w:w="2928" w:type="dxa"/>
            <w:shd w:val="clear" w:color="000000" w:fill="FCE4D6"/>
            <w:vAlign w:val="center"/>
            <w:hideMark/>
          </w:tcPr>
          <w:p w14:paraId="112FE618" w14:textId="77777777" w:rsidR="0061147D" w:rsidRPr="000A1073" w:rsidRDefault="0061147D" w:rsidP="0061147D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Romano   IV del Acta de Junta directiva N°39/2018 en la cual consta la Copia de Acta de Inspección Programada del Ministerio de Trabajo y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Previsión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Social de fecha 22 de octubre de 2018.</w:t>
            </w:r>
          </w:p>
        </w:tc>
        <w:tc>
          <w:tcPr>
            <w:tcW w:w="1959" w:type="dxa"/>
            <w:shd w:val="clear" w:color="000000" w:fill="FCE4D6"/>
            <w:vAlign w:val="center"/>
            <w:hideMark/>
          </w:tcPr>
          <w:p w14:paraId="759AD40C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F95052">
              <w:rPr>
                <w:rFonts w:ascii="Museo Sans 300" w:eastAsia="Times New Roman" w:hAnsi="Museo Sans 300" w:cs="Times New Roman"/>
                <w:b/>
                <w:bCs/>
                <w:kern w:val="1"/>
                <w:szCs w:val="24"/>
                <w:lang w:val="es-ES" w:eastAsia="ar-SA"/>
              </w:rPr>
              <w:t>Gerente de INPEP, Ing. Juana María Coto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, por Acuerdo de Junta Directiva, emitido en Sesión Ordinaria  N° 02/2019, de fecha 16/01/2019</w:t>
            </w:r>
          </w:p>
        </w:tc>
        <w:tc>
          <w:tcPr>
            <w:tcW w:w="1478" w:type="dxa"/>
            <w:shd w:val="clear" w:color="000000" w:fill="FCE4D6"/>
            <w:vAlign w:val="center"/>
            <w:hideMark/>
          </w:tcPr>
          <w:p w14:paraId="4FC5CC71" w14:textId="77777777" w:rsidR="0061147D" w:rsidRPr="000A1073" w:rsidRDefault="0061147D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2" w:type="dxa"/>
            <w:shd w:val="clear" w:color="000000" w:fill="FCE4D6"/>
            <w:vAlign w:val="center"/>
            <w:hideMark/>
          </w:tcPr>
          <w:p w14:paraId="7240DD18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23/10/2018</w:t>
            </w:r>
          </w:p>
        </w:tc>
        <w:tc>
          <w:tcPr>
            <w:tcW w:w="836" w:type="dxa"/>
            <w:shd w:val="clear" w:color="000000" w:fill="FCE4D6"/>
            <w:vAlign w:val="center"/>
            <w:hideMark/>
          </w:tcPr>
          <w:p w14:paraId="3D6EDDF3" w14:textId="465FFB60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170" w:type="dxa"/>
            <w:shd w:val="clear" w:color="000000" w:fill="FCE4D6"/>
            <w:vAlign w:val="center"/>
            <w:hideMark/>
          </w:tcPr>
          <w:p w14:paraId="61459369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2007" w:type="dxa"/>
            <w:shd w:val="clear" w:color="000000" w:fill="FCE4D6"/>
            <w:vAlign w:val="center"/>
            <w:hideMark/>
          </w:tcPr>
          <w:p w14:paraId="4534FEB5" w14:textId="77777777" w:rsidR="0061147D" w:rsidRPr="000A1073" w:rsidRDefault="0061147D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Hasta que le Ministerio de Trabajo y </w:t>
            </w:r>
            <w:r w:rsidR="009F5DA8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Previsión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 social  verifique el cumplimiento de las recomendaciones.</w:t>
            </w:r>
          </w:p>
        </w:tc>
        <w:tc>
          <w:tcPr>
            <w:tcW w:w="3743" w:type="dxa"/>
            <w:shd w:val="clear" w:color="000000" w:fill="FCE4D6"/>
            <w:vAlign w:val="center"/>
            <w:hideMark/>
          </w:tcPr>
          <w:p w14:paraId="1D1C3E3F" w14:textId="77777777" w:rsidR="0061147D" w:rsidRPr="000A1073" w:rsidRDefault="0061147D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 xml:space="preserve">Informe incluye recomendaciones pendientes de cumplir.                                                               Art. 19 lit. e. La que contenga opiniones o recomendaciones que formen parte del proceso deliberativo de los servidores públicos, en tanto no sea adoptada la decisión definitiva. </w:t>
            </w:r>
          </w:p>
        </w:tc>
      </w:tr>
      <w:tr w:rsidR="00C643B4" w:rsidRPr="000A1073" w14:paraId="50033517" w14:textId="77777777" w:rsidTr="002849B1">
        <w:trPr>
          <w:trHeight w:val="2248"/>
        </w:trPr>
        <w:tc>
          <w:tcPr>
            <w:tcW w:w="1795" w:type="dxa"/>
            <w:shd w:val="clear" w:color="auto" w:fill="auto"/>
            <w:vAlign w:val="center"/>
          </w:tcPr>
          <w:p w14:paraId="356A4130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006/2019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485395EB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Romano   II. del Acta de Junta directiva N°15/2019 de Sesión Ordinaria de Fecha 9 de abril de 2019, en la cual consta Oficio N°73/2019 de fecha 02 de abril de 2019, emitido por la Procuraduría General de la República, dirigido a la Junta directiva, por denuncia en contra de funcionario del INPEP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9AB3D26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4955C068" w14:textId="77777777" w:rsidR="00C643B4" w:rsidRPr="000A1073" w:rsidRDefault="00C643B4" w:rsidP="0061147D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79C33B4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09/04/2019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1C72442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FC6DAC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6AC50114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Un año o mientras dure la investigación.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22C739DA" w14:textId="77777777" w:rsidR="00C643B4" w:rsidRPr="000A1073" w:rsidRDefault="00C643B4" w:rsidP="00E02B4F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causare un serio prejuicio en la prevención, investigación o persecución de actos ilícitos, en la administración de justicia o en la verificación del cumplimiento de leyes. Art.19 lit. f y Las judiciales que comprometiere las estrategias y funciones estatales en procedimientos judiciales o administrativos en curso Art. 19 lit. g</w:t>
            </w:r>
          </w:p>
        </w:tc>
      </w:tr>
      <w:tr w:rsidR="00C643B4" w:rsidRPr="000A1073" w14:paraId="0727B120" w14:textId="77777777" w:rsidTr="002849B1">
        <w:trPr>
          <w:trHeight w:val="2248"/>
        </w:trPr>
        <w:tc>
          <w:tcPr>
            <w:tcW w:w="1795" w:type="dxa"/>
            <w:shd w:val="clear" w:color="auto" w:fill="auto"/>
            <w:vAlign w:val="center"/>
          </w:tcPr>
          <w:p w14:paraId="2618857B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DR 00</w:t>
            </w:r>
            <w:r w:rsidR="00635B4D"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7</w:t>
            </w: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/2019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15C57629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Romano   III. del Acta de Junta directiva N°15/2019 de Sesión Ordinaria de Fecha 9 de abril de 2019, en la cual consta Acta de inspección especial exp. 04747-IC-02-19-E-SS Ministerio de Trabajo y Previsión social, por denuncia de trabajadora contra de funcionario del INPEP.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352B864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Gerente de INPEP, Ing. Juana María Coto, por Acuerdo de Junta Directiva, emitido en Sesión Ordinaria  N° 02/2019, de fecha 16/01/2019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778C8B2" w14:textId="77777777" w:rsidR="00C643B4" w:rsidRPr="000A1073" w:rsidRDefault="00C643B4" w:rsidP="00C643B4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Junta Directiva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5FB80B83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09/04/2019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29E78EE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922239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X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5379D6D" w14:textId="77777777" w:rsidR="00C643B4" w:rsidRPr="000A1073" w:rsidRDefault="00C643B4" w:rsidP="000A1073">
            <w:pPr>
              <w:spacing w:after="0" w:line="240" w:lineRule="auto"/>
              <w:jc w:val="center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Un año o mientras dure la investigación.</w:t>
            </w:r>
          </w:p>
        </w:tc>
        <w:tc>
          <w:tcPr>
            <w:tcW w:w="3743" w:type="dxa"/>
            <w:shd w:val="clear" w:color="auto" w:fill="auto"/>
            <w:vAlign w:val="center"/>
          </w:tcPr>
          <w:p w14:paraId="719F4BB1" w14:textId="77777777" w:rsidR="00C643B4" w:rsidRPr="000A1073" w:rsidRDefault="00C643B4" w:rsidP="00C643B4">
            <w:pPr>
              <w:spacing w:after="0" w:line="240" w:lineRule="auto"/>
              <w:jc w:val="both"/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</w:pPr>
            <w:r w:rsidRPr="000A1073">
              <w:rPr>
                <w:rFonts w:ascii="Museo Sans 300" w:eastAsia="Times New Roman" w:hAnsi="Museo Sans 300" w:cs="Times New Roman"/>
                <w:kern w:val="1"/>
                <w:szCs w:val="24"/>
                <w:lang w:val="es-ES" w:eastAsia="ar-SA"/>
              </w:rPr>
              <w:t>La que causare un serio prejuicio en la prevención, investigación o persecución de actos ilícitos, en la administración de justicia o en la verificación del cumplimiento de leyes. Art.19 lit. f y Las judiciales que comprometiere las estrategias y funciones estatales en procedimientos judiciales o administrativos en curso Art. 19 lit. g</w:t>
            </w:r>
          </w:p>
        </w:tc>
      </w:tr>
    </w:tbl>
    <w:p w14:paraId="5215B8DE" w14:textId="5DD15B4B" w:rsidR="00AA1EF0" w:rsidRDefault="00AA1EF0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43A82303" w14:textId="245410F8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481BBCA1" w14:textId="1E1642C5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51EBC287" w14:textId="5C92A85B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015199CF" w14:textId="0BE24CF2" w:rsidR="0050489E" w:rsidRDefault="0050489E" w:rsidP="00CA6FC0">
      <w:pPr>
        <w:rPr>
          <w:rFonts w:ascii="Museo Sans 300" w:eastAsia="Times New Roman" w:hAnsi="Museo Sans 300" w:cs="Times New Roman"/>
          <w:kern w:val="1"/>
          <w:szCs w:val="24"/>
          <w:lang w:val="es-ES" w:eastAsia="ar-SA"/>
        </w:rPr>
      </w:pPr>
    </w:p>
    <w:p w14:paraId="15E90658" w14:textId="3DCF080B" w:rsidR="0050489E" w:rsidRDefault="0050489E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  <w:r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  <w:t xml:space="preserve">                                                                                                                           </w:t>
      </w:r>
      <w:r w:rsidR="006F79D3" w:rsidRPr="006F79D3">
        <w:rPr>
          <w:rFonts w:ascii="Museo Sans 300" w:eastAsia="Times New Roman" w:hAnsi="Museo Sans 300" w:cs="Times New Roman"/>
          <w:b/>
          <w:noProof/>
          <w:kern w:val="1"/>
          <w:szCs w:val="24"/>
          <w:lang w:val="es-ES" w:eastAsia="ar-SA"/>
        </w:rPr>
        <w:drawing>
          <wp:inline distT="0" distB="0" distL="0" distR="0" wp14:anchorId="4A7475D9" wp14:editId="47C861D1">
            <wp:extent cx="4267200" cy="18002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  <w:t xml:space="preserve">                        </w:t>
      </w:r>
    </w:p>
    <w:p w14:paraId="036FCA85" w14:textId="07BBE244" w:rsidR="0050489E" w:rsidRDefault="0050489E" w:rsidP="0050489E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p w14:paraId="3F0CD1D5" w14:textId="29F899F3" w:rsidR="0050489E" w:rsidRDefault="0050489E" w:rsidP="006F79D3">
      <w:pPr>
        <w:spacing w:after="0" w:line="240" w:lineRule="auto"/>
        <w:jc w:val="right"/>
        <w:rPr>
          <w:rFonts w:ascii="Museo Sans 300" w:eastAsia="Times New Roman" w:hAnsi="Museo Sans 300" w:cs="Times New Roman"/>
          <w:b/>
          <w:kern w:val="1"/>
          <w:szCs w:val="24"/>
          <w:lang w:val="es-ES" w:eastAsia="ar-SA"/>
        </w:rPr>
      </w:pPr>
    </w:p>
    <w:sectPr w:rsidR="0050489E" w:rsidSect="00E20DD0">
      <w:footerReference w:type="default" r:id="rId7"/>
      <w:headerReference w:type="first" r:id="rId8"/>
      <w:footerReference w:type="first" r:id="rId9"/>
      <w:pgSz w:w="18711" w:h="12242" w:orient="landscape" w:code="5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5FD79" w14:textId="77777777" w:rsidR="00A41151" w:rsidRDefault="00A41151" w:rsidP="0061147D">
      <w:pPr>
        <w:spacing w:after="0" w:line="240" w:lineRule="auto"/>
      </w:pPr>
      <w:r>
        <w:separator/>
      </w:r>
    </w:p>
  </w:endnote>
  <w:endnote w:type="continuationSeparator" w:id="0">
    <w:p w14:paraId="14118475" w14:textId="77777777" w:rsidR="00A41151" w:rsidRDefault="00A41151" w:rsidP="0061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Sans 3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222887"/>
      <w:docPartObj>
        <w:docPartGallery w:val="Page Numbers (Bottom of Page)"/>
        <w:docPartUnique/>
      </w:docPartObj>
    </w:sdtPr>
    <w:sdtEndPr/>
    <w:sdtContent>
      <w:p w14:paraId="5EC8C986" w14:textId="79227F3A" w:rsidR="00CA6FC0" w:rsidRDefault="00CA6FC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BA1663" w14:textId="77777777" w:rsidR="00F95052" w:rsidRDefault="00F950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194168"/>
      <w:docPartObj>
        <w:docPartGallery w:val="Page Numbers (Bottom of Page)"/>
        <w:docPartUnique/>
      </w:docPartObj>
    </w:sdtPr>
    <w:sdtEndPr/>
    <w:sdtContent>
      <w:p w14:paraId="3EA96AEA" w14:textId="25958170" w:rsidR="009F5DA8" w:rsidRDefault="009F5D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F0" w:rsidRPr="00AA1EF0">
          <w:rPr>
            <w:noProof/>
            <w:lang w:val="es-ES"/>
          </w:rPr>
          <w:t>1</w:t>
        </w:r>
        <w:r>
          <w:fldChar w:fldCharType="end"/>
        </w:r>
      </w:p>
    </w:sdtContent>
  </w:sdt>
  <w:p w14:paraId="04776030" w14:textId="77777777" w:rsidR="009F5DA8" w:rsidRDefault="009F5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D2A33" w14:textId="77777777" w:rsidR="00A41151" w:rsidRDefault="00A41151" w:rsidP="0061147D">
      <w:pPr>
        <w:spacing w:after="0" w:line="240" w:lineRule="auto"/>
      </w:pPr>
      <w:r>
        <w:separator/>
      </w:r>
    </w:p>
  </w:footnote>
  <w:footnote w:type="continuationSeparator" w:id="0">
    <w:p w14:paraId="34DFC3A5" w14:textId="77777777" w:rsidR="00A41151" w:rsidRDefault="00A41151" w:rsidP="0061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6F1AC" w14:textId="6C7EF532" w:rsidR="0061147D" w:rsidRPr="009F5DA8" w:rsidRDefault="000A1073" w:rsidP="009F5DA8">
    <w:pPr>
      <w:pStyle w:val="NormalWeb"/>
      <w:tabs>
        <w:tab w:val="left" w:pos="6438"/>
      </w:tabs>
      <w:spacing w:before="0" w:after="0" w:line="238" w:lineRule="atLeast"/>
      <w:rPr>
        <w:rFonts w:ascii="Cambria" w:hAnsi="Cambria" w:cs="Cambria"/>
        <w:szCs w:val="20"/>
      </w:rPr>
    </w:pPr>
    <w:r>
      <w:rPr>
        <w:rFonts w:ascii="Cambria" w:hAnsi="Cambria" w:cs="Cambria"/>
        <w:b/>
        <w:bCs/>
        <w:noProof/>
        <w:color w:val="004586"/>
        <w:sz w:val="20"/>
        <w:lang w:val="es-SV" w:eastAsia="es-SV"/>
      </w:rPr>
      <w:drawing>
        <wp:anchor distT="0" distB="0" distL="114300" distR="114300" simplePos="0" relativeHeight="251663360" behindDoc="0" locked="0" layoutInCell="1" allowOverlap="1" wp14:anchorId="4B24A702" wp14:editId="1546901C">
          <wp:simplePos x="0" y="0"/>
          <wp:positionH relativeFrom="margin">
            <wp:align>center</wp:align>
          </wp:positionH>
          <wp:positionV relativeFrom="paragraph">
            <wp:posOffset>-266065</wp:posOffset>
          </wp:positionV>
          <wp:extent cx="3079750" cy="122401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PARA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1224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DA8">
      <w:rPr>
        <w:rFonts w:ascii="Cambria" w:hAnsi="Cambria" w:cs="Cambria"/>
        <w:szCs w:val="20"/>
      </w:rPr>
      <w:tab/>
    </w:r>
  </w:p>
  <w:p w14:paraId="4368E2DF" w14:textId="51A67DC2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50C0DFF7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1108E83D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3CEB0EE0" w14:textId="77777777" w:rsidR="000A1073" w:rsidRDefault="000A1073" w:rsidP="0061147D">
    <w:pPr>
      <w:pStyle w:val="NormalWeb"/>
      <w:spacing w:before="0" w:after="0"/>
      <w:ind w:right="-142"/>
      <w:jc w:val="center"/>
      <w:rPr>
        <w:rFonts w:ascii="Museo Sans 300" w:hAnsi="Museo Sans 300"/>
        <w:color w:val="002060"/>
        <w:sz w:val="22"/>
      </w:rPr>
    </w:pPr>
  </w:p>
  <w:p w14:paraId="46E06E42" w14:textId="25CD914E" w:rsidR="0061147D" w:rsidRPr="00BF3D0E" w:rsidRDefault="0061147D">
    <w:pPr>
      <w:pStyle w:val="Encabezado"/>
      <w:rPr>
        <w:color w:val="C45911" w:themeColor="accent2" w:themeShade="BF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7D"/>
    <w:rsid w:val="00047212"/>
    <w:rsid w:val="000A1073"/>
    <w:rsid w:val="000D115F"/>
    <w:rsid w:val="001466D6"/>
    <w:rsid w:val="00223515"/>
    <w:rsid w:val="0023116D"/>
    <w:rsid w:val="002849B1"/>
    <w:rsid w:val="002A7819"/>
    <w:rsid w:val="003B0749"/>
    <w:rsid w:val="003D6854"/>
    <w:rsid w:val="004848FD"/>
    <w:rsid w:val="00495008"/>
    <w:rsid w:val="0050489E"/>
    <w:rsid w:val="00541C4B"/>
    <w:rsid w:val="0061147D"/>
    <w:rsid w:val="00635B4D"/>
    <w:rsid w:val="00696CD8"/>
    <w:rsid w:val="006F75C9"/>
    <w:rsid w:val="006F79D3"/>
    <w:rsid w:val="007002DE"/>
    <w:rsid w:val="00715396"/>
    <w:rsid w:val="0086175B"/>
    <w:rsid w:val="0086289A"/>
    <w:rsid w:val="00993C33"/>
    <w:rsid w:val="009F5DA8"/>
    <w:rsid w:val="00A41151"/>
    <w:rsid w:val="00AA1EF0"/>
    <w:rsid w:val="00AE5671"/>
    <w:rsid w:val="00B22A22"/>
    <w:rsid w:val="00BF3D0E"/>
    <w:rsid w:val="00C4036D"/>
    <w:rsid w:val="00C643B4"/>
    <w:rsid w:val="00CA6FC0"/>
    <w:rsid w:val="00CD537F"/>
    <w:rsid w:val="00E02B4F"/>
    <w:rsid w:val="00E20DD0"/>
    <w:rsid w:val="00F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8FD37"/>
  <w15:chartTrackingRefBased/>
  <w15:docId w15:val="{3EEEBC27-042D-498C-B53E-A8B5FA7E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47D"/>
  </w:style>
  <w:style w:type="paragraph" w:styleId="Piedepgina">
    <w:name w:val="footer"/>
    <w:basedOn w:val="Normal"/>
    <w:link w:val="PiedepginaCar"/>
    <w:uiPriority w:val="99"/>
    <w:unhideWhenUsed/>
    <w:rsid w:val="00611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47D"/>
  </w:style>
  <w:style w:type="paragraph" w:styleId="NormalWeb">
    <w:name w:val="Normal (Web)"/>
    <w:basedOn w:val="Normal"/>
    <w:uiPriority w:val="99"/>
    <w:rsid w:val="0061147D"/>
    <w:pPr>
      <w:suppressAutoHyphens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0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AVELAR NORMA LORENA</dc:creator>
  <cp:keywords/>
  <dc:description/>
  <cp:lastModifiedBy>Karina de Anaya</cp:lastModifiedBy>
  <cp:revision>3</cp:revision>
  <cp:lastPrinted>2020-07-01T18:58:00Z</cp:lastPrinted>
  <dcterms:created xsi:type="dcterms:W3CDTF">2020-07-01T20:55:00Z</dcterms:created>
  <dcterms:modified xsi:type="dcterms:W3CDTF">2020-07-01T21:57:00Z</dcterms:modified>
</cp:coreProperties>
</file>