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D5" w:rsidRPr="00EE423C" w:rsidRDefault="00EE423C" w:rsidP="00EE423C">
      <w:pPr>
        <w:jc w:val="center"/>
        <w:rPr>
          <w:b/>
          <w:sz w:val="28"/>
          <w:szCs w:val="28"/>
          <w:u w:val="single"/>
        </w:rPr>
      </w:pPr>
      <w:r w:rsidRPr="00EE423C">
        <w:rPr>
          <w:b/>
          <w:sz w:val="28"/>
          <w:szCs w:val="28"/>
          <w:u w:val="single"/>
        </w:rPr>
        <w:t>Registro de Solicitudes de Acceso a la Información Pública</w:t>
      </w:r>
    </w:p>
    <w:p w:rsidR="00EE423C" w:rsidRDefault="00EE423C" w:rsidP="00EE423C">
      <w:pPr>
        <w:jc w:val="center"/>
        <w:rPr>
          <w:sz w:val="24"/>
          <w:szCs w:val="24"/>
        </w:rPr>
      </w:pPr>
      <w:r w:rsidRPr="00EE423C">
        <w:rPr>
          <w:sz w:val="24"/>
          <w:szCs w:val="24"/>
        </w:rPr>
        <w:t>Primer Trimestre año 2018</w:t>
      </w:r>
    </w:p>
    <w:p w:rsidR="00EE423C" w:rsidRDefault="00EE423C" w:rsidP="00EE423C">
      <w:pPr>
        <w:jc w:val="center"/>
        <w:rPr>
          <w:sz w:val="24"/>
          <w:szCs w:val="24"/>
        </w:rPr>
      </w:pPr>
      <w:r w:rsidRPr="00EE423C">
        <w:rPr>
          <w:sz w:val="24"/>
          <w:szCs w:val="24"/>
        </w:rPr>
        <w:drawing>
          <wp:inline distT="0" distB="0" distL="0" distR="0">
            <wp:extent cx="4437689" cy="2151529"/>
            <wp:effectExtent l="19050" t="0" r="20011" b="1121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E423C" w:rsidRDefault="00EE423C" w:rsidP="00EE423C">
      <w:pPr>
        <w:jc w:val="center"/>
        <w:rPr>
          <w:sz w:val="24"/>
          <w:szCs w:val="24"/>
        </w:rPr>
      </w:pPr>
      <w:r w:rsidRPr="00EE423C">
        <w:rPr>
          <w:sz w:val="24"/>
          <w:szCs w:val="24"/>
        </w:rPr>
        <w:drawing>
          <wp:inline distT="0" distB="0" distL="0" distR="0">
            <wp:extent cx="4222536" cy="2228370"/>
            <wp:effectExtent l="19050" t="0" r="25614" b="48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E423C" w:rsidRDefault="00EE423C" w:rsidP="00EE423C">
      <w:pPr>
        <w:jc w:val="center"/>
        <w:rPr>
          <w:sz w:val="24"/>
          <w:szCs w:val="24"/>
        </w:rPr>
      </w:pPr>
    </w:p>
    <w:p w:rsidR="00EE423C" w:rsidRDefault="00EE423C" w:rsidP="00EE423C">
      <w:pPr>
        <w:jc w:val="center"/>
        <w:rPr>
          <w:sz w:val="24"/>
          <w:szCs w:val="24"/>
        </w:rPr>
      </w:pPr>
      <w:r w:rsidRPr="00EE423C">
        <w:rPr>
          <w:sz w:val="24"/>
          <w:szCs w:val="24"/>
        </w:rPr>
        <w:drawing>
          <wp:inline distT="0" distB="0" distL="0" distR="0">
            <wp:extent cx="4237905" cy="2420471"/>
            <wp:effectExtent l="19050" t="0" r="1024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E423C" w:rsidRDefault="00EE423C" w:rsidP="00EE423C">
      <w:pPr>
        <w:jc w:val="center"/>
        <w:rPr>
          <w:sz w:val="24"/>
          <w:szCs w:val="24"/>
        </w:rPr>
      </w:pPr>
      <w:r w:rsidRPr="00EE423C">
        <w:rPr>
          <w:sz w:val="24"/>
          <w:szCs w:val="24"/>
        </w:rPr>
        <w:lastRenderedPageBreak/>
        <w:drawing>
          <wp:inline distT="0" distB="0" distL="0" distR="0">
            <wp:extent cx="4176432" cy="2397418"/>
            <wp:effectExtent l="19050" t="0" r="14568" b="2882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E423C" w:rsidRDefault="00EE423C" w:rsidP="00EE423C">
      <w:pPr>
        <w:jc w:val="center"/>
        <w:rPr>
          <w:sz w:val="24"/>
          <w:szCs w:val="24"/>
        </w:rPr>
      </w:pPr>
    </w:p>
    <w:p w:rsidR="00EE423C" w:rsidRDefault="00116C0E" w:rsidP="00EE423C">
      <w:pPr>
        <w:jc w:val="center"/>
        <w:rPr>
          <w:sz w:val="24"/>
          <w:szCs w:val="24"/>
        </w:rPr>
      </w:pPr>
      <w:r w:rsidRPr="00116C0E">
        <w:rPr>
          <w:sz w:val="24"/>
          <w:szCs w:val="24"/>
        </w:rPr>
        <w:drawing>
          <wp:inline distT="0" distB="0" distL="0" distR="0">
            <wp:extent cx="4222536" cy="2343630"/>
            <wp:effectExtent l="19050" t="0" r="25614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16C0E" w:rsidRDefault="00116C0E" w:rsidP="00EE423C">
      <w:pPr>
        <w:jc w:val="center"/>
        <w:rPr>
          <w:sz w:val="24"/>
          <w:szCs w:val="24"/>
        </w:rPr>
      </w:pPr>
    </w:p>
    <w:p w:rsidR="00116C0E" w:rsidRPr="00EE423C" w:rsidRDefault="00116C0E" w:rsidP="00EE423C">
      <w:pPr>
        <w:jc w:val="center"/>
        <w:rPr>
          <w:sz w:val="24"/>
          <w:szCs w:val="24"/>
        </w:rPr>
      </w:pPr>
      <w:r w:rsidRPr="00116C0E">
        <w:rPr>
          <w:sz w:val="24"/>
          <w:szCs w:val="24"/>
        </w:rPr>
        <w:drawing>
          <wp:inline distT="0" distB="0" distL="0" distR="0">
            <wp:extent cx="4153381" cy="2237388"/>
            <wp:effectExtent l="19050" t="0" r="18569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116C0E" w:rsidRPr="00EE423C" w:rsidSect="002C32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EE423C"/>
    <w:rsid w:val="00116C0E"/>
    <w:rsid w:val="002C32D5"/>
    <w:rsid w:val="00EE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2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4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pdmonzon.DINPEP\Documents\Estadisticas%20para%20primer%20trimestre%20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pdmonzon.DINPEP\Documents\Estadisticas%20para%20primer%20trimestre%20201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pdmonzon.DINPEP\Documents\Estadisticas%20para%20primer%20trimestre%20201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pdmonzon.DINPEP\Documents\Estadisticas%20para%20primer%20trimestre%20201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pdmonzon.DINPEP\Documents\Estadisticas%20para%20primer%20trimestre%20201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pdmonzon.DINPEP\Documents\Estadisticas%20para%20primer%20trimestre%20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style val="8"/>
  <c:chart>
    <c:title>
      <c:txPr>
        <a:bodyPr/>
        <a:lstStyle/>
        <a:p>
          <a:pPr>
            <a:defRPr sz="1200" u="sng"/>
          </a:pPr>
          <a:endParaRPr lang="es-SV"/>
        </a:p>
      </c:txPr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v>Cantidad de Solicitudes por mes</c:v>
          </c:tx>
          <c:dLbls>
            <c:showVal val="1"/>
          </c:dLbls>
          <c:cat>
            <c:strRef>
              <c:f>Hoja1!$B$3:$B$5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Hoja1!$C$3:$C$5</c:f>
              <c:numCache>
                <c:formatCode>General</c:formatCode>
                <c:ptCount val="3"/>
                <c:pt idx="0">
                  <c:v>10</c:v>
                </c:pt>
                <c:pt idx="1">
                  <c:v>7</c:v>
                </c:pt>
                <c:pt idx="2">
                  <c:v>5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34747904"/>
        <c:axId val="34790400"/>
        <c:axId val="0"/>
      </c:bar3DChart>
      <c:catAx>
        <c:axId val="34747904"/>
        <c:scaling>
          <c:orientation val="minMax"/>
        </c:scaling>
        <c:axPos val="b"/>
        <c:majorTickMark val="none"/>
        <c:tickLblPos val="nextTo"/>
        <c:crossAx val="34790400"/>
        <c:crosses val="autoZero"/>
        <c:auto val="1"/>
        <c:lblAlgn val="ctr"/>
        <c:lblOffset val="100"/>
      </c:catAx>
      <c:valAx>
        <c:axId val="34790400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3474790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chart>
    <c:title>
      <c:tx>
        <c:rich>
          <a:bodyPr/>
          <a:lstStyle/>
          <a:p>
            <a:pPr>
              <a:defRPr u="sng"/>
            </a:pPr>
            <a:r>
              <a:rPr lang="en-US" sz="1200" u="sng"/>
              <a:t>Sexo de los Solicitantes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v>Sexo de los Solicitantes</c:v>
          </c:tx>
          <c:dLbls>
            <c:showPercent val="1"/>
          </c:dLbls>
          <c:cat>
            <c:strRef>
              <c:f>Hoja1!$B$8:$B$9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Hoja1!$C$8:$C$9</c:f>
              <c:numCache>
                <c:formatCode>General</c:formatCode>
                <c:ptCount val="2"/>
                <c:pt idx="0">
                  <c:v>9</c:v>
                </c:pt>
                <c:pt idx="1">
                  <c:v>13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chart>
    <c:title>
      <c:tx>
        <c:rich>
          <a:bodyPr/>
          <a:lstStyle/>
          <a:p>
            <a:pPr>
              <a:defRPr u="sng"/>
            </a:pPr>
            <a:r>
              <a:rPr lang="es-SV" sz="1200" u="sng"/>
              <a:t>Tipo</a:t>
            </a:r>
            <a:r>
              <a:rPr lang="es-SV" sz="1200" u="sng" baseline="0"/>
              <a:t> de información solicitada</a:t>
            </a:r>
            <a:endParaRPr lang="es-SV" sz="1200" u="sng"/>
          </a:p>
        </c:rich>
      </c:tx>
    </c:title>
    <c:plotArea>
      <c:layout/>
      <c:doughnutChart>
        <c:varyColors val="1"/>
        <c:ser>
          <c:idx val="0"/>
          <c:order val="0"/>
          <c:dLbls>
            <c:showPercent val="1"/>
          </c:dLbls>
          <c:cat>
            <c:strRef>
              <c:f>Hoja1!$B$12:$B$14</c:f>
              <c:strCache>
                <c:ptCount val="3"/>
                <c:pt idx="0">
                  <c:v>Pública</c:v>
                </c:pt>
                <c:pt idx="1">
                  <c:v>Confidencial</c:v>
                </c:pt>
                <c:pt idx="2">
                  <c:v>Datos personales</c:v>
                </c:pt>
              </c:strCache>
            </c:strRef>
          </c:cat>
          <c:val>
            <c:numRef>
              <c:f>Hoja1!$C$12:$C$14</c:f>
              <c:numCache>
                <c:formatCode>General</c:formatCode>
                <c:ptCount val="3"/>
                <c:pt idx="0">
                  <c:v>10</c:v>
                </c:pt>
                <c:pt idx="1">
                  <c:v>5</c:v>
                </c:pt>
                <c:pt idx="2">
                  <c:v>7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t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chart>
    <c:title>
      <c:tx>
        <c:rich>
          <a:bodyPr/>
          <a:lstStyle/>
          <a:p>
            <a:pPr>
              <a:defRPr u="sng"/>
            </a:pPr>
            <a:r>
              <a:rPr lang="es-SV" sz="1200" u="sng"/>
              <a:t>Cantidad</a:t>
            </a:r>
            <a:r>
              <a:rPr lang="es-SV" sz="1200" u="sng" baseline="0"/>
              <a:t> de requerimientos por tipo de información</a:t>
            </a:r>
            <a:endParaRPr lang="es-SV" sz="1200" u="sng"/>
          </a:p>
        </c:rich>
      </c:tx>
    </c:title>
    <c:plotArea>
      <c:layout/>
      <c:barChart>
        <c:barDir val="bar"/>
        <c:grouping val="stacked"/>
        <c:ser>
          <c:idx val="0"/>
          <c:order val="0"/>
          <c:dLbls>
            <c:dLbl>
              <c:idx val="0"/>
              <c:layout>
                <c:manualLayout>
                  <c:x val="5.8333333333333411E-2"/>
                  <c:y val="-9.2592592592592744E-3"/>
                </c:manualLayout>
              </c:layout>
              <c:dLblPos val="inEnd"/>
              <c:showVal val="1"/>
            </c:dLbl>
            <c:dLbl>
              <c:idx val="1"/>
              <c:layout>
                <c:manualLayout>
                  <c:x val="0.05"/>
                  <c:y val="-9.2592592592592744E-3"/>
                </c:manualLayout>
              </c:layout>
              <c:dLblPos val="inEnd"/>
              <c:showVal val="1"/>
            </c:dLbl>
            <c:dLbl>
              <c:idx val="2"/>
              <c:layout>
                <c:manualLayout>
                  <c:x val="5.8333333333333411E-2"/>
                  <c:y val="-1.3888888888888864E-2"/>
                </c:manualLayout>
              </c:layout>
              <c:dLblPos val="inEnd"/>
              <c:showVal val="1"/>
            </c:dLbl>
            <c:dLblPos val="inEnd"/>
            <c:showVal val="1"/>
          </c:dLbls>
          <c:cat>
            <c:strRef>
              <c:f>Hoja1!$B$17:$B$19</c:f>
              <c:strCache>
                <c:ptCount val="3"/>
                <c:pt idx="0">
                  <c:v>Pública</c:v>
                </c:pt>
                <c:pt idx="1">
                  <c:v>Confidencial</c:v>
                </c:pt>
                <c:pt idx="2">
                  <c:v>Datos Personales</c:v>
                </c:pt>
              </c:strCache>
            </c:strRef>
          </c:cat>
          <c:val>
            <c:numRef>
              <c:f>Hoja1!$C$17:$C$19</c:f>
              <c:numCache>
                <c:formatCode>General</c:formatCode>
                <c:ptCount val="3"/>
                <c:pt idx="0">
                  <c:v>37</c:v>
                </c:pt>
                <c:pt idx="1">
                  <c:v>7</c:v>
                </c:pt>
                <c:pt idx="2">
                  <c:v>10</c:v>
                </c:pt>
              </c:numCache>
            </c:numRef>
          </c:val>
        </c:ser>
        <c:gapWidth val="300"/>
        <c:axId val="36723328"/>
        <c:axId val="36758656"/>
      </c:barChart>
      <c:catAx>
        <c:axId val="36723328"/>
        <c:scaling>
          <c:orientation val="minMax"/>
        </c:scaling>
        <c:axPos val="l"/>
        <c:majorTickMark val="none"/>
        <c:tickLblPos val="nextTo"/>
        <c:crossAx val="36758656"/>
        <c:crosses val="autoZero"/>
        <c:auto val="1"/>
        <c:lblAlgn val="ctr"/>
        <c:lblOffset val="100"/>
      </c:catAx>
      <c:valAx>
        <c:axId val="36758656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crossAx val="36723328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chart>
    <c:title>
      <c:tx>
        <c:rich>
          <a:bodyPr/>
          <a:lstStyle/>
          <a:p>
            <a:pPr>
              <a:defRPr u="sng"/>
            </a:pPr>
            <a:r>
              <a:rPr lang="es-SV" sz="1200" u="sng"/>
              <a:t>Plazo</a:t>
            </a:r>
            <a:r>
              <a:rPr lang="es-SV" sz="1200" u="sng" baseline="0"/>
              <a:t> de respuesta</a:t>
            </a:r>
            <a:endParaRPr lang="es-SV" sz="1200" u="sng"/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</c:dLbls>
          <c:cat>
            <c:strRef>
              <c:f>Hoja1!$B$22:$B$24</c:f>
              <c:strCache>
                <c:ptCount val="3"/>
                <c:pt idx="0">
                  <c:v>de 1 a 5 dias</c:v>
                </c:pt>
                <c:pt idx="1">
                  <c:v>de 6 a 10 días</c:v>
                </c:pt>
                <c:pt idx="2">
                  <c:v>en proceso</c:v>
                </c:pt>
              </c:strCache>
            </c:strRef>
          </c:cat>
          <c:val>
            <c:numRef>
              <c:f>Hoja1!$C$22:$C$24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chart>
    <c:title>
      <c:tx>
        <c:rich>
          <a:bodyPr/>
          <a:lstStyle/>
          <a:p>
            <a:pPr>
              <a:defRPr sz="1200" u="sng"/>
            </a:pPr>
            <a:r>
              <a:rPr lang="es-SV" sz="1200" u="sng"/>
              <a:t>Forma</a:t>
            </a:r>
            <a:r>
              <a:rPr lang="es-SV" sz="1200" u="sng" baseline="0"/>
              <a:t> de Notificación</a:t>
            </a:r>
            <a:endParaRPr lang="es-SV" sz="1200" u="sng"/>
          </a:p>
        </c:rich>
      </c:tx>
      <c:layout>
        <c:manualLayout>
          <c:xMode val="edge"/>
          <c:yMode val="edge"/>
          <c:x val="0.34221522309711289"/>
          <c:y val="5.0925925925925923E-2"/>
        </c:manualLayout>
      </c:layout>
    </c:title>
    <c:plotArea>
      <c:layout/>
      <c:barChart>
        <c:barDir val="bar"/>
        <c:grouping val="stacked"/>
        <c:ser>
          <c:idx val="0"/>
          <c:order val="0"/>
          <c:dLbls>
            <c:showVal val="1"/>
          </c:dLbls>
          <c:cat>
            <c:strRef>
              <c:f>Hoja1!$B$27:$B$28</c:f>
              <c:strCache>
                <c:ptCount val="2"/>
                <c:pt idx="0">
                  <c:v>OIR-UAIP</c:v>
                </c:pt>
                <c:pt idx="1">
                  <c:v>Correo Electrónico</c:v>
                </c:pt>
              </c:strCache>
            </c:strRef>
          </c:cat>
          <c:val>
            <c:numRef>
              <c:f>Hoja1!$C$27:$C$28</c:f>
              <c:numCache>
                <c:formatCode>General</c:formatCode>
                <c:ptCount val="2"/>
                <c:pt idx="0">
                  <c:v>11</c:v>
                </c:pt>
                <c:pt idx="1">
                  <c:v>11</c:v>
                </c:pt>
              </c:numCache>
            </c:numRef>
          </c:val>
        </c:ser>
        <c:dLbls>
          <c:showVal val="1"/>
        </c:dLbls>
        <c:gapWidth val="95"/>
        <c:overlap val="100"/>
        <c:axId val="73596928"/>
        <c:axId val="73598848"/>
      </c:barChart>
      <c:catAx>
        <c:axId val="73596928"/>
        <c:scaling>
          <c:orientation val="minMax"/>
        </c:scaling>
        <c:axPos val="l"/>
        <c:majorTickMark val="none"/>
        <c:tickLblPos val="nextTo"/>
        <c:crossAx val="73598848"/>
        <c:crosses val="autoZero"/>
        <c:auto val="1"/>
        <c:lblAlgn val="ctr"/>
        <c:lblOffset val="100"/>
      </c:catAx>
      <c:valAx>
        <c:axId val="73598848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7359692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INPDMONZON</dc:creator>
  <cp:lastModifiedBy>INPDMONZON</cp:lastModifiedBy>
  <cp:revision>1</cp:revision>
  <dcterms:created xsi:type="dcterms:W3CDTF">2018-04-04T17:20:00Z</dcterms:created>
  <dcterms:modified xsi:type="dcterms:W3CDTF">2018-04-04T17:33:00Z</dcterms:modified>
</cp:coreProperties>
</file>