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3AC34A2A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CD55AB">
        <w:rPr>
          <w:rFonts w:ascii="Arial" w:hAnsi="Arial" w:cs="Arial"/>
          <w:b/>
          <w:bCs/>
          <w:sz w:val="24"/>
          <w:szCs w:val="24"/>
        </w:rPr>
        <w:t xml:space="preserve">junio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590821FE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CD55AB">
        <w:rPr>
          <w:rFonts w:ascii="Arial" w:hAnsi="Arial" w:cs="Arial"/>
          <w:sz w:val="24"/>
          <w:szCs w:val="24"/>
        </w:rPr>
        <w:t>0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CD55AB">
        <w:rPr>
          <w:rFonts w:ascii="Arial" w:hAnsi="Arial" w:cs="Arial"/>
          <w:sz w:val="24"/>
          <w:szCs w:val="24"/>
        </w:rPr>
        <w:t>junio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70D6ADAE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CD55AB">
        <w:rPr>
          <w:rFonts w:ascii="Arial" w:hAnsi="Arial" w:cs="Arial"/>
          <w:sz w:val="24"/>
          <w:szCs w:val="24"/>
        </w:rPr>
        <w:t xml:space="preserve">junio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realizó entregas de capital semilla a proyectos productivos.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3988878B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42E680FA" w:rsidR="00DB359B" w:rsidRDefault="00DB359B">
      <w:pPr>
        <w:rPr>
          <w:rFonts w:cs="Calibri"/>
        </w:rPr>
      </w:pPr>
    </w:p>
    <w:p w14:paraId="0ED2996E" w14:textId="005601E4" w:rsidR="00DB359B" w:rsidRPr="00DB359B" w:rsidRDefault="00DB359B" w:rsidP="00DB359B">
      <w:pPr>
        <w:rPr>
          <w:rFonts w:cs="Calibri"/>
        </w:rPr>
      </w:pPr>
    </w:p>
    <w:p w14:paraId="1059BED8" w14:textId="2F9B7A40" w:rsidR="00DB359B" w:rsidRDefault="00025A5F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7AADC5B5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3914775" cy="2290445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26EB9B6C" w:rsidR="004E2C7C" w:rsidRDefault="00000000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667803F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30039889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2138E2BE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3F8435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31EB0F1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7765F20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23C5262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40A90FBD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CD55AB">
        <w:rPr>
          <w:rFonts w:ascii="Arial" w:hAnsi="Arial" w:cs="Arial"/>
          <w:sz w:val="24"/>
          <w:szCs w:val="24"/>
        </w:rPr>
        <w:t>junio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99E4ADA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04D562EB" w:rsidR="00844A4D" w:rsidRDefault="00CD55AB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567322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0B8B86A1" w:rsidR="00844A4D" w:rsidRDefault="00CD55AB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567322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</w:tr>
    </w:tbl>
    <w:p w14:paraId="7F038681" w14:textId="38AA5175" w:rsidR="00844A4D" w:rsidRDefault="00827263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30203C19">
            <wp:simplePos x="0" y="0"/>
            <wp:positionH relativeFrom="column">
              <wp:posOffset>2928620</wp:posOffset>
            </wp:positionH>
            <wp:positionV relativeFrom="page">
              <wp:posOffset>5829300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51417401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6FCD497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00E4363E" w:rsidR="00844A4D" w:rsidRDefault="00844A4D">
      <w:pPr>
        <w:pStyle w:val="Standard"/>
        <w:spacing w:after="4" w:line="360" w:lineRule="auto"/>
        <w:jc w:val="both"/>
      </w:pP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910E9" w14:textId="77777777" w:rsidR="00255390" w:rsidRDefault="00255390">
      <w:r>
        <w:separator/>
      </w:r>
    </w:p>
  </w:endnote>
  <w:endnote w:type="continuationSeparator" w:id="0">
    <w:p w14:paraId="6AB9F3A8" w14:textId="77777777" w:rsidR="00255390" w:rsidRDefault="0025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81B7C" w14:textId="77777777" w:rsidR="00255390" w:rsidRDefault="00255390">
      <w:r>
        <w:separator/>
      </w:r>
    </w:p>
  </w:footnote>
  <w:footnote w:type="continuationSeparator" w:id="0">
    <w:p w14:paraId="4EF7B25A" w14:textId="77777777" w:rsidR="00255390" w:rsidRDefault="0025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D0B"/>
    <w:rsid w:val="000638B3"/>
    <w:rsid w:val="00091EAB"/>
    <w:rsid w:val="00101AF4"/>
    <w:rsid w:val="00105A9F"/>
    <w:rsid w:val="00121165"/>
    <w:rsid w:val="0018002A"/>
    <w:rsid w:val="001A539A"/>
    <w:rsid w:val="001B6D0D"/>
    <w:rsid w:val="001E27FA"/>
    <w:rsid w:val="00231092"/>
    <w:rsid w:val="00255390"/>
    <w:rsid w:val="002B68E6"/>
    <w:rsid w:val="002D279E"/>
    <w:rsid w:val="00350693"/>
    <w:rsid w:val="00387CA8"/>
    <w:rsid w:val="00396C8E"/>
    <w:rsid w:val="003E70E5"/>
    <w:rsid w:val="0041234A"/>
    <w:rsid w:val="00452BE1"/>
    <w:rsid w:val="0046719D"/>
    <w:rsid w:val="004E0848"/>
    <w:rsid w:val="004E2C7C"/>
    <w:rsid w:val="005126D8"/>
    <w:rsid w:val="005151BB"/>
    <w:rsid w:val="00532E83"/>
    <w:rsid w:val="00565609"/>
    <w:rsid w:val="00567322"/>
    <w:rsid w:val="005E364B"/>
    <w:rsid w:val="005E5DA6"/>
    <w:rsid w:val="005F671E"/>
    <w:rsid w:val="005F7D64"/>
    <w:rsid w:val="00611239"/>
    <w:rsid w:val="006F0FE9"/>
    <w:rsid w:val="006F5097"/>
    <w:rsid w:val="00730841"/>
    <w:rsid w:val="00753174"/>
    <w:rsid w:val="00761383"/>
    <w:rsid w:val="00763568"/>
    <w:rsid w:val="007B58BC"/>
    <w:rsid w:val="007C1852"/>
    <w:rsid w:val="00817672"/>
    <w:rsid w:val="00827263"/>
    <w:rsid w:val="00844A4D"/>
    <w:rsid w:val="00893CBB"/>
    <w:rsid w:val="00894ACC"/>
    <w:rsid w:val="008968E5"/>
    <w:rsid w:val="008A0F7E"/>
    <w:rsid w:val="008A3B9A"/>
    <w:rsid w:val="00981496"/>
    <w:rsid w:val="009A377E"/>
    <w:rsid w:val="009A4CC4"/>
    <w:rsid w:val="009D430C"/>
    <w:rsid w:val="009F7F60"/>
    <w:rsid w:val="00A0625E"/>
    <w:rsid w:val="00A76861"/>
    <w:rsid w:val="00AB0F6E"/>
    <w:rsid w:val="00AD38F5"/>
    <w:rsid w:val="00B24512"/>
    <w:rsid w:val="00B8308E"/>
    <w:rsid w:val="00C07E6C"/>
    <w:rsid w:val="00CD2E4E"/>
    <w:rsid w:val="00CD55AB"/>
    <w:rsid w:val="00CF0ECF"/>
    <w:rsid w:val="00CF66C0"/>
    <w:rsid w:val="00D10B4A"/>
    <w:rsid w:val="00D138E9"/>
    <w:rsid w:val="00D44FE7"/>
    <w:rsid w:val="00D57A1C"/>
    <w:rsid w:val="00D8135E"/>
    <w:rsid w:val="00D82A37"/>
    <w:rsid w:val="00DB359B"/>
    <w:rsid w:val="00DE6C37"/>
    <w:rsid w:val="00ED6571"/>
    <w:rsid w:val="00F076C8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5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75</cp:revision>
  <cp:lastPrinted>2024-06-28T19:02:00Z</cp:lastPrinted>
  <dcterms:created xsi:type="dcterms:W3CDTF">2023-08-30T14:09:00Z</dcterms:created>
  <dcterms:modified xsi:type="dcterms:W3CDTF">2024-06-28T19:06:00Z</dcterms:modified>
  <dc:language>es-SV</dc:language>
</cp:coreProperties>
</file>